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证券代码：002297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证券简称：博云新材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eastAsia="宋体" w:cs="宋体"/>
          <w:sz w:val="18"/>
          <w:szCs w:val="18"/>
          <w:lang w:val="en-US" w:eastAsia="zh-CN"/>
        </w:rPr>
        <w:t>2025-040</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湖南博云新材料股份有限公司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2025年第三季度报告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1.董事会及董事、高级管理人员保证季度报告的真实、准确、完整，不存在虚假记载、误导性陈述或重大遗漏，并承担个别和连带的法律责任。</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3.第三季度财务会计报告是否经过审计</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r>
        <w:br w:type="page"/>
      </w:r>
    </w:p>
    <w:p>
      <w:pPr>
        <w:pStyle w:val="10"/>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pStyle w:val="2"/>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7"/>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84"/>
        <w:gridCol w:w="1772"/>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7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营业收入（元）</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253,781,238.45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74.44%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649,373,847.71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21,575,224.97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212.64%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30,036,954.56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278.32%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13,157,943.96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153.77%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13,989,656.69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143.53%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7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43,501,728.05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179.98%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right="-231" w:rightChars="-110"/>
              <w:jc w:val="left"/>
              <w:rPr>
                <w:rFonts w:ascii="宋体" w:hAnsi="宋体" w:eastAsia="宋体" w:cs="宋体"/>
                <w:sz w:val="18"/>
                <w:szCs w:val="18"/>
              </w:rPr>
            </w:pPr>
            <w:r>
              <w:rPr>
                <w:rFonts w:ascii="宋体" w:hAnsi="宋体" w:eastAsia="宋体" w:cs="宋体"/>
                <w:sz w:val="18"/>
                <w:szCs w:val="18"/>
              </w:rPr>
              <w:t>基本每股收益（元/股）</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0.0376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212.57%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0.0524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278.23%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right="-31" w:rightChars="-15"/>
              <w:jc w:val="left"/>
              <w:rPr>
                <w:rFonts w:ascii="宋体" w:hAnsi="宋体" w:eastAsia="宋体" w:cs="宋体"/>
                <w:sz w:val="18"/>
                <w:szCs w:val="18"/>
              </w:rPr>
            </w:pPr>
            <w:r>
              <w:rPr>
                <w:rFonts w:ascii="宋体" w:hAnsi="宋体" w:eastAsia="宋体" w:cs="宋体"/>
                <w:sz w:val="18"/>
                <w:szCs w:val="18"/>
              </w:rPr>
              <w:t>稀释每股收益（元/股）</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0.0376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212.57%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0.0524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278.23%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hint="eastAsia" w:ascii="宋体" w:hAnsi="宋体" w:cs="宋体"/>
                <w:sz w:val="18"/>
                <w:szCs w:val="18"/>
                <w:lang w:val="en-US" w:eastAsia="zh-CN"/>
              </w:rPr>
              <w:t>1.45</w:t>
            </w: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1"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7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总资产（元）</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3,118,790,144.81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2,959,093,800.40</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trPr>
        <w:tc>
          <w:tcPr>
            <w:tcW w:w="20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1772"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2,104,086,424.75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2,051,550,964.21</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2.56%</w:t>
            </w:r>
          </w:p>
        </w:tc>
      </w:tr>
    </w:tbl>
    <w:p>
      <w:pPr>
        <w:spacing w:before="100" w:after="100" w:line="0" w:lineRule="exact"/>
        <w:jc w:val="left"/>
      </w:pPr>
    </w:p>
    <w:p>
      <w:pPr>
        <w:pStyle w:val="2"/>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bookmarkStart w:id="15" w:name="_GoBack"/>
      <w:bookmarkEnd w:id="1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29"/>
        <w:gridCol w:w="2325"/>
        <w:gridCol w:w="2310"/>
        <w:gridCol w:w="19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项目</w:t>
            </w:r>
          </w:p>
        </w:tc>
        <w:tc>
          <w:tcPr>
            <w:tcW w:w="23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本报告期金额</w:t>
            </w:r>
          </w:p>
        </w:tc>
        <w:tc>
          <w:tcPr>
            <w:tcW w:w="23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1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21,148.78</w:t>
            </w:r>
          </w:p>
        </w:tc>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17,849.94</w:t>
            </w:r>
          </w:p>
        </w:tc>
        <w:tc>
          <w:tcPr>
            <w:tcW w:w="1976"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7,513,049.40</w:t>
            </w:r>
          </w:p>
        </w:tc>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14,386,586.68</w:t>
            </w:r>
          </w:p>
        </w:tc>
        <w:tc>
          <w:tcPr>
            <w:tcW w:w="1976"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165,000.00</w:t>
            </w:r>
          </w:p>
        </w:tc>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165,000.00</w:t>
            </w:r>
          </w:p>
        </w:tc>
        <w:tc>
          <w:tcPr>
            <w:tcW w:w="1976"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1,509,270.56</w:t>
            </w:r>
          </w:p>
        </w:tc>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2,853,651.66</w:t>
            </w:r>
          </w:p>
        </w:tc>
        <w:tc>
          <w:tcPr>
            <w:tcW w:w="1976"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ascii="宋体" w:hAnsi="宋体" w:eastAsia="宋体" w:cs="宋体"/>
                <w:sz w:val="18"/>
                <w:szCs w:val="18"/>
              </w:rPr>
            </w:pPr>
            <w:r>
              <w:rPr>
                <w:rFonts w:ascii="宋体" w:hAnsi="宋体" w:eastAsia="宋体" w:cs="宋体"/>
                <w:sz w:val="18"/>
                <w:szCs w:val="18"/>
              </w:rPr>
              <w:t>减：所得税影响额</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149,311.78</w:t>
            </w:r>
          </w:p>
        </w:tc>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649,083.98</w:t>
            </w:r>
          </w:p>
        </w:tc>
        <w:tc>
          <w:tcPr>
            <w:tcW w:w="1976"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641,875.95</w:t>
            </w:r>
          </w:p>
        </w:tc>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726,706.43</w:t>
            </w:r>
          </w:p>
        </w:tc>
        <w:tc>
          <w:tcPr>
            <w:tcW w:w="1976"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ascii="宋体" w:hAnsi="宋体" w:eastAsia="宋体" w:cs="宋体"/>
                <w:sz w:val="18"/>
                <w:szCs w:val="18"/>
              </w:rPr>
            </w:pPr>
            <w:r>
              <w:rPr>
                <w:rFonts w:ascii="宋体" w:hAnsi="宋体" w:eastAsia="宋体" w:cs="宋体"/>
                <w:sz w:val="18"/>
                <w:szCs w:val="18"/>
              </w:rPr>
              <w:t>合计</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8,417,281.01</w:t>
            </w:r>
          </w:p>
        </w:tc>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16,047,297.87</w:t>
            </w:r>
          </w:p>
        </w:tc>
        <w:tc>
          <w:tcPr>
            <w:tcW w:w="1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pStyle w:val="2"/>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7"/>
        <w:tblW w:w="10560"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3"/>
        <w:gridCol w:w="1515"/>
        <w:gridCol w:w="1515"/>
        <w:gridCol w:w="1560"/>
        <w:gridCol w:w="887"/>
        <w:gridCol w:w="3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663" w:type="dxa"/>
            <w:tcBorders>
              <w:top w:val="single" w:color="auto" w:sz="8" w:space="0"/>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项目</w:t>
            </w:r>
          </w:p>
        </w:tc>
        <w:tc>
          <w:tcPr>
            <w:tcW w:w="1515"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本报告期末</w:t>
            </w:r>
          </w:p>
        </w:tc>
        <w:tc>
          <w:tcPr>
            <w:tcW w:w="1515"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期初/上年同期</w:t>
            </w:r>
          </w:p>
        </w:tc>
        <w:tc>
          <w:tcPr>
            <w:tcW w:w="1560"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变动额</w:t>
            </w:r>
          </w:p>
        </w:tc>
        <w:tc>
          <w:tcPr>
            <w:tcW w:w="887"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变动率</w:t>
            </w:r>
          </w:p>
        </w:tc>
        <w:tc>
          <w:tcPr>
            <w:tcW w:w="3420"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变动分析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应收票据</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94,528,926.31</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55,114,644.89</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39,414,281.42</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71.51%</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主要为本期收到的票据及已背书未终止确认票据增加所致。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应收款项融资</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19,124,092.51</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4,488,656.99</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14,635,435.52</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326.05%</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主要为本期子公司博云东方在手A类银行承兑汇票增加所致。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其他流动资产</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4,350,237.58</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6,769,136.01</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-2,418,898.43</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-35.73%</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主要为本期子公司博云东方留抵增值税进项税减少所致。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开发支出</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55,394,563.87</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36,855,666.49</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18,538,897.38</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50.30%</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主要为本期子公司长沙鑫航和博云东方研发投入增加</w:t>
            </w:r>
            <w:r>
              <w:rPr>
                <w:rFonts w:hint="eastAsia" w:ascii="宋体" w:hAnsi="宋体" w:cs="宋体"/>
                <w:i w:val="0"/>
                <w:iCs w:val="0"/>
                <w:color w:val="000000"/>
                <w:sz w:val="18"/>
                <w:szCs w:val="18"/>
                <w:lang w:eastAsia="zh-CN"/>
              </w:rPr>
              <w:t>所</w:t>
            </w:r>
            <w:r>
              <w:rPr>
                <w:rFonts w:hint="eastAsia" w:ascii="宋体" w:hAnsi="宋体" w:eastAsia="宋体" w:cs="宋体"/>
                <w:i w:val="0"/>
                <w:iCs w:val="0"/>
                <w:color w:val="000000"/>
                <w:sz w:val="18"/>
                <w:szCs w:val="18"/>
              </w:rPr>
              <w:t>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其他非流动资产</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11,289,051.88</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4,335,996.94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6,953,054.94</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160.36%</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主要为本期母公司博云新材预付新5号厂房设备款增加所致。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合同负债</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31,886,667.12</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12,685,882.34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19,200,784.78</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151.36%</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主要为本期预收货款增加所致。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应交税费</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7,040,663.51</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10,179,415.04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-3,138,751.53</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-30.83%</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主要为本期母公司博云新材缴纳上年所得税及子公司长沙鑫航应交增值税减少所致。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一年内到期的非流动负债</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20,000,000.00</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30,024,166.67</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-10,024,166.67</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-33.39%</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主要为子公司博云东方归还部分贷款所致。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其他流动负债</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67,284,198.07</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49,490,019.02</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17,794,179.05</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35.96%</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主要为已背书未终止确认票据增加所致。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长期应付款</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0.00</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54,310,000.00</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-54,310,000.00</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主要为子公司长沙鑫航根据国家政策要求将原研保资金转为资本金注入及退回国库所致。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递延收益</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94,059,325.72</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67,049,213.96</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27,010,111.76</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40.28%</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主要为子公司博云东方本期收到国拔资金所致。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少数股东权益</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44,442,897.52</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21,811,935.95</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22,630,961.57</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103.75%</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主要为子公司长沙鑫航研保项目转为资本金注入，增加少数股东权益所致。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营业总收入</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649,373,847.71</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447,515,368.24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201,858,479.47</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45.11%</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主要为本期收入增长所致。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营业成本</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502,994,504.16</w:t>
            </w:r>
          </w:p>
        </w:tc>
        <w:tc>
          <w:tcPr>
            <w:tcW w:w="1515" w:type="dxa"/>
            <w:tcBorders>
              <w:top w:val="nil"/>
              <w:left w:val="nil"/>
              <w:bottom w:val="single" w:color="auto" w:sz="8" w:space="0"/>
              <w:right w:val="single" w:color="auto" w:sz="8" w:space="0"/>
            </w:tcBorders>
            <w:shd w:val="clear" w:color="auto" w:fill="auto"/>
            <w:noWrap/>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333333"/>
                <w:sz w:val="18"/>
                <w:szCs w:val="18"/>
              </w:rPr>
              <w:t>377,521,388.85</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125,473,115.31</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33.24%</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主要为本期营业收入增长使营业成本相应增长所致。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研发费用</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38,720,055.88</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29,526,135.20</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9,193,920.68</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31.14%</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主要为本期研发投入增加所致。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其他收益</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17,258,810.32</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36,057,592.96</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-18,798,782.64</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-52.14%</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主要为母公司博云新材上期收到退税款所致。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投资收益（损失以“－”号填列）</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0.00</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-8,606,146.66</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8,606,146.66</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主要为对合资公司的长期股权投资账面价值已减计至零，本期将超额亏损计入信用减值损失</w:t>
            </w:r>
            <w:r>
              <w:rPr>
                <w:rFonts w:hint="eastAsia" w:ascii="宋体" w:hAnsi="宋体" w:cs="宋体"/>
                <w:i w:val="0"/>
                <w:iCs w:val="0"/>
                <w:color w:val="000000"/>
                <w:sz w:val="18"/>
                <w:szCs w:val="18"/>
                <w:lang w:eastAsia="zh-CN"/>
              </w:rPr>
              <w:t>所</w:t>
            </w:r>
            <w:r>
              <w:rPr>
                <w:rFonts w:hint="eastAsia" w:ascii="宋体" w:hAnsi="宋体" w:eastAsia="宋体" w:cs="宋体"/>
                <w:i w:val="0"/>
                <w:iCs w:val="0"/>
                <w:color w:val="000000"/>
                <w:sz w:val="18"/>
                <w:szCs w:val="18"/>
              </w:rPr>
              <w:t>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信用减值损失（损失以“-”号填列）</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-18,347,705.03</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-1,255,031.73</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-17,092,673.30</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-1361.93%</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主要为对合资公司的长期股权投资账面价值已减计至零，本期将超额亏损计入信用减值损失</w:t>
            </w:r>
            <w:r>
              <w:rPr>
                <w:rFonts w:hint="eastAsia" w:ascii="宋体" w:hAnsi="宋体" w:cs="宋体"/>
                <w:i w:val="0"/>
                <w:iCs w:val="0"/>
                <w:color w:val="000000"/>
                <w:sz w:val="18"/>
                <w:szCs w:val="18"/>
                <w:lang w:eastAsia="zh-CN"/>
              </w:rPr>
              <w:t>所</w:t>
            </w:r>
            <w:r>
              <w:rPr>
                <w:rFonts w:hint="eastAsia" w:ascii="宋体" w:hAnsi="宋体" w:eastAsia="宋体" w:cs="宋体"/>
                <w:i w:val="0"/>
                <w:iCs w:val="0"/>
                <w:color w:val="000000"/>
                <w:sz w:val="18"/>
                <w:szCs w:val="18"/>
              </w:rPr>
              <w:t>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资产减值损失（损失以“-”号填列）</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90,760.29</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-27,379.32</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118,139.61</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431.49%</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主要为上期子公司博云东方未到期质保金减少,合同资产减值损失转回所致。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营业利润（亏损以</w:t>
            </w:r>
            <w:r>
              <w:rPr>
                <w:rFonts w:hint="default" w:ascii="Times New Roman" w:hAnsi="Times New Roman" w:cs="Times New Roman"/>
                <w:i w:val="0"/>
                <w:iCs w:val="0"/>
                <w:color w:val="000000"/>
                <w:sz w:val="18"/>
                <w:szCs w:val="18"/>
              </w:rPr>
              <w:t>“</w:t>
            </w:r>
            <w:r>
              <w:rPr>
                <w:rFonts w:hint="eastAsia" w:ascii="宋体" w:hAnsi="宋体" w:eastAsia="宋体" w:cs="宋体"/>
                <w:i w:val="0"/>
                <w:iCs w:val="0"/>
                <w:color w:val="000000"/>
                <w:sz w:val="18"/>
                <w:szCs w:val="18"/>
              </w:rPr>
              <w:t>－</w:t>
            </w:r>
            <w:r>
              <w:rPr>
                <w:rFonts w:hint="default" w:ascii="Times New Roman" w:hAnsi="Times New Roman" w:cs="Times New Roman"/>
                <w:i w:val="0"/>
                <w:iCs w:val="0"/>
                <w:color w:val="000000"/>
                <w:sz w:val="18"/>
                <w:szCs w:val="18"/>
              </w:rPr>
              <w:t>”</w:t>
            </w:r>
            <w:r>
              <w:rPr>
                <w:rFonts w:hint="eastAsia" w:ascii="宋体" w:hAnsi="宋体" w:eastAsia="宋体" w:cs="宋体"/>
                <w:i w:val="0"/>
                <w:iCs w:val="0"/>
                <w:color w:val="000000"/>
                <w:sz w:val="18"/>
                <w:szCs w:val="18"/>
              </w:rPr>
              <w:t>号填列）</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33,523,905.64</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2,669,179.26</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30,854,726.38</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1155.96%</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主要为本期收入及毛利率均同比上升导致利润增加</w:t>
            </w:r>
            <w:r>
              <w:rPr>
                <w:rFonts w:hint="eastAsia" w:ascii="宋体" w:hAnsi="宋体" w:cs="宋体"/>
                <w:i w:val="0"/>
                <w:iCs w:val="0"/>
                <w:color w:val="000000"/>
                <w:sz w:val="18"/>
                <w:szCs w:val="18"/>
                <w:lang w:eastAsia="zh-CN"/>
              </w:rPr>
              <w:t>所</w:t>
            </w:r>
            <w:r>
              <w:rPr>
                <w:rFonts w:hint="eastAsia" w:ascii="宋体" w:hAnsi="宋体" w:eastAsia="宋体" w:cs="宋体"/>
                <w:i w:val="0"/>
                <w:iCs w:val="0"/>
                <w:color w:val="000000"/>
                <w:sz w:val="18"/>
                <w:szCs w:val="18"/>
              </w:rPr>
              <w:t>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1663" w:type="dxa"/>
            <w:tcBorders>
              <w:top w:val="nil"/>
              <w:left w:val="single" w:color="auto" w:sz="8" w:space="0"/>
              <w:bottom w:val="single" w:color="auto" w:sz="4"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营业外支出</w:t>
            </w:r>
          </w:p>
        </w:tc>
        <w:tc>
          <w:tcPr>
            <w:tcW w:w="1515" w:type="dxa"/>
            <w:tcBorders>
              <w:top w:val="nil"/>
              <w:left w:val="nil"/>
              <w:bottom w:val="single" w:color="auto" w:sz="4"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122,780.50</w:t>
            </w:r>
          </w:p>
        </w:tc>
        <w:tc>
          <w:tcPr>
            <w:tcW w:w="1515" w:type="dxa"/>
            <w:tcBorders>
              <w:top w:val="nil"/>
              <w:left w:val="nil"/>
              <w:bottom w:val="single" w:color="auto" w:sz="4"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17,314,546.23</w:t>
            </w:r>
          </w:p>
        </w:tc>
        <w:tc>
          <w:tcPr>
            <w:tcW w:w="1560" w:type="dxa"/>
            <w:tcBorders>
              <w:top w:val="nil"/>
              <w:left w:val="nil"/>
              <w:bottom w:val="single" w:color="auto" w:sz="4"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-17,191,765.73</w:t>
            </w:r>
          </w:p>
        </w:tc>
        <w:tc>
          <w:tcPr>
            <w:tcW w:w="887" w:type="dxa"/>
            <w:tcBorders>
              <w:top w:val="nil"/>
              <w:left w:val="nil"/>
              <w:bottom w:val="single" w:color="auto" w:sz="4"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-99.29%</w:t>
            </w:r>
          </w:p>
        </w:tc>
        <w:tc>
          <w:tcPr>
            <w:tcW w:w="3420" w:type="dxa"/>
            <w:tcBorders>
              <w:top w:val="nil"/>
              <w:left w:val="nil"/>
              <w:bottom w:val="single" w:color="auto" w:sz="4"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主要为上期子公司长沙鑫航研保资金由政府补助变更为资本金注入，将2023年前累计已摊销部分1,709.65万元转入营业外支出所致。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1663"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利润总额（亏损总额以“－”号填列）</w:t>
            </w:r>
          </w:p>
        </w:tc>
        <w:tc>
          <w:tcPr>
            <w:tcW w:w="151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33,536,543.47</w:t>
            </w:r>
          </w:p>
        </w:tc>
        <w:tc>
          <w:tcPr>
            <w:tcW w:w="151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-13,899,369.73</w:t>
            </w:r>
          </w:p>
        </w:tc>
        <w:tc>
          <w:tcPr>
            <w:tcW w:w="156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47,435,913.20</w:t>
            </w:r>
          </w:p>
        </w:tc>
        <w:tc>
          <w:tcPr>
            <w:tcW w:w="887"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341.28%</w:t>
            </w:r>
          </w:p>
        </w:tc>
        <w:tc>
          <w:tcPr>
            <w:tcW w:w="342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主要为本期收入及毛利率均同比上升导致利润增加</w:t>
            </w:r>
            <w:r>
              <w:rPr>
                <w:rFonts w:hint="eastAsia" w:ascii="宋体" w:hAnsi="宋体" w:cs="宋体"/>
                <w:i w:val="0"/>
                <w:iCs w:val="0"/>
                <w:color w:val="000000"/>
                <w:sz w:val="18"/>
                <w:szCs w:val="18"/>
                <w:lang w:eastAsia="zh-CN"/>
              </w:rPr>
              <w:t>所</w:t>
            </w:r>
            <w:r>
              <w:rPr>
                <w:rFonts w:hint="eastAsia" w:ascii="宋体" w:hAnsi="宋体" w:eastAsia="宋体" w:cs="宋体"/>
                <w:i w:val="0"/>
                <w:iCs w:val="0"/>
                <w:color w:val="000000"/>
                <w:sz w:val="18"/>
                <w:szCs w:val="18"/>
              </w:rPr>
              <w:t>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1663" w:type="dxa"/>
            <w:tcBorders>
              <w:top w:val="single" w:color="auto" w:sz="4" w:space="0"/>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净利润（净亏损以</w:t>
            </w:r>
            <w:r>
              <w:rPr>
                <w:rFonts w:hint="default" w:ascii="Times New Roman" w:hAnsi="Times New Roman" w:cs="Times New Roman"/>
                <w:i w:val="0"/>
                <w:iCs w:val="0"/>
                <w:color w:val="000000"/>
                <w:sz w:val="18"/>
                <w:szCs w:val="18"/>
              </w:rPr>
              <w:t>“</w:t>
            </w:r>
            <w:r>
              <w:rPr>
                <w:rFonts w:hint="eastAsia" w:ascii="宋体" w:hAnsi="宋体" w:eastAsia="宋体" w:cs="宋体"/>
                <w:i w:val="0"/>
                <w:iCs w:val="0"/>
                <w:color w:val="000000"/>
                <w:sz w:val="18"/>
                <w:szCs w:val="18"/>
              </w:rPr>
              <w:t>－</w:t>
            </w:r>
            <w:r>
              <w:rPr>
                <w:rFonts w:hint="default" w:ascii="Times New Roman" w:hAnsi="Times New Roman" w:cs="Times New Roman"/>
                <w:i w:val="0"/>
                <w:iCs w:val="0"/>
                <w:color w:val="000000"/>
                <w:sz w:val="18"/>
                <w:szCs w:val="18"/>
              </w:rPr>
              <w:t>”</w:t>
            </w:r>
            <w:r>
              <w:rPr>
                <w:rFonts w:hint="eastAsia" w:ascii="宋体" w:hAnsi="宋体" w:eastAsia="宋体" w:cs="宋体"/>
                <w:i w:val="0"/>
                <w:iCs w:val="0"/>
                <w:color w:val="000000"/>
                <w:sz w:val="18"/>
                <w:szCs w:val="18"/>
              </w:rPr>
              <w:t>号填列）</w:t>
            </w:r>
          </w:p>
        </w:tc>
        <w:tc>
          <w:tcPr>
            <w:tcW w:w="1515" w:type="dxa"/>
            <w:tcBorders>
              <w:top w:val="single" w:color="auto" w:sz="4"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29,611,366.92</w:t>
            </w:r>
          </w:p>
        </w:tc>
        <w:tc>
          <w:tcPr>
            <w:tcW w:w="1515" w:type="dxa"/>
            <w:tcBorders>
              <w:top w:val="single" w:color="auto" w:sz="4"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-17,416,113.33</w:t>
            </w:r>
          </w:p>
        </w:tc>
        <w:tc>
          <w:tcPr>
            <w:tcW w:w="1560" w:type="dxa"/>
            <w:tcBorders>
              <w:top w:val="single" w:color="auto" w:sz="4"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47,027,480.25</w:t>
            </w:r>
          </w:p>
        </w:tc>
        <w:tc>
          <w:tcPr>
            <w:tcW w:w="887" w:type="dxa"/>
            <w:tcBorders>
              <w:top w:val="single" w:color="auto" w:sz="4"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270.02%</w:t>
            </w:r>
          </w:p>
        </w:tc>
        <w:tc>
          <w:tcPr>
            <w:tcW w:w="3420" w:type="dxa"/>
            <w:tcBorders>
              <w:top w:val="single" w:color="auto" w:sz="4" w:space="0"/>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主要为本期收入及毛利率均同比上升导致利润增加</w:t>
            </w:r>
            <w:r>
              <w:rPr>
                <w:rFonts w:hint="eastAsia" w:ascii="宋体" w:hAnsi="宋体" w:cs="宋体"/>
                <w:i w:val="0"/>
                <w:iCs w:val="0"/>
                <w:color w:val="000000"/>
                <w:sz w:val="18"/>
                <w:szCs w:val="18"/>
                <w:lang w:eastAsia="zh-CN"/>
              </w:rPr>
              <w:t>所</w:t>
            </w:r>
            <w:r>
              <w:rPr>
                <w:rFonts w:hint="eastAsia" w:ascii="宋体" w:hAnsi="宋体" w:eastAsia="宋体" w:cs="宋体"/>
                <w:i w:val="0"/>
                <w:iCs w:val="0"/>
                <w:color w:val="000000"/>
                <w:sz w:val="18"/>
                <w:szCs w:val="18"/>
              </w:rPr>
              <w:t>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经营活动产生的现金流量净额</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43,501,728.05</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15,537,363.16</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27,964,364.89</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179.98%</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主要为本期博云东方</w:t>
            </w:r>
            <w:r>
              <w:rPr>
                <w:rFonts w:hint="eastAsia" w:ascii="宋体" w:hAnsi="宋体" w:cs="宋体"/>
                <w:color w:val="000000"/>
                <w:sz w:val="18"/>
                <w:szCs w:val="18"/>
              </w:rPr>
              <w:t>、</w:t>
            </w:r>
            <w:r>
              <w:rPr>
                <w:rFonts w:ascii="宋体" w:hAnsi="宋体" w:cs="宋体"/>
                <w:color w:val="000000"/>
                <w:sz w:val="18"/>
                <w:szCs w:val="18"/>
              </w:rPr>
              <w:t>长沙鑫航</w:t>
            </w:r>
            <w:r>
              <w:rPr>
                <w:rFonts w:hint="eastAsia" w:ascii="宋体" w:hAnsi="宋体" w:eastAsia="宋体" w:cs="宋体"/>
                <w:i w:val="0"/>
                <w:iCs w:val="0"/>
                <w:color w:val="000000"/>
                <w:sz w:val="18"/>
                <w:szCs w:val="18"/>
              </w:rPr>
              <w:t>销售商品、提供劳务收到的现金增加及收到国拨资金所致。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筹资活动产生的现金流量净额</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67,329,308.04</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114,278,695.81</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-46,949,387.77</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-41.08%</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主要为本期偿还债务支付的现金增加所致。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63"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现金及现金等价物净增加额</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29,604,425.44</w:t>
            </w:r>
          </w:p>
        </w:tc>
        <w:tc>
          <w:tcPr>
            <w:tcW w:w="1515"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50,797,827.06</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-21,193,401.62</w:t>
            </w:r>
          </w:p>
        </w:tc>
        <w:tc>
          <w:tcPr>
            <w:tcW w:w="887"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-41.72%</w:t>
            </w:r>
          </w:p>
        </w:tc>
        <w:tc>
          <w:tcPr>
            <w:tcW w:w="3420" w:type="dxa"/>
            <w:tcBorders>
              <w:top w:val="nil"/>
              <w:left w:val="nil"/>
              <w:bottom w:val="single" w:color="auto" w:sz="8" w:space="0"/>
              <w:right w:val="single" w:color="auto" w:sz="8" w:space="0"/>
            </w:tcBorders>
            <w:shd w:val="clear" w:color="auto" w:fill="auto"/>
            <w:tcMar>
              <w:bottom w:w="0" w:type="dxa"/>
            </w:tcMar>
            <w:vAlign w:val="center"/>
          </w:tcPr>
          <w:p>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主要为经营活动产生的现金流量净额增加和筹资活动产生的现金流量净额减少所致。</w:t>
            </w:r>
          </w:p>
        </w:tc>
      </w:tr>
    </w:tbl>
    <w:p>
      <w:pPr>
        <w:pStyle w:val="10"/>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pPr>
        <w:pStyle w:val="2"/>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984"/>
        <w:gridCol w:w="495"/>
        <w:gridCol w:w="652"/>
        <w:gridCol w:w="578"/>
        <w:gridCol w:w="930"/>
        <w:gridCol w:w="1335"/>
        <w:gridCol w:w="960"/>
        <w:gridCol w:w="328"/>
        <w:gridCol w:w="88"/>
        <w:gridCol w:w="634"/>
        <w:gridCol w:w="6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trPr>
        <w:tc>
          <w:tcPr>
            <w:tcW w:w="2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147"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72,055</w:t>
            </w:r>
          </w:p>
        </w:tc>
        <w:tc>
          <w:tcPr>
            <w:tcW w:w="413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377"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5"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股东名称</w:t>
            </w:r>
          </w:p>
        </w:tc>
        <w:tc>
          <w:tcPr>
            <w:tcW w:w="1725"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股东性质</w:t>
            </w:r>
          </w:p>
        </w:tc>
        <w:tc>
          <w:tcPr>
            <w:tcW w:w="93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持股比例</w:t>
            </w:r>
          </w:p>
        </w:tc>
        <w:tc>
          <w:tcPr>
            <w:tcW w:w="133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持股数量</w:t>
            </w:r>
          </w:p>
        </w:tc>
        <w:tc>
          <w:tcPr>
            <w:tcW w:w="96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7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25"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3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3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6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5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股份状态</w:t>
            </w:r>
          </w:p>
        </w:tc>
        <w:tc>
          <w:tcPr>
            <w:tcW w:w="6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国有法人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12.65%</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72,472,129</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国有法人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6.71%</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38,457,202</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国有法人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4.22%</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24,193,548</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肇庆市泓力房地产发展有限公司</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境内非国有法人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0.80%</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4,583,300</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吴仲銮</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0.43%</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2,446,432</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青岛弘华私募基金管理有限公司－航空产业融合发展（青岛）股权投资基金合伙企业（有限合伙）</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其他</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0.34%</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1,928,416</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王贵春</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0.34%</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1,921,400</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熊翔</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0.32%</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1,836,000</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许凯嘉</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0.28%</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1,598,700</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84"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夏保军</w:t>
            </w:r>
          </w:p>
        </w:tc>
        <w:tc>
          <w:tcPr>
            <w:tcW w:w="1725"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0.28%</w:t>
            </w:r>
          </w:p>
        </w:tc>
        <w:tc>
          <w:tcPr>
            <w:tcW w:w="133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1,580,000</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050"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655"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股东名称</w:t>
            </w:r>
          </w:p>
        </w:tc>
        <w:tc>
          <w:tcPr>
            <w:tcW w:w="3495"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665"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股份种类及数量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495"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6"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股份种类</w:t>
            </w:r>
          </w:p>
        </w:tc>
        <w:tc>
          <w:tcPr>
            <w:tcW w:w="128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72,472,129</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38,457,202</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38,457,202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24,193,548</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24,193,548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肇庆市泓力房地产发展有限公司</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4,583,300</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4,583,300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吴仲銮</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2,446,432</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2,446,432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青岛弘华私募基金管理有限公司－航空产业融合发展（青岛）股权投资基金合伙企业（有限合伙）</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1,928,416</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1,928,416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王贵春</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1,921,400</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1,921,400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熊翔</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1,836,000</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1,836,000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许凯嘉</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1,598,700</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1,598,700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夏保军</w:t>
            </w:r>
          </w:p>
        </w:tc>
        <w:tc>
          <w:tcPr>
            <w:tcW w:w="3495"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1,580,000</w:t>
            </w:r>
          </w:p>
        </w:tc>
        <w:tc>
          <w:tcPr>
            <w:tcW w:w="13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289"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160" w:type="dxa"/>
            <w:gridSpan w:val="9"/>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6160" w:type="dxa"/>
            <w:gridSpan w:val="9"/>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公司前10名股东肇庆市泓力房地产发展有限公司通过投资者信用账户持有公司股票4143900股，通过普通证券账户持有439400股，普通证券账户及投资者信用账户合计持有4583300股；股东吴仲銮通过投资者信用账户持有公司股票2048500股，通过普通证券账户持有397932股，普通证券账户及投资者信用账户合计持有2446432股；股东许凯嘉通过投资者信用账户持有公司股票1444553股，通过普通证券账户持有154147股，普通证券账户及投资者信用账户合计持有1598700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2"/>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10"/>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10"/>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pStyle w:val="2"/>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pStyle w:val="3"/>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w:t>
      </w:r>
      <w:r>
        <w:rPr>
          <w:rFonts w:hint="eastAsia" w:ascii="宋体" w:hAnsi="宋体" w:cs="宋体"/>
          <w:b/>
          <w:bCs/>
          <w:sz w:val="21"/>
          <w:szCs w:val="21"/>
          <w:lang w:val="en-US" w:eastAsia="zh-CN"/>
        </w:rPr>
        <w:t>.</w:t>
      </w:r>
      <w:r>
        <w:rPr>
          <w:rFonts w:ascii="宋体" w:hAnsi="宋体" w:eastAsia="宋体" w:cs="宋体"/>
          <w:b/>
          <w:bCs/>
          <w:sz w:val="21"/>
          <w:szCs w:val="21"/>
        </w:rPr>
        <w:t>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587,704,005.22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560,769,511.15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94,528,926.31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55,114,644.89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481,720,110.76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406,996,000.12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19,124,092.51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4,488,656.99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12,869,082.48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12,176,444.23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2,899,048.56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2,592,082.96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552,720,511.61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536,734,222.18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2,935,474.44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3,353,380.24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4,350,237.58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6,769,136.01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1,758,851,489.47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1,588,994,078.77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89,111,401.05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89,111,401.05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896,344,372.37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922,527,643.47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14,642,174.44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16,311,417.71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245,501,265.06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255,470,959.01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55,394,563.87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36,855,666.49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4,684,204.50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5,699,759.90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42,971,622.17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39,786,877.06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11,289,051.88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4,335,996.94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1,359,938,655.34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1,370,099,721.63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3,118,790,144.81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2,959,093,800.40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405,500,000.00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320,257,847.26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116,804,443.87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113,510,103.41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191,015,377.95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182,117,635.81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969,898.32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693,680.95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31,886,667.12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12,685,882.34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26,880,961.95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34,513,117.28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7,040,663.51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10,179,415.04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4,632,665.18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6,379,893.48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30,024,166.67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67,284,198.07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49,490,019.02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872,014,875.97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759,851,761.26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54,310,000.00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94,059,325.72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67,049,213.96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4,186,620.85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4,519,925.02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98,245,946.57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125,879,138.98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970,260,822.54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885,730,900.24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1,700,860,199.05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4,961,525.86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4,961,525.86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-194,781,075.12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-224,818,029.68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2,104,086,424.75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2,051,550,964.21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44,442,897.52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21,811,935.95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2,148,529,322.27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2,073,362,900.16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3,118,790,144.81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2,959,093,800.40</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法定代表人：戴志利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会计机构负责人：夏思维</w:t>
      </w:r>
    </w:p>
    <w:p>
      <w:pPr>
        <w:pStyle w:val="3"/>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w:t>
      </w:r>
      <w:r>
        <w:rPr>
          <w:rFonts w:hint="eastAsia" w:ascii="宋体" w:hAnsi="宋体" w:cs="宋体"/>
          <w:b/>
          <w:bCs/>
          <w:sz w:val="21"/>
          <w:szCs w:val="21"/>
          <w:lang w:val="en-US" w:eastAsia="zh-CN"/>
        </w:rPr>
        <w:t>.</w:t>
      </w:r>
      <w:r>
        <w:rPr>
          <w:rFonts w:ascii="宋体" w:hAnsi="宋体" w:eastAsia="宋体" w:cs="宋体"/>
          <w:b/>
          <w:bCs/>
          <w:sz w:val="21"/>
          <w:szCs w:val="21"/>
        </w:rPr>
        <w:t>合并年初到报告期末利润表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649,373,847.71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447,515,368.24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649,373,847.71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447,515,368.24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614,926,181.35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471,015,224.23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502,994,504.16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377,521,388.85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8,589,603.83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6,763,011.65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15,047,359.33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11,720,535.79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47,312,073.11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43,129,158.41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38,720,055.88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29,526,135.20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2,262,585.04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2,354,994.33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7,888,678.03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7,274,682.36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4,640,140.63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5,395,189.20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17,258,810.32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36,057,592.96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-8,606,146.66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-10,434,638.66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-18,347,705.03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-1,255,031.73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90,760.29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-27,379.32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74,373.70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33,523,905.64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2,669,179.26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135,418.33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745,997.24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122,780.50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17,314,546.23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33,536,543.47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-13,899,369.73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3,925,176.55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3,516,743.60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29,611,366.92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-17,416,113.33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29,611,366.92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-17,416,113.33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30,036,954.56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-16,844,081.51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-425,587.64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-572,031.82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29,611,366.92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-17,416,113.33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30,036,954.56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-16,844,081.51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-425,587.64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-572,031.82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-0.0294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法定代表人：戴志利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会计机构负责人：夏思维</w:t>
      </w:r>
    </w:p>
    <w:p>
      <w:pPr>
        <w:pStyle w:val="3"/>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w:t>
      </w:r>
      <w:r>
        <w:rPr>
          <w:rFonts w:hint="eastAsia" w:ascii="宋体" w:hAnsi="宋体" w:cs="宋体"/>
          <w:b/>
          <w:bCs/>
          <w:sz w:val="21"/>
          <w:szCs w:val="21"/>
          <w:lang w:val="en-US" w:eastAsia="zh-CN"/>
        </w:rPr>
        <w:t>.</w:t>
      </w:r>
      <w:r>
        <w:rPr>
          <w:rFonts w:ascii="宋体" w:hAnsi="宋体" w:eastAsia="宋体" w:cs="宋体"/>
          <w:b/>
          <w:bCs/>
          <w:sz w:val="21"/>
          <w:szCs w:val="21"/>
        </w:rPr>
        <w:t>合并年初到报告期末现金流量表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441,063,363.58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331,278,790.51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12,909,681.78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35,805,663.74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69,543,628.34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35,079,763.67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523,516,673.70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402,164,217.92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243,225,854.31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201,139,370.58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129,872,231.58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117,475,122.73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41,676,024.07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23,336,179.70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65,240,835.69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44,676,181.75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480,014,945.65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386,626,854.76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43,501,728.05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15,537,363.16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9,099,722.00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1,828,492.00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9,120.00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2,983,421.48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20,913,498.40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2,992,541.48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31,841,712.40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84,265,511.43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71,076,856.29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39,835,801.85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84,265,511.43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110,912,658.14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-81,272,969.95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-79,070,945.74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421,000,000.00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350,000,000.00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421,000,000.00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350,000,000.00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345,500,000.00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8,170,691.96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5,721,304.19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353,670,691.96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235,721,304.19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67,329,308.04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114,278,695.81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46,359.30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52,713.83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29,604,425.44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50,797,827.06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569,172,782.01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ascii="宋体" w:hAnsi="宋体" w:eastAsia="宋体" w:cs="宋体"/>
                <w:sz w:val="18"/>
                <w:szCs w:val="18"/>
              </w:rPr>
            </w:pPr>
            <w:r>
              <w:rPr>
                <w:rFonts w:ascii="宋体" w:hAnsi="宋体" w:eastAsia="宋体" w:cs="宋体"/>
                <w:sz w:val="18"/>
                <w:szCs w:val="18"/>
              </w:rPr>
              <w:t>515,348,769.27</w:t>
            </w:r>
          </w:p>
        </w:tc>
      </w:tr>
    </w:tbl>
    <w:p>
      <w:pPr>
        <w:pStyle w:val="2"/>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2025年起首次执行新会计准则调整首次执行当年年初财务报表相关项目情况</w:t>
      </w:r>
      <w:bookmarkEnd w:id="1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2"/>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 审计报告</w:t>
      </w:r>
      <w:bookmarkEnd w:id="14"/>
    </w:p>
    <w:p>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第三季度财务会计报告是否经过审计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公司第三季度财务会计报告未经审计。</w:t>
      </w: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r>
        <w:rPr>
          <w:rFonts w:ascii="宋体" w:hAnsi="宋体" w:eastAsia="宋体" w:cs="宋体"/>
          <w:sz w:val="18"/>
          <w:szCs w:val="18"/>
        </w:rPr>
        <w:t>湖南博云新材料股份有限公司董事会</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1"/>
      </w:pBdr>
    </w:pPr>
    <w:r>
      <w:t>湖南博云新材料股份有限公司2025年第三季度报告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YzlhZDM3OWM2NmRhMzBiMDYxYjgzYzJiMWE5MTRlNzAifQ=="/>
  </w:docVars>
  <w:rsids>
    <w:rsidRoot w:val="00000000"/>
    <w:rsid w:val="03D86515"/>
    <w:rsid w:val="13022463"/>
    <w:rsid w:val="22183871"/>
    <w:rsid w:val="2E1C6EBB"/>
    <w:rsid w:val="37FD3AF0"/>
    <w:rsid w:val="3D1D78C2"/>
    <w:rsid w:val="61131A15"/>
    <w:rsid w:val="65763C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39"/>
  </w:style>
  <w:style w:type="paragraph" w:styleId="5">
    <w:name w:val="toc 2"/>
    <w:basedOn w:val="1"/>
    <w:next w:val="1"/>
    <w:unhideWhenUsed/>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eader 1"/>
    <w:qFormat/>
    <w:uiPriority w:val="0"/>
    <w:pPr>
      <w:jc w:val="right"/>
    </w:pPr>
    <w:rPr>
      <w:rFonts w:ascii="宋体" w:hAnsi="Times New Roman" w:eastAsia="宋体" w:cs="Times New Roman"/>
      <w:sz w:val="18"/>
      <w:szCs w:val="18"/>
    </w:rPr>
  </w:style>
  <w:style w:type="paragraph" w:customStyle="1" w:styleId="10">
    <w:name w:val="heading h1"/>
    <w:basedOn w:val="1"/>
    <w:next w:val="1"/>
    <w:qFormat/>
    <w:uiPriority w:val="9"/>
    <w:pPr>
      <w:keepNext/>
      <w:keepLines/>
      <w:spacing w:before="240" w:after="240" w:line="578" w:lineRule="auto"/>
      <w:outlineLvl w:val="0"/>
    </w:pPr>
    <w:rPr>
      <w:kern w:val="44"/>
      <w:sz w:val="44"/>
      <w:szCs w:val="44"/>
    </w:rPr>
  </w:style>
  <w:style w:type="paragraph" w:customStyle="1" w:styleId="11">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5680</Words>
  <Characters>9975</Characters>
  <TotalTime>3</TotalTime>
  <ScaleCrop>false</ScaleCrop>
  <LinksUpToDate>false</LinksUpToDate>
  <CharactersWithSpaces>10128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2025-10-21T01:12:00Z</dcterms:created>
  <dc:creator>Administrator</dc:creator>
  <cp:lastModifiedBy>张爱丽</cp:lastModifiedBy>
  <dcterms:modified xsi:type="dcterms:W3CDTF">2025-10-24T07:48:51Z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FB45C335E8D642DD9C42B37EEB6F4A1B</vt:lpwstr>
  </property>
</Properties>
</file>