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湖南博云新材料股份有限公司</w:t>
      </w:r>
    </w:p>
    <w:p>
      <w:pPr>
        <w:spacing w:before="1000" w:after="0" w:line="320" w:lineRule="exact"/>
        <w:jc w:val="center"/>
        <w:rPr>
          <w:rFonts w:ascii="宋体" w:hAnsi="宋体" w:eastAsia="宋体" w:cs="宋体"/>
          <w:b/>
          <w:bCs/>
          <w:sz w:val="32"/>
          <w:szCs w:val="32"/>
        </w:rPr>
      </w:pPr>
      <w:r>
        <w:rPr>
          <w:rFonts w:ascii="宋体" w:hAnsi="宋体" w:eastAsia="宋体" w:cs="宋体"/>
          <w:b/>
          <w:bCs/>
          <w:sz w:val="32"/>
          <w:szCs w:val="32"/>
        </w:rPr>
        <w:t>2025年半年度报告</w:t>
      </w:r>
    </w:p>
    <w:p>
      <w:pPr>
        <w:spacing w:before="1000" w:after="0" w:line="240" w:lineRule="exact"/>
        <w:jc w:val="center"/>
        <w:rPr>
          <w:rFonts w:ascii="宋体" w:hAnsi="宋体" w:eastAsia="宋体" w:cs="宋体"/>
          <w:b/>
          <w:bCs/>
          <w:sz w:val="21"/>
          <w:szCs w:val="21"/>
        </w:rPr>
      </w:pPr>
    </w:p>
    <w:p>
      <w:pPr>
        <w:spacing w:before="1000" w:after="1000" w:line="0" w:lineRule="exact"/>
        <w:jc w:val="center"/>
        <w:rPr>
          <w:rFonts w:ascii="Times New Roman" w:hAnsi="Times New Roman" w:eastAsia="宋体" w:cs="Times New Roman"/>
        </w:rPr>
      </w:pPr>
      <w:r>
        <w:drawing>
          <wp:anchor distT="0" distB="0" distL="114300" distR="114300" simplePos="0" relativeHeight="251659264" behindDoc="0" locked="0" layoutInCell="1" allowOverlap="1">
            <wp:simplePos x="0" y="0"/>
            <wp:positionH relativeFrom="column">
              <wp:posOffset>1800225</wp:posOffset>
            </wp:positionH>
            <wp:positionV relativeFrom="paragraph">
              <wp:posOffset>388620</wp:posOffset>
            </wp:positionV>
            <wp:extent cx="2400300" cy="19335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400300" cy="1933575"/>
                    </a:xfrm>
                    <a:prstGeom prst="rect">
                      <a:avLst/>
                    </a:prstGeom>
                    <a:noFill/>
                    <a:ln>
                      <a:noFill/>
                    </a:ln>
                  </pic:spPr>
                </pic:pic>
              </a:graphicData>
            </a:graphic>
          </wp:anchor>
        </w:drawing>
      </w:r>
    </w:p>
    <w:p>
      <w:pPr>
        <w:spacing w:before="400" w:after="0" w:line="320" w:lineRule="exact"/>
        <w:jc w:val="center"/>
        <w:rPr>
          <w:rFonts w:ascii="宋体" w:hAnsi="宋体" w:eastAsia="宋体" w:cs="宋体"/>
          <w:b/>
          <w:bCs/>
          <w:sz w:val="32"/>
          <w:szCs w:val="32"/>
        </w:rPr>
      </w:pPr>
    </w:p>
    <w:p>
      <w:pPr>
        <w:spacing w:before="400" w:after="0" w:line="320" w:lineRule="exact"/>
        <w:jc w:val="center"/>
        <w:rPr>
          <w:rFonts w:ascii="宋体" w:hAnsi="宋体" w:eastAsia="宋体" w:cs="宋体"/>
          <w:b/>
          <w:bCs/>
          <w:sz w:val="32"/>
          <w:szCs w:val="32"/>
        </w:rPr>
      </w:pPr>
    </w:p>
    <w:p>
      <w:pPr>
        <w:spacing w:before="400" w:after="0" w:line="320" w:lineRule="exact"/>
        <w:jc w:val="center"/>
        <w:rPr>
          <w:rFonts w:ascii="宋体" w:hAnsi="宋体" w:eastAsia="宋体" w:cs="宋体"/>
          <w:b/>
          <w:bCs/>
          <w:sz w:val="32"/>
          <w:szCs w:val="32"/>
        </w:rPr>
      </w:pPr>
    </w:p>
    <w:p>
      <w:pPr>
        <w:spacing w:before="400" w:after="0" w:line="320" w:lineRule="exact"/>
        <w:jc w:val="center"/>
        <w:rPr>
          <w:rFonts w:ascii="宋体" w:hAnsi="宋体" w:eastAsia="宋体" w:cs="宋体"/>
          <w:b/>
          <w:bCs/>
          <w:sz w:val="32"/>
          <w:szCs w:val="32"/>
        </w:rPr>
      </w:pPr>
    </w:p>
    <w:p>
      <w:pPr>
        <w:spacing w:before="400" w:after="0" w:line="320" w:lineRule="exact"/>
        <w:jc w:val="center"/>
        <w:rPr>
          <w:rFonts w:ascii="宋体" w:hAnsi="宋体" w:eastAsia="宋体" w:cs="宋体"/>
          <w:b/>
          <w:bCs/>
          <w:sz w:val="32"/>
          <w:szCs w:val="32"/>
        </w:rPr>
      </w:pPr>
    </w:p>
    <w:p>
      <w:pPr>
        <w:spacing w:before="400" w:after="0" w:line="320" w:lineRule="exact"/>
        <w:jc w:val="center"/>
        <w:rPr>
          <w:rFonts w:ascii="宋体" w:hAnsi="宋体" w:eastAsia="宋体" w:cs="宋体"/>
          <w:b/>
          <w:bCs/>
          <w:sz w:val="32"/>
          <w:szCs w:val="32"/>
        </w:rPr>
      </w:pPr>
      <w:r>
        <w:rPr>
          <w:rFonts w:ascii="宋体" w:hAnsi="宋体" w:eastAsia="宋体" w:cs="宋体"/>
          <w:b/>
          <w:bCs/>
          <w:sz w:val="32"/>
          <w:szCs w:val="32"/>
        </w:rPr>
        <w:t>【</w:t>
      </w:r>
      <w:r>
        <w:rPr>
          <w:rFonts w:hint="eastAsia" w:ascii="宋体" w:hAnsi="宋体" w:cs="宋体"/>
          <w:b/>
          <w:bCs/>
          <w:sz w:val="32"/>
          <w:szCs w:val="32"/>
          <w:lang w:val="en-US" w:eastAsia="zh-CN"/>
        </w:rPr>
        <w:t>2025年8月</w:t>
      </w:r>
      <w:r>
        <w:rPr>
          <w:rFonts w:ascii="宋体" w:hAnsi="宋体" w:eastAsia="宋体" w:cs="宋体"/>
          <w:b/>
          <w:bCs/>
          <w:sz w:val="32"/>
          <w:szCs w:val="32"/>
        </w:rPr>
        <w:t>】</w:t>
      </w:r>
    </w:p>
    <w:p>
      <w:r>
        <w:br w:type="page"/>
      </w:r>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公司董事会、监事会及董事、监事、高级管理人员保证半年度报告内容的真实、准确、完整，不存在虚假记载、误导性陈述或者重大遗漏，并承担个别和连带的法律责任。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公司负责人戴志利、主管会计工作负责人严琦及会计机构负责人(会计主管人员)夏思维声明：保证本半年度报告中财务报告的真实、准确、完整。</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所有董事均已出席了审议本次半年报的董事会会议。</w:t>
      </w:r>
    </w:p>
    <w:p>
      <w:pPr>
        <w:pStyle w:val="4"/>
        <w:keepNext w:val="0"/>
        <w:keepLines w:val="0"/>
        <w:widowControl/>
        <w:suppressLineNumbers w:val="0"/>
        <w:spacing w:line="560" w:lineRule="atLeast"/>
        <w:ind w:left="0" w:firstLine="420"/>
        <w:rPr>
          <w:rFonts w:hint="eastAsia" w:ascii="宋体" w:hAnsi="宋体" w:eastAsia="宋体" w:cs="宋体"/>
          <w:b/>
          <w:bCs/>
          <w:sz w:val="28"/>
          <w:szCs w:val="28"/>
        </w:rPr>
      </w:pPr>
      <w:r>
        <w:rPr>
          <w:rFonts w:hint="eastAsia" w:ascii="宋体" w:hAnsi="宋体" w:eastAsia="宋体" w:cs="宋体"/>
          <w:b/>
          <w:bCs/>
          <w:sz w:val="28"/>
          <w:szCs w:val="28"/>
        </w:rPr>
        <w:t>公司在本报告第三节“管理层讨论与分析”之“十、公司面临的风险和应对措施”部分描述了公司未来经营中可能面临的风险，敬请广大投资者注意查阅。</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r>
        <w:br w:type="page"/>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jc w:val="center"/>
        <w:textAlignment w:val="auto"/>
        <w:rPr>
          <w:rFonts w:ascii="Times New Roman" w:hAnsi="Times New Roman" w:eastAsia="宋体" w:cs="Times New Roman"/>
          <w:b/>
          <w:bCs/>
          <w:sz w:val="32"/>
          <w:szCs w:val="32"/>
        </w:rPr>
      </w:pPr>
      <w:r>
        <w:rPr>
          <w:rFonts w:ascii="Times New Roman" w:hAnsi="Times New Roman" w:eastAsia="宋体" w:cs="Times New Roman"/>
          <w:b/>
          <w:bCs/>
          <w:sz w:val="32"/>
          <w:szCs w:val="32"/>
        </w:rPr>
        <w:t>目</w:t>
      </w:r>
      <w:r>
        <w:rPr>
          <w:rFonts w:hint="eastAsia" w:cs="Times New Roman"/>
          <w:b/>
          <w:bCs/>
          <w:sz w:val="32"/>
          <w:szCs w:val="32"/>
          <w:lang w:val="en-US" w:eastAsia="zh-CN"/>
        </w:rPr>
        <w:t xml:space="preserve">        </w:t>
      </w:r>
      <w:r>
        <w:rPr>
          <w:rFonts w:ascii="Times New Roman" w:hAnsi="Times New Roman" w:eastAsia="宋体" w:cs="Times New Roman"/>
          <w:b/>
          <w:bCs/>
          <w:sz w:val="32"/>
          <w:szCs w:val="32"/>
        </w:rPr>
        <w:t>录</w:t>
      </w:r>
    </w:p>
    <w:p>
      <w:pPr>
        <w:keepNext w:val="0"/>
        <w:keepLines w:val="0"/>
        <w:pageBreakBefore w:val="0"/>
        <w:widowControl w:val="0"/>
        <w:tabs>
          <w:tab w:val="left" w:leader="dot" w:pos="9469"/>
        </w:tabs>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sz w:val="32"/>
          <w:szCs w:val="32"/>
        </w:rPr>
      </w:pP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w:instrText>
      </w:r>
      <w:r>
        <w:rPr>
          <w:rFonts w:hint="eastAsia" w:ascii="Times New Roman" w:hAnsi="Times New Roman" w:eastAsia="宋体" w:cs="Times New Roman"/>
          <w:b w:val="0"/>
          <w:bCs w:val="0"/>
          <w:sz w:val="24"/>
          <w:szCs w:val="24"/>
        </w:rPr>
        <w:instrText xml:space="preserve">TOC \o "1-2" \h \z \u</w:instrText>
      </w:r>
      <w:r>
        <w:rPr>
          <w:rFonts w:ascii="Times New Roman" w:hAnsi="Times New Roman" w:eastAsia="宋体" w:cs="Times New Roman"/>
          <w:b w:val="0"/>
          <w:bCs w:val="0"/>
          <w:sz w:val="24"/>
          <w:szCs w:val="24"/>
        </w:rPr>
        <w:instrText xml:space="preserve"> </w:instrText>
      </w:r>
      <w:r>
        <w:rPr>
          <w:rFonts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"_Toc988889"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第一节 重要提示、目录和释义</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_Toc988889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"_Toc988890"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第二节 公司简介和主要财务指标</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_Toc988890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6</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"_Toc988902"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第三节 管理层讨论与分析</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_Toc988902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9</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"_Toc988931"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第四节 公司治理、环境和社会</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_Toc988931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21</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"_Toc988937"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第五节 重要事项</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_Toc988937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23</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"_Toc988966"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第六节 股份变动及股东情况</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_Toc988966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27</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"_Toc988975"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第七节 债券相关情况</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_Toc988975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31</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rPr>
          <w:rFonts w:ascii="Times New Roman" w:hAnsi="Times New Roman" w:eastAsia="宋体" w:cs="Times New Roman"/>
          <w:b w:val="0"/>
          <w:bCs w:val="0"/>
          <w:sz w:val="24"/>
          <w:szCs w:val="24"/>
        </w:rPr>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"_Toc988976"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第八节 财务报告</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_Toc988976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32</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pPr>
        <w:keepNext w:val="0"/>
        <w:keepLines w:val="0"/>
        <w:pageBreakBefore w:val="0"/>
        <w:widowControl w:val="0"/>
        <w:tabs>
          <w:tab w:val="left" w:leader="dot" w:pos="9469"/>
        </w:tabs>
        <w:kinsoku/>
        <w:wordWrap/>
        <w:overflowPunct/>
        <w:topLinePunct w:val="0"/>
        <w:autoSpaceDE/>
        <w:autoSpaceDN/>
        <w:bidi w:val="0"/>
        <w:adjustRightInd/>
        <w:snapToGrid/>
        <w:spacing w:line="600" w:lineRule="auto"/>
        <w:textAlignment w:val="auto"/>
      </w:pP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HYPERLINK \l "_Toc989247" </w:instrText>
      </w:r>
      <w:r>
        <w:rPr>
          <w:rFonts w:ascii="Times New Roman" w:hAnsi="Times New Roman" w:eastAsia="宋体" w:cs="Times New Roman"/>
          <w:b w:val="0"/>
          <w:bCs w:val="0"/>
          <w:sz w:val="24"/>
          <w:szCs w:val="24"/>
        </w:rPr>
        <w:fldChar w:fldCharType="separate"/>
      </w:r>
      <w:r>
        <w:rPr>
          <w:rFonts w:hint="eastAsia" w:ascii="Times New Roman" w:hAnsi="Times New Roman" w:eastAsia="宋体" w:cs="Times New Roman"/>
          <w:b w:val="0"/>
          <w:bCs w:val="0"/>
          <w:sz w:val="24"/>
          <w:szCs w:val="24"/>
        </w:rPr>
        <w:t>第九节 其他报送数据</w:t>
      </w:r>
      <w:r>
        <w:rPr>
          <w:rFonts w:ascii="Times New Roman" w:hAnsi="Times New Roman" w:eastAsia="宋体" w:cs="Times New Roman"/>
          <w:b w:val="0"/>
          <w:bCs w:val="0"/>
          <w:sz w:val="24"/>
          <w:szCs w:val="24"/>
        </w:rPr>
        <w:tab/>
      </w:r>
      <w:r>
        <w:rPr>
          <w:rFonts w:ascii="Times New Roman" w:hAnsi="Times New Roman" w:eastAsia="宋体" w:cs="Times New Roman"/>
          <w:b w:val="0"/>
          <w:bCs w:val="0"/>
          <w:sz w:val="24"/>
          <w:szCs w:val="24"/>
        </w:rPr>
        <w:fldChar w:fldCharType="begin"/>
      </w:r>
      <w:r>
        <w:rPr>
          <w:rFonts w:ascii="Times New Roman" w:hAnsi="Times New Roman" w:eastAsia="宋体" w:cs="Times New Roman"/>
          <w:b w:val="0"/>
          <w:bCs w:val="0"/>
          <w:sz w:val="24"/>
          <w:szCs w:val="24"/>
        </w:rPr>
        <w:instrText xml:space="preserve"> PAGEREF _Toc989247 \h </w:instrText>
      </w:r>
      <w:r>
        <w:rPr>
          <w:rFonts w:hint="eastAsia" w:ascii="Times New Roman" w:hAnsi="Times New Roman" w:eastAsia="宋体" w:cs="Times New Roman"/>
          <w:b w:val="0"/>
          <w:bCs w:val="0"/>
          <w:sz w:val="24"/>
          <w:szCs w:val="24"/>
        </w:rPr>
        <w:fldChar w:fldCharType="separate"/>
      </w:r>
      <w:r>
        <w:rPr>
          <w:rFonts w:ascii="Times New Roman" w:hAnsi="Times New Roman" w:eastAsia="宋体" w:cs="Times New Roman"/>
          <w:b w:val="0"/>
          <w:bCs w:val="0"/>
          <w:sz w:val="24"/>
          <w:szCs w:val="24"/>
        </w:rPr>
        <w:t>123</w:t>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r>
        <w:rPr>
          <w:rFonts w:ascii="Times New Roman" w:hAnsi="Times New Roman" w:eastAsia="宋体" w:cs="Times New Roman"/>
          <w:b w:val="0"/>
          <w:bCs w:val="0"/>
          <w:sz w:val="24"/>
          <w:szCs w:val="24"/>
        </w:rPr>
        <w:fldChar w:fldCharType="end"/>
      </w:r>
    </w:p>
    <w:p>
      <w: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一、载有董事长签名的2025年半年度报告原件；</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二、载有法定代表人、主管会计工作负责人、会计机构负责人签名并盖章的财务报表；</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三、报告期内在中国证监会指定报纸上公开披露过的所有公司文件的正本及公告的原稿；</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t>四、其他有关资料。</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560" w:lineRule="atLeast"/>
        <w:ind w:left="0" w:firstLine="357"/>
        <w:jc w:val="left"/>
        <w:textAlignment w:val="auto"/>
        <w:rPr>
          <w:rFonts w:hint="eastAsia" w:ascii="宋体" w:hAnsi="宋体" w:eastAsia="宋体" w:cs="宋体"/>
          <w:sz w:val="21"/>
          <w:szCs w:val="21"/>
        </w:rPr>
      </w:pPr>
      <w:r>
        <w:rPr>
          <w:rFonts w:hint="eastAsia" w:ascii="宋体" w:hAnsi="宋体" w:eastAsia="宋体" w:cs="宋体"/>
          <w:sz w:val="21"/>
          <w:szCs w:val="21"/>
        </w:rPr>
        <w:br w:type="page"/>
      </w:r>
    </w:p>
    <w:p>
      <w:pPr>
        <w:spacing w:before="40" w:after="40" w:line="640" w:lineRule="exact"/>
        <w:jc w:val="center"/>
        <w:rPr>
          <w:rFonts w:ascii="宋体" w:hAnsi="宋体" w:eastAsia="宋体" w:cs="宋体"/>
          <w:b/>
          <w:bCs/>
          <w:sz w:val="32"/>
          <w:szCs w:val="32"/>
        </w:rPr>
      </w:pPr>
      <w:r>
        <w:rPr>
          <w:rFonts w:ascii="宋体" w:hAnsi="宋体" w:eastAsia="宋体" w:cs="宋体"/>
          <w:b/>
          <w:bCs/>
          <w:sz w:val="32"/>
          <w:szCs w:val="32"/>
        </w:rPr>
        <w:t>释</w:t>
      </w:r>
      <w:r>
        <w:rPr>
          <w:rFonts w:hint="eastAsia" w:ascii="宋体" w:hAnsi="宋体" w:cs="宋体"/>
          <w:b/>
          <w:bCs/>
          <w:sz w:val="32"/>
          <w:szCs w:val="32"/>
          <w:lang w:val="en-US" w:eastAsia="zh-CN"/>
        </w:rPr>
        <w:t xml:space="preserve">   </w:t>
      </w:r>
      <w:r>
        <w:rPr>
          <w:rFonts w:ascii="宋体" w:hAnsi="宋体" w:eastAsia="宋体" w:cs="宋体"/>
          <w:b/>
          <w:bCs/>
          <w:sz w:val="32"/>
          <w:szCs w:val="32"/>
        </w:rPr>
        <w:t>义</w:t>
      </w:r>
    </w:p>
    <w:p>
      <w:pPr>
        <w:pStyle w:val="2"/>
      </w:pP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320"/>
        <w:gridCol w:w="1000"/>
        <w:gridCol w:w="43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公司、本公司、博云新材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粉冶中心</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兴湘集团</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伟徽新材</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博云东方</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霍尼韦尔（中国）有限公司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霍尼韦尔博云、合资公司</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PMA</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民用航空器零部件制造人批准书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C919</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中国商飞自主设计的国产大型客机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湖南证监局</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中国证券监督管理委员会湖南监管局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湖南省国资委</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43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湖南省人民政府国有资产监督管理委员会</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一、公司简介</w:t>
      </w:r>
      <w:bookmarkEnd w:id="2"/>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湖南博云新材料股份有限公司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博云新材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HUNAN BOYUN NEW  MATERIALS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BOYUN NEW MATERIALS</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戴志利</w:t>
            </w:r>
          </w:p>
        </w:tc>
      </w:tr>
    </w:tbl>
    <w:p>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曾光辉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张爱丽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湖南省长沙市岳麓区雷锋大道346号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0731-85302297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0731-88122777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hnboyun@hnboyun.com.cn</w:t>
            </w:r>
          </w:p>
        </w:tc>
      </w:tr>
    </w:tbl>
    <w:p>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三、其他情况</w:t>
      </w:r>
      <w:bookmarkEnd w:id="4"/>
    </w:p>
    <w:p>
      <w:pPr>
        <w:keepNext/>
        <w:keepLines/>
        <w:spacing w:before="300" w:after="300" w:line="280" w:lineRule="exact"/>
        <w:jc w:val="left"/>
        <w:outlineLvl w:val="2"/>
        <w:rPr>
          <w:rFonts w:ascii="宋体" w:hAnsi="宋体" w:eastAsia="宋体" w:cs="宋体"/>
          <w:b/>
          <w:bCs/>
          <w:sz w:val="21"/>
          <w:szCs w:val="21"/>
        </w:rPr>
      </w:pPr>
      <w:bookmarkStart w:id="5" w:name="_Toc988894"/>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公司联系方式</w:t>
      </w:r>
      <w:bookmarkEnd w:id="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公司注册地址、公司办公地址及其邮政编码、公司网址、电子信箱等在报告期是否变化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公司注册地址、公司办公地址及其邮政编码、公司网址、电子信箱等在报告期无变化，具体可参见2024年年报。</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信息披露及备置地点</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信息披露及备置地点在报告期是否变化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宋体"/>
          <w:sz w:val="18"/>
          <w:szCs w:val="18"/>
        </w:rPr>
      </w:pPr>
      <w:r>
        <w:rPr>
          <w:rFonts w:ascii="宋体" w:hAnsi="宋体" w:eastAsia="宋体" w:cs="宋体"/>
          <w:sz w:val="18"/>
          <w:szCs w:val="18"/>
        </w:rPr>
        <w:t>公司披露半年度报告的证券交易所网站和媒体名称及网址，公司半年度报告备置地在报告期无变化，具体可参见2024年年报。</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hint="eastAsia" w:ascii="宋体" w:hAnsi="宋体" w:cs="宋体"/>
          <w:b/>
          <w:bCs/>
          <w:sz w:val="21"/>
          <w:szCs w:val="21"/>
          <w:lang w:eastAsia="zh-CN"/>
        </w:rPr>
        <w:t>（三）</w:t>
      </w:r>
      <w:r>
        <w:rPr>
          <w:rFonts w:ascii="宋体" w:hAnsi="宋体" w:eastAsia="宋体" w:cs="宋体"/>
          <w:b/>
          <w:bCs/>
          <w:sz w:val="21"/>
          <w:szCs w:val="21"/>
        </w:rPr>
        <w:t>其他有关资料</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其他有关资料在报告期是否变更情况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四、主要会计数据和财务指标</w:t>
      </w:r>
      <w:bookmarkEnd w:id="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395,592,609.26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8,461,729.59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831,712.73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-7,668,423.33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-36,951,346.98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28,197,981.82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3,007,118,066.37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2,959,093,800.40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2,060,012,693.80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2,051,550,964.21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r>
    </w:tbl>
    <w:p>
      <w:pPr>
        <w:keepNext/>
        <w:keepLines/>
        <w:spacing w:before="300" w:after="300" w:line="320" w:lineRule="exact"/>
        <w:jc w:val="left"/>
        <w:outlineLvl w:val="1"/>
        <w:rPr>
          <w:rFonts w:ascii="宋体" w:hAnsi="宋体" w:eastAsia="宋体" w:cs="宋体"/>
          <w:b/>
          <w:bCs/>
          <w:sz w:val="24"/>
          <w:szCs w:val="24"/>
        </w:rPr>
      </w:pPr>
      <w:bookmarkStart w:id="9" w:name="_Toc988898"/>
      <w:r>
        <w:rPr>
          <w:rFonts w:ascii="宋体" w:hAnsi="宋体" w:eastAsia="宋体" w:cs="宋体"/>
          <w:b/>
          <w:bCs/>
          <w:sz w:val="24"/>
          <w:szCs w:val="24"/>
        </w:rPr>
        <w:t>五、境内外会计准则下会计数据差异</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同时按照国际会计准则与按照中国会计准则披露的财务报告中净利润和净资产差异情况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同时按照境外会计准则与按照中国会计准则披露的财务报告中净利润和净资产差异情况</w:t>
      </w:r>
      <w:bookmarkEnd w:id="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六、非经常性损益项目及金额</w:t>
      </w:r>
      <w:bookmarkEnd w:id="1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35"/>
        <w:gridCol w:w="3036"/>
        <w:gridCol w:w="27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0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金额</w:t>
            </w:r>
          </w:p>
        </w:tc>
        <w:tc>
          <w:tcPr>
            <w:tcW w:w="27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3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-3,298.84</w:t>
            </w:r>
          </w:p>
        </w:tc>
        <w:tc>
          <w:tcPr>
            <w:tcW w:w="27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6,873,537.28</w:t>
            </w:r>
          </w:p>
        </w:tc>
        <w:tc>
          <w:tcPr>
            <w:tcW w:w="27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1,344,381.10</w:t>
            </w:r>
          </w:p>
        </w:tc>
        <w:tc>
          <w:tcPr>
            <w:tcW w:w="27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499,772.20</w:t>
            </w:r>
          </w:p>
        </w:tc>
        <w:tc>
          <w:tcPr>
            <w:tcW w:w="27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84,830.48</w:t>
            </w:r>
          </w:p>
        </w:tc>
        <w:tc>
          <w:tcPr>
            <w:tcW w:w="27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合计</w:t>
            </w:r>
          </w:p>
        </w:tc>
        <w:tc>
          <w:tcPr>
            <w:tcW w:w="30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7,630,016.86</w:t>
            </w:r>
          </w:p>
        </w:tc>
        <w:tc>
          <w:tcPr>
            <w:tcW w:w="276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val="0"/>
        <w:keepLines w:val="0"/>
        <w:pageBreakBefore w:val="0"/>
        <w:widowControl w:val="0"/>
        <w:kinsoku/>
        <w:wordWrap/>
        <w:overflowPunct/>
        <w:topLinePunct w:val="0"/>
        <w:autoSpaceDE/>
        <w:autoSpaceDN/>
        <w:bidi w:val="0"/>
        <w:adjustRightInd/>
        <w:snapToGrid/>
        <w:spacing w:before="100" w:after="313" w:afterLines="100" w:line="240" w:lineRule="exact"/>
        <w:jc w:val="left"/>
        <w:textAlignment w:val="auto"/>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hint="eastAsia" w:ascii="宋体" w:hAnsi="宋体" w:eastAsia="宋体" w:cs="宋体"/>
          <w:sz w:val="18"/>
          <w:szCs w:val="18"/>
          <w:lang w:val="en-US" w:eastAsia="zh-CN"/>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r>
        <w:rPr>
          <w:rFonts w:hint="eastAsia" w:ascii="宋体" w:hAnsi="宋体" w:cs="宋体"/>
          <w:sz w:val="18"/>
          <w:szCs w:val="18"/>
          <w:lang w:eastAsia="zh-CN"/>
        </w:rPr>
        <w:t>：</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一、报告期内公司从事的主要业务</w:t>
      </w:r>
      <w:bookmarkEnd w:id="14"/>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主要从事航空机轮刹车系统及刹车材料、航天用碳/碳复合材料、高性能硬质合金和稀有金属粉体材料等产品的研发、生产与销售，产品主要涉及航空、航天和民用工业等领域。公司建有“国家炭/炭复合材料工程技术研究中心”。</w:t>
      </w:r>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default"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（一）主要业务、主要产品及用途</w:t>
      </w:r>
    </w:p>
    <w:p>
      <w:pPr>
        <w:pStyle w:val="4"/>
        <w:keepNext w:val="0"/>
        <w:keepLines w:val="0"/>
        <w:widowControl/>
        <w:suppressLineNumbers w:val="0"/>
        <w:spacing w:before="180" w:beforeAutospacing="0" w:after="120" w:afterAutospacing="0" w:line="280" w:lineRule="atLeast"/>
        <w:ind w:left="0" w:right="0" w:firstLine="420" w:firstLineChars="200"/>
        <w:jc w:val="left"/>
        <w:rPr>
          <w:rFonts w:hint="default" w:ascii="Times New Roman" w:hAnsi="Times New Roman" w:cs="Times New Roman"/>
          <w:b w:val="0"/>
          <w:bCs w:val="0"/>
          <w:sz w:val="21"/>
          <w:szCs w:val="21"/>
        </w:rPr>
      </w:pPr>
      <w:r>
        <w:rPr>
          <w:rStyle w:val="7"/>
          <w:rFonts w:hint="eastAsia" w:ascii="宋体" w:hAnsi="宋体" w:eastAsia="宋体" w:cs="宋体"/>
          <w:b w:val="0"/>
          <w:bCs w:val="0"/>
          <w:sz w:val="21"/>
          <w:szCs w:val="21"/>
        </w:rPr>
        <w:t>1.航空航天领域</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（1）飞机机轮刹车系统</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飞机机轮刹车系统是飞机上一个具有独立功能的重要系统。该系统主要由机轮（刹车机轮和无刹车机轮）和刹车装置（含刹车盘）、电子防滑刹车系统（简称刹车系统）三大部分组成。主要作用是承受飞机在地面的静、动态冲击载荷、吸收刹车能量，并对飞机的起飞、着陆、滑行、转弯进行有效的制动和控制。公司全资子公司长沙鑫航目前主要业务为航空机轮和电子防滑刹车系统及附件，包括机轮、刹车装置、控制盒、刹车系统及系统集成等研发、生产、销售、维修和服务。</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（2）航空用飞机刹车材料</w:t>
      </w:r>
    </w:p>
    <w:p>
      <w:pPr>
        <w:pStyle w:val="4"/>
        <w:keepNext w:val="0"/>
        <w:keepLines w:val="0"/>
        <w:widowControl/>
        <w:suppressLineNumbers w:val="0"/>
        <w:spacing w:before="100" w:beforeAutospacing="0" w:after="10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碳/碳复合材料是一种以碳纤维增强碳基体的先进复合材料，具有密度低、摩擦特性优良、耐高温、使用寿命长等一系列优异性能。公司先后研发了一系列具有自主知识产权的碳/碳复合材料制备技术和工艺装备。</w:t>
      </w:r>
    </w:p>
    <w:p>
      <w:pPr>
        <w:pStyle w:val="4"/>
        <w:keepNext w:val="0"/>
        <w:keepLines w:val="0"/>
        <w:widowControl/>
        <w:suppressLineNumbers w:val="0"/>
        <w:spacing w:before="100" w:beforeAutospacing="0" w:after="10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在航空用碳/碳刹车产品方面，公司已取得波音757、空客320系列、ERJ190系列、MA60等机型PMA证书，同时形成了包括国外客户委托开发碳刹车产品及若干个军机型号碳刹车产品在内的批产能力，目前正在持续开展多个型号的碳刹车产品研制；公司的碳刹车产品技术被成功应用于</w:t>
      </w:r>
      <w:r>
        <w:rPr>
          <w:rFonts w:hint="default" w:ascii="Times New Roman" w:hAnsi="Times New Roman" w:eastAsia="宋体" w:cs="Times New Roman"/>
          <w:sz w:val="21"/>
          <w:szCs w:val="21"/>
        </w:rPr>
        <w:t>C919</w:t>
      </w:r>
      <w:r>
        <w:rPr>
          <w:rFonts w:hint="eastAsia" w:ascii="宋体" w:hAnsi="宋体" w:eastAsia="宋体" w:cs="宋体"/>
          <w:sz w:val="21"/>
          <w:szCs w:val="21"/>
        </w:rPr>
        <w:t>大型飞机，该产品能够满足</w:t>
      </w:r>
      <w:r>
        <w:rPr>
          <w:rFonts w:hint="default" w:ascii="Times New Roman" w:hAnsi="Times New Roman" w:eastAsia="宋体" w:cs="Times New Roman"/>
          <w:sz w:val="21"/>
          <w:szCs w:val="21"/>
        </w:rPr>
        <w:t>C919</w:t>
      </w:r>
      <w:r>
        <w:rPr>
          <w:rFonts w:hint="eastAsia" w:ascii="宋体" w:hAnsi="宋体" w:eastAsia="宋体" w:cs="宋体"/>
          <w:sz w:val="21"/>
          <w:szCs w:val="21"/>
        </w:rPr>
        <w:t>大飞机的性能要求。</w:t>
      </w:r>
    </w:p>
    <w:p>
      <w:pPr>
        <w:pStyle w:val="4"/>
        <w:keepNext w:val="0"/>
        <w:keepLines w:val="0"/>
        <w:widowControl/>
        <w:suppressLineNumbers w:val="0"/>
        <w:spacing w:before="100" w:beforeAutospacing="0" w:after="10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在粉末冶金材料刹车产品方面，高性能粉末冶金摩擦材料具有制动平稳、耐高温、耐磨损等优良性能。公司先后开发出三叉戟、波音737系列等多种粉末冶金航空刹车副。同时为适应市场需求，公司开发了多款无人机粉末冶金刹车副。</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（3）航天用碳/碳复合材料</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在航天用碳/碳复合材料方面，公司与航天系统内多家单位建立了长期的合作关系，历年来从研制阶段即开始提供多个型号航天发动机用碳/碳复合材料产品。目前有二十多个型号碳/碳复合材料产品已定型并批量生产，另有三十多个新型号航天发动机用碳/碳复合材料产品处在研制阶段。商用航天领域，公司通过自主创新，所研发的碳/碳喉衬材料已成功应用于我国的“快舟系列” 商业航天固体运载火箭上。公司是国内固体火箭发动机用碳/碳复合材料的重要研制、生产基地，为多家航天企业提供碳/碳喉衬产品配套。</w:t>
      </w:r>
    </w:p>
    <w:p>
      <w:pPr>
        <w:pStyle w:val="4"/>
        <w:keepNext w:val="0"/>
        <w:keepLines w:val="0"/>
        <w:widowControl/>
        <w:suppressLineNumbers w:val="0"/>
        <w:spacing w:before="180" w:beforeAutospacing="0" w:after="120" w:afterAutospacing="0" w:line="280" w:lineRule="atLeast"/>
        <w:ind w:left="0" w:right="0" w:firstLine="420" w:firstLineChars="200"/>
        <w:jc w:val="left"/>
        <w:rPr>
          <w:rFonts w:hint="default" w:ascii="Times New Roman" w:hAnsi="Times New Roman" w:cs="Times New Roman"/>
          <w:b w:val="0"/>
          <w:bCs w:val="0"/>
          <w:sz w:val="21"/>
          <w:szCs w:val="21"/>
        </w:rPr>
      </w:pPr>
      <w:r>
        <w:rPr>
          <w:rStyle w:val="7"/>
          <w:rFonts w:hint="eastAsia" w:ascii="宋体" w:hAnsi="宋体" w:eastAsia="宋体" w:cs="宋体"/>
          <w:b w:val="0"/>
          <w:bCs w:val="0"/>
          <w:sz w:val="21"/>
          <w:szCs w:val="21"/>
        </w:rPr>
        <w:t>2.硬质合金领域</w:t>
      </w:r>
    </w:p>
    <w:p>
      <w:pPr>
        <w:pStyle w:val="4"/>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4"/>
          <w:szCs w:val="24"/>
        </w:rPr>
      </w:pPr>
      <w:r>
        <w:rPr>
          <w:rFonts w:hint="eastAsia" w:ascii="宋体" w:hAnsi="宋体" w:eastAsia="宋体" w:cs="宋体"/>
          <w:sz w:val="21"/>
          <w:szCs w:val="21"/>
        </w:rPr>
        <w:t>  （1）高性能硬质合金材料</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控股子公司博云东方是国家第三批专精特新“小巨人”企业，拥有具有自主知识产权的“高性能纳米/超细晶硬质合金制备技术”、“高性能特粗晶硬质合金制备技术”等核心技术，专业从事高性能硬质合金产品的研发、生产和销售。公司主要产品为高性能超细/纳米硬质合金棒材、高性能硬质合金模具材料、高性能特粗晶工程与矿用硬质合金、精深加工硬质合金成品（零/部件）等，应用于航空航天、汽车、国防建设、冶金、隧道等掘进工程和采矿、3C等工业领域。</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（2）稀有金属粉体材料</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公司全资子公司伟徽新材是专业从事稀有金属粉体新材料的研发、生产、销售的高新技术企业，公司主要产品分为碳化钽、碳化铬、碳化钒、碳化钛等一元碳化物，以及钨钛固溶体、钽铌固溶体、钨钛钽固溶体等多元复式碳化物。稀有金属碳化物粉末产品为硬质合金的重要添加剂和热喷涂材料的原料之一，并被最终应用于航空航天、汽车制造、国防军工、钢铁冶金、机械加工、电子通讯、矿山能源、建筑工程和海洋工程等各种领域。公司经过持续不断的技术创新，自主研发了高温真空碳化技术、低温裂解技术、高效节能碳化技术、碳化温度梯度控制技术、超细粉体粉碎技术等行业领先水平的稀有金属碳化物制备新技术。开发的金属碳化物微细粉末、超细碳化钽粉末、碳化钨钛铌锆固溶体粉末、碳化钨钛钽钼固溶体粉末、五元硬质合金用固溶体等新产品，填补了国内空白，满足硬质合金行业发展对碳化物的纯度、粒度和颗粒形貌不断提升的要求，推动稀有金属碳化物行业向高纯度化、高端化方向升级发展。</w:t>
      </w:r>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default"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（二）主要经营模式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公司根据客户需求，设计研发客户所需要的产品，同时组织生产制造并进行产品销售。 根据公司运营的管理经验及科学的管理方式采取相应的研发模式、采购模式、生产模式和销售模式，适合公司自身发展需要，符合行业特点。</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b/>
          <w:bCs/>
          <w:sz w:val="24"/>
          <w:szCs w:val="24"/>
        </w:rPr>
        <w:t>①</w:t>
      </w:r>
      <w:r>
        <w:rPr>
          <w:rFonts w:hint="eastAsia" w:ascii="宋体" w:hAnsi="宋体" w:eastAsia="宋体" w:cs="宋体"/>
          <w:b/>
          <w:bCs/>
          <w:sz w:val="21"/>
          <w:szCs w:val="21"/>
        </w:rPr>
        <w:t>研发模式：</w:t>
      </w:r>
      <w:r>
        <w:rPr>
          <w:rFonts w:hint="eastAsia" w:ascii="宋体" w:hAnsi="宋体" w:eastAsia="宋体" w:cs="宋体"/>
          <w:sz w:val="21"/>
          <w:szCs w:val="21"/>
        </w:rPr>
        <w:t>公司设有研发部门，建立了科学合理的研发流程，围绕客户需求，结合技术研发、自身产品等优势，在收集整理市场需求信息的基础上，最大限度地利用现有资源，进行新产品研发设计，为客户的产品需求提供最具可行性的解决方案。</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b/>
          <w:bCs/>
          <w:sz w:val="24"/>
          <w:szCs w:val="24"/>
        </w:rPr>
        <w:t>②</w:t>
      </w:r>
      <w:r>
        <w:rPr>
          <w:rFonts w:hint="eastAsia" w:ascii="宋体" w:hAnsi="宋体" w:eastAsia="宋体" w:cs="宋体"/>
          <w:b/>
          <w:bCs/>
          <w:sz w:val="21"/>
          <w:szCs w:val="21"/>
        </w:rPr>
        <w:t>采购模式：</w:t>
      </w:r>
      <w:r>
        <w:rPr>
          <w:rFonts w:hint="eastAsia" w:ascii="宋体" w:hAnsi="宋体" w:eastAsia="宋体" w:cs="宋体"/>
          <w:sz w:val="21"/>
          <w:szCs w:val="21"/>
        </w:rPr>
        <w:t>公司主要采用以产定购的模式进行采购，公司的原材料和零部件主要是通过公司采购部门向供应商采购。公司实行严格的供应商管理制度，加强对供应商的管理并合理控制整体采购成本。</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b/>
          <w:bCs/>
          <w:sz w:val="24"/>
          <w:szCs w:val="24"/>
        </w:rPr>
        <w:t>③</w:t>
      </w:r>
      <w:r>
        <w:rPr>
          <w:rFonts w:hint="eastAsia" w:ascii="宋体" w:hAnsi="宋体" w:eastAsia="宋体" w:cs="宋体"/>
          <w:b/>
          <w:bCs/>
          <w:sz w:val="21"/>
          <w:szCs w:val="21"/>
        </w:rPr>
        <w:t>生产模式：</w:t>
      </w:r>
      <w:r>
        <w:rPr>
          <w:rFonts w:hint="eastAsia" w:ascii="宋体" w:hAnsi="宋体" w:eastAsia="宋体" w:cs="宋体"/>
          <w:sz w:val="21"/>
          <w:szCs w:val="21"/>
        </w:rPr>
        <w:t>根据公司的业务特点，公司采用“以销定产及适度备货”的生产模式。生产部门根据销售部门提供的订单，与有关部门协商确定生产计划，以保证生产计划与销售情况相适应。</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b/>
          <w:bCs/>
          <w:sz w:val="24"/>
          <w:szCs w:val="24"/>
        </w:rPr>
        <w:t>④</w:t>
      </w:r>
      <w:r>
        <w:rPr>
          <w:rFonts w:hint="eastAsia" w:ascii="宋体" w:hAnsi="宋体" w:eastAsia="宋体" w:cs="宋体"/>
          <w:b/>
          <w:bCs/>
          <w:sz w:val="21"/>
          <w:szCs w:val="21"/>
        </w:rPr>
        <w:t>销售模式：</w:t>
      </w:r>
      <w:r>
        <w:rPr>
          <w:rFonts w:hint="eastAsia" w:ascii="宋体" w:hAnsi="宋体" w:eastAsia="宋体" w:cs="宋体"/>
          <w:sz w:val="21"/>
          <w:szCs w:val="21"/>
        </w:rPr>
        <w:t>公司设有市场销售部门，主要采取直接销售给下游客户的直销模式。</w:t>
      </w:r>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default"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（三）主要业绩驱动因素</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default" w:ascii="Times New Roman" w:hAnsi="Times New Roman" w:eastAsia="宋体" w:cs="Times New Roman"/>
          <w:b/>
          <w:bCs/>
          <w:sz w:val="24"/>
          <w:szCs w:val="24"/>
        </w:rPr>
        <w:t>①</w:t>
      </w:r>
      <w:r>
        <w:rPr>
          <w:rFonts w:hint="eastAsia" w:ascii="宋体" w:hAnsi="宋体" w:eastAsia="宋体" w:cs="宋体"/>
          <w:b/>
          <w:bCs/>
          <w:sz w:val="21"/>
          <w:szCs w:val="21"/>
        </w:rPr>
        <w:t>紧抓市场机遇、聚焦客户需求，不断巩固开拓市场能力。</w:t>
      </w:r>
      <w:r>
        <w:rPr>
          <w:rFonts w:hint="eastAsia" w:ascii="宋体" w:hAnsi="宋体" w:eastAsia="宋体" w:cs="宋体"/>
          <w:sz w:val="21"/>
          <w:szCs w:val="21"/>
        </w:rPr>
        <w:t>在航空航天领域，受国产大飞机研制和航空国产供应链政策拉动，国产航空零部件市场容量和份额将出现稳步上升，</w:t>
      </w:r>
      <w:r>
        <w:rPr>
          <w:rFonts w:hint="eastAsia" w:ascii="宋体" w:hAnsi="宋体" w:eastAsia="宋体" w:cs="宋体"/>
          <w:b w:val="0"/>
          <w:bCs w:val="0"/>
          <w:sz w:val="21"/>
          <w:szCs w:val="21"/>
        </w:rPr>
        <w:t>军机换代及民机国产化加速需求释放；受小卫星产业和卫星互联网等航天新基建产业发展影响，商业航天通过孕育也将进入快速发展期。在硬质合金领域，</w:t>
      </w:r>
      <w:r>
        <w:rPr>
          <w:rFonts w:hint="eastAsia" w:ascii="宋体" w:hAnsi="宋体" w:eastAsia="宋体" w:cs="宋体"/>
          <w:sz w:val="21"/>
          <w:szCs w:val="21"/>
        </w:rPr>
        <w:t>随着我国硬质合金企业技术进步，国产化替代不断加速，我国硬质合金行业市场规模不断壮大。</w:t>
      </w:r>
      <w:r>
        <w:rPr>
          <w:rFonts w:hint="eastAsia" w:ascii="宋体" w:hAnsi="宋体" w:eastAsia="宋体" w:cs="宋体"/>
          <w:b w:val="0"/>
          <w:bCs w:val="0"/>
          <w:sz w:val="21"/>
          <w:szCs w:val="21"/>
        </w:rPr>
        <w:t>公司紧抓市场机遇，依托稳定的科技创新能力、优秀的品牌影响力、良好的产品品质，大力开拓优质客户。</w:t>
      </w:r>
    </w:p>
    <w:p>
      <w:pPr>
        <w:pStyle w:val="4"/>
        <w:keepNext w:val="0"/>
        <w:keepLines w:val="0"/>
        <w:widowControl/>
        <w:suppressLineNumbers w:val="0"/>
        <w:spacing w:before="0" w:beforeAutospacing="0" w:after="0" w:afterAutospacing="0" w:line="360" w:lineRule="atLeast"/>
        <w:ind w:left="0" w:right="0" w:firstLine="420"/>
        <w:jc w:val="both"/>
        <w:rPr>
          <w:rFonts w:hint="default" w:ascii="宋体" w:hAnsi="宋体" w:eastAsia="宋体" w:cs="宋体"/>
          <w:b w:val="0"/>
          <w:bCs w:val="0"/>
          <w:sz w:val="21"/>
          <w:szCs w:val="21"/>
        </w:rPr>
      </w:pPr>
      <w:r>
        <w:rPr>
          <w:rFonts w:hint="default" w:ascii="宋体" w:hAnsi="宋体" w:eastAsia="宋体" w:cs="宋体"/>
          <w:b/>
          <w:bCs/>
          <w:sz w:val="21"/>
          <w:szCs w:val="21"/>
        </w:rPr>
        <w:t>②</w:t>
      </w:r>
      <w:r>
        <w:rPr>
          <w:rFonts w:hint="eastAsia" w:ascii="宋体" w:hAnsi="宋体" w:eastAsia="宋体" w:cs="宋体"/>
          <w:b/>
          <w:bCs/>
          <w:sz w:val="21"/>
          <w:szCs w:val="21"/>
        </w:rPr>
        <w:t>深化产学研合作、加大研发创新力度，持续提升产品核心竞争力。</w:t>
      </w:r>
      <w:r>
        <w:rPr>
          <w:rFonts w:hint="eastAsia" w:ascii="宋体" w:hAnsi="宋体" w:eastAsia="宋体" w:cs="宋体"/>
          <w:b w:val="0"/>
          <w:bCs w:val="0"/>
          <w:sz w:val="21"/>
          <w:szCs w:val="21"/>
        </w:rPr>
        <w:t>公司始终秉承创新发展的理念，坚持自主创新，同时加强与科研院校的产学研合作，依托科研院校雄厚理论技术和丰富研究成果，助推公司工艺提升、新产品的研发及产业化进程，通过深化产学研合作，不断提升公司的核心竞争力。</w:t>
      </w:r>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（四）报告期经营情况</w:t>
      </w:r>
    </w:p>
    <w:p>
      <w:pPr>
        <w:pStyle w:val="4"/>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2025年上半年，公司紧抓年初制定的经济目标，致力于主营业务领域深耕细作，聚焦科技创新，加速成果转化，积极开展市场营销和新产品研发工作，加强和落实经营指标及责任制，推动公司核心业务发展，持续提高公司管理水平。公司在董事会、管理层和全体员工的共同努力下，主营收入实现稳定增长，归属于上市公司股东的净利润较去年同期有较大增长。</w:t>
      </w:r>
    </w:p>
    <w:p>
      <w:pPr>
        <w:pStyle w:val="4"/>
        <w:keepNext w:val="0"/>
        <w:keepLines w:val="0"/>
        <w:widowControl/>
        <w:suppressLineNumbers w:val="0"/>
        <w:spacing w:before="0" w:beforeAutospacing="0" w:after="0" w:afterAutospacing="0" w:line="360" w:lineRule="atLeast"/>
        <w:ind w:left="0" w:firstLine="420"/>
        <w:jc w:val="both"/>
        <w:rPr>
          <w:rFonts w:hint="eastAsia" w:ascii="宋体" w:hAnsi="宋体" w:eastAsia="宋体" w:cs="宋体"/>
          <w:sz w:val="18"/>
          <w:szCs w:val="18"/>
        </w:rPr>
      </w:pPr>
      <w:r>
        <w:rPr>
          <w:rFonts w:hint="eastAsia" w:ascii="宋体" w:hAnsi="宋体" w:eastAsia="宋体" w:cs="宋体"/>
          <w:sz w:val="21"/>
          <w:szCs w:val="21"/>
        </w:rPr>
        <w:t>报告期内，公司实现营业收入395,592,609.26元，同比增加30.98%；归属于上市公司股东的净利润8,461,729.59元，同比上升266.37%。</w:t>
      </w:r>
    </w:p>
    <w:p>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二、核心竞争力分析</w:t>
      </w:r>
      <w:bookmarkEnd w:id="15"/>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default"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（一）技术研发优势</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依托中南大学，凝聚了一支以中国工程院黄伯云院士领衔的新材料人才队伍，通过与中南大学的粉末冶金国家重点实验室、粉末冶金国家工程研究中心、轻质高强材料国家级实验室等机构开展产学研合作，形成了国内较完善的粉末冶金材料、碳/碳复合材料等基础研究－应用研究－产业化的创新链，促进了公司自主创新能力的稳步提升。公司是中南大学研究生联合培养基地，旗下两家子公司入选国家级专精特新“小巨人”企业，拥有“国家炭/炭复合材料工程技术研究中心”、“湖南省高效精密硬质合金工模具工程技术研究中心”、“湖南省新材料中试平台”、3个“湖南省企业技术中心”和“博云航空制动研究院”等多层级创新平台。</w:t>
      </w:r>
    </w:p>
    <w:p>
      <w:pPr>
        <w:pStyle w:val="4"/>
        <w:keepNext w:val="0"/>
        <w:keepLines w:val="0"/>
        <w:widowControl/>
        <w:suppressLineNumbers w:val="0"/>
        <w:spacing w:before="100" w:beforeAutospacing="0" w:after="10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与中国商飞建立了长期的战略合作关系并参与建设国内唯一、世界先进的“大飞机地面动力学试验平台”；依托国家某重点项目建设的博云航空制动系统测试中心获得CNAS实验室认证，国内第一个有能力完成0.08MJ到130MJ能量覆盖范围的航空机轮刹车性能试验，具备现代航空制动系统正向设计到集成验证的自主研发能力，经与通过FAA认证的霍尼韦尔南湾试验台架对比验证试验，结果一致，达到国际先进水平，有效确保国产大飞机C919机轮刹车供应链安全可控。</w:t>
      </w:r>
    </w:p>
    <w:p>
      <w:pPr>
        <w:pStyle w:val="4"/>
        <w:keepNext w:val="0"/>
        <w:keepLines w:val="0"/>
        <w:widowControl/>
        <w:suppressLineNumbers w:val="0"/>
        <w:spacing w:before="100" w:beforeAutospacing="0" w:after="10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自主研制航空机轮及刹车系统、航空制动碳基复合材料、航天用耐烧蚀碳/碳复合材料、特粗晶/超细纳米硬质合金复合材料，其中：碳刹车盘组件取得国内民航客机第一个零部件制造人批准书（PMA0001）；全程参与C919国产大飞机机轮刹车碳盘的研制；耐烧蚀碳/碳复合材料喉衬是航天固体发动机的关键部件，配套快舟系列固体运载火箭等航天重大型号；特粗晶硬质合金成功应用于国内超大直径盾构机，解决超硬岩层深井盾构施工问题；超细纳米硬质合金可应用于国内航空航天、汽车等高端装备制造业所需高端刀具制造。</w:t>
      </w:r>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default"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（二）政策优势</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公司为国家战略新兴产业、军民融合等政策支持发展的企业，公司的航空产品（民用、军用飞机刹车系统）和航天产品有助于国家航空战略安全，同时在国防上具有重要战略意义。公司主要产品所涉及的行业被国家列为优先重点发展行业。</w:t>
      </w:r>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default"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（三）可持续发展优势</w:t>
      </w:r>
    </w:p>
    <w:p>
      <w:pPr>
        <w:pStyle w:val="4"/>
        <w:keepNext w:val="0"/>
        <w:keepLines w:val="0"/>
        <w:widowControl/>
        <w:suppressLineNumbers w:val="0"/>
        <w:spacing w:before="0" w:beforeAutospacing="0" w:after="0" w:afterAutospacing="0" w:line="360" w:lineRule="atLeast"/>
        <w:ind w:left="0" w:right="0" w:firstLine="426"/>
        <w:jc w:val="both"/>
        <w:rPr>
          <w:rFonts w:hint="default" w:ascii="Times New Roman" w:hAnsi="Times New Roman" w:cs="Times New Roman"/>
          <w:sz w:val="24"/>
          <w:szCs w:val="24"/>
        </w:rPr>
      </w:pPr>
      <w:r>
        <w:rPr>
          <w:rFonts w:hint="eastAsia" w:ascii="宋体" w:hAnsi="宋体" w:eastAsia="宋体" w:cs="宋体"/>
          <w:sz w:val="21"/>
          <w:szCs w:val="21"/>
        </w:rPr>
        <w:t>公司开发的高性能粉末冶金材料和碳/碳复合材料产品通过在当前航空航天、工业用刀具模具、稀有金属粉体新材料等领域的应用，为公司产品拓展在其它领域的应用奠定了坚实的基础，有利于公司的可持续性发展。</w:t>
      </w:r>
    </w:p>
    <w:p>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三、主营业务分析</w:t>
      </w:r>
      <w:bookmarkEnd w:id="16"/>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一</w:t>
      </w:r>
      <w:r>
        <w:rPr>
          <w:rFonts w:hint="eastAsia" w:ascii="宋体" w:hAnsi="宋体" w:eastAsia="宋体" w:cs="宋体"/>
          <w:b/>
          <w:bCs/>
          <w:kern w:val="0"/>
          <w:sz w:val="21"/>
          <w:szCs w:val="21"/>
          <w:lang w:eastAsia="zh-CN"/>
        </w:rPr>
        <w:t>）概述</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参见</w:t>
      </w:r>
      <w:r>
        <w:rPr>
          <w:rFonts w:hint="eastAsia" w:ascii="宋体" w:hAnsi="宋体" w:cs="宋体"/>
          <w:sz w:val="18"/>
          <w:szCs w:val="18"/>
          <w:lang w:eastAsia="zh-CN"/>
        </w:rPr>
        <w:t>本节</w:t>
      </w:r>
      <w:r>
        <w:rPr>
          <w:rFonts w:ascii="宋体" w:hAnsi="宋体" w:eastAsia="宋体" w:cs="宋体"/>
          <w:sz w:val="18"/>
          <w:szCs w:val="18"/>
        </w:rPr>
        <w:t>“一、报告期内公司从事的主要业务”相关内容。</w:t>
      </w:r>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二</w:t>
      </w:r>
      <w:r>
        <w:rPr>
          <w:rFonts w:hint="eastAsia" w:ascii="宋体" w:hAnsi="宋体" w:eastAsia="宋体" w:cs="宋体"/>
          <w:b/>
          <w:bCs/>
          <w:kern w:val="0"/>
          <w:sz w:val="21"/>
          <w:szCs w:val="21"/>
          <w:lang w:eastAsia="zh-CN"/>
        </w:rPr>
        <w:t>）主要财务数据同比变动情况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795"/>
        <w:gridCol w:w="1909"/>
        <w:gridCol w:w="1291"/>
        <w:gridCol w:w="27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79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29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27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395,592,609.26</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主要为本期收入增长所致。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营业成本</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311,935,624.53</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250,869,695.21</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24.34%</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主要为本期营业收入增长使营业成本相应增长所致。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9,802,652.48</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8,345,938.59</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17.45%</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30,177,520.48</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27,992,921.10</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7.80%</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656,360.73</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61,695.93</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963.86%</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8" w:rightChars="-9"/>
              <w:jc w:val="left"/>
              <w:rPr>
                <w:rFonts w:ascii="宋体" w:hAnsi="宋体" w:eastAsia="宋体" w:cs="宋体"/>
                <w:sz w:val="18"/>
                <w:szCs w:val="18"/>
              </w:rPr>
            </w:pPr>
            <w:r>
              <w:rPr>
                <w:rFonts w:ascii="宋体" w:hAnsi="宋体" w:eastAsia="宋体" w:cs="宋体"/>
                <w:sz w:val="18"/>
                <w:szCs w:val="18"/>
              </w:rPr>
              <w:t>主要为本期子公司博云东方贷款规模增加，利息支出增加所致。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-483,324.17</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5,755,479.74</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-108.40%</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8" w:rightChars="-9"/>
              <w:jc w:val="left"/>
              <w:rPr>
                <w:rFonts w:ascii="宋体" w:hAnsi="宋体" w:eastAsia="宋体" w:cs="宋体"/>
                <w:sz w:val="18"/>
                <w:szCs w:val="18"/>
              </w:rPr>
            </w:pPr>
            <w:r>
              <w:rPr>
                <w:rFonts w:ascii="宋体" w:hAnsi="宋体" w:eastAsia="宋体" w:cs="宋体"/>
                <w:sz w:val="18"/>
                <w:szCs w:val="18"/>
              </w:rPr>
              <w:t>主要为本期子公司博云东方按审计口径将利润亏损计提了递延所得税资产导致所得税费用为负数，去年同期没有计提利润亏损所得税资产；及母公司利润比去年同期减少导致所得税费用减少所致。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39,254,381.89</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32,737,170.28</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19.91%</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-36,951,346.98</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28,197,981.82</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-231.04%</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8" w:rightChars="-9"/>
              <w:jc w:val="left"/>
              <w:rPr>
                <w:rFonts w:ascii="宋体" w:hAnsi="宋体" w:eastAsia="宋体" w:cs="宋体"/>
                <w:sz w:val="18"/>
                <w:szCs w:val="18"/>
              </w:rPr>
            </w:pPr>
            <w:bookmarkStart w:id="17" w:name="OLE_LINK3"/>
            <w:r>
              <w:rPr>
                <w:rFonts w:hint="eastAsia" w:ascii="宋体" w:hAnsi="宋体" w:eastAsia="宋体" w:cs="宋体"/>
                <w:sz w:val="18"/>
                <w:szCs w:val="18"/>
              </w:rPr>
              <w:t>主要为上期母公司博云新材收</w:t>
            </w:r>
            <w:r>
              <w:rPr>
                <w:rFonts w:hint="eastAsia" w:ascii="宋体" w:hAnsi="宋体" w:eastAsia="宋体" w:cs="宋体"/>
                <w:sz w:val="18"/>
                <w:szCs w:val="18"/>
                <w:lang w:val="en-US" w:eastAsia="zh-CN"/>
              </w:rPr>
              <w:t>回</w:t>
            </w:r>
            <w:r>
              <w:rPr>
                <w:rFonts w:hint="eastAsia" w:ascii="宋体" w:hAnsi="宋体" w:eastAsia="宋体" w:cs="宋体"/>
                <w:sz w:val="18"/>
                <w:szCs w:val="18"/>
              </w:rPr>
              <w:t>客户大额历史欠款及收到大额退税款所致。</w:t>
            </w:r>
            <w:bookmarkEnd w:id="17"/>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-69,498,392.30</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-21,809,866.53</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-218.66%</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8" w:rightChars="-9"/>
              <w:jc w:val="left"/>
              <w:rPr>
                <w:rFonts w:ascii="宋体" w:hAnsi="宋体" w:eastAsia="宋体" w:cs="宋体"/>
                <w:sz w:val="18"/>
                <w:szCs w:val="18"/>
              </w:rPr>
            </w:pPr>
            <w:bookmarkStart w:id="18" w:name="OLE_LINK8"/>
            <w:r>
              <w:rPr>
                <w:rFonts w:ascii="宋体" w:hAnsi="宋体" w:eastAsia="宋体" w:cs="宋体"/>
                <w:sz w:val="18"/>
                <w:szCs w:val="18"/>
              </w:rPr>
              <w:t>主要为本期子公司博云东方支付麓谷基地工程款</w:t>
            </w:r>
            <w:r>
              <w:rPr>
                <w:rFonts w:hint="eastAsia" w:ascii="宋体" w:hAnsi="宋体" w:eastAsia="宋体" w:cs="宋体"/>
                <w:sz w:val="18"/>
                <w:szCs w:val="18"/>
                <w:lang w:eastAsia="zh-CN"/>
              </w:rPr>
              <w:t>、</w:t>
            </w:r>
            <w:r>
              <w:rPr>
                <w:rFonts w:ascii="宋体" w:hAnsi="宋体" w:eastAsia="宋体" w:cs="宋体"/>
                <w:sz w:val="18"/>
                <w:szCs w:val="18"/>
              </w:rPr>
              <w:t>及母公司上期</w:t>
            </w:r>
            <w:r>
              <w:rPr>
                <w:rFonts w:hint="eastAsia" w:ascii="宋体" w:hAnsi="宋体" w:eastAsia="宋体" w:cs="宋体"/>
                <w:sz w:val="18"/>
                <w:szCs w:val="18"/>
                <w:lang w:val="en-US" w:eastAsia="zh-CN"/>
              </w:rPr>
              <w:t>收到</w:t>
            </w:r>
            <w:bookmarkStart w:id="362" w:name="_GoBack"/>
            <w:bookmarkStart w:id="19" w:name="OLE_LINK11"/>
            <w:r>
              <w:rPr>
                <w:rFonts w:hint="eastAsia" w:ascii="宋体" w:hAnsi="宋体" w:eastAsia="宋体" w:cs="宋体"/>
                <w:sz w:val="18"/>
                <w:szCs w:val="18"/>
                <w:lang w:val="en-US" w:eastAsia="zh-CN"/>
              </w:rPr>
              <w:t>上海海通创新锦程投资管理中心</w:t>
            </w:r>
            <w:bookmarkEnd w:id="362"/>
            <w:bookmarkEnd w:id="19"/>
            <w:r>
              <w:rPr>
                <w:rFonts w:ascii="宋体" w:hAnsi="宋体" w:eastAsia="宋体" w:cs="宋体"/>
                <w:sz w:val="18"/>
                <w:szCs w:val="18"/>
              </w:rPr>
              <w:t>股权投资项目</w:t>
            </w:r>
            <w:r>
              <w:rPr>
                <w:rFonts w:hint="eastAsia" w:ascii="宋体" w:hAnsi="宋体" w:eastAsia="宋体" w:cs="宋体"/>
                <w:sz w:val="18"/>
                <w:szCs w:val="18"/>
                <w:lang w:val="en-US" w:eastAsia="zh-CN"/>
              </w:rPr>
              <w:t>处置款项</w:t>
            </w:r>
            <w:r>
              <w:rPr>
                <w:rFonts w:ascii="宋体" w:hAnsi="宋体" w:eastAsia="宋体" w:cs="宋体"/>
                <w:sz w:val="18"/>
                <w:szCs w:val="18"/>
              </w:rPr>
              <w:t>所致。</w:t>
            </w:r>
            <w:bookmarkEnd w:id="18"/>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61,021,064.16</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-28,687,875.02</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312.71%</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8" w:rightChars="-9"/>
              <w:jc w:val="left"/>
              <w:rPr>
                <w:rFonts w:ascii="宋体" w:hAnsi="宋体" w:eastAsia="宋体" w:cs="宋体"/>
                <w:sz w:val="18"/>
                <w:szCs w:val="18"/>
              </w:rPr>
            </w:pPr>
            <w:r>
              <w:rPr>
                <w:rFonts w:ascii="宋体" w:hAnsi="宋体" w:eastAsia="宋体" w:cs="宋体"/>
                <w:sz w:val="18"/>
                <w:szCs w:val="18"/>
              </w:rPr>
              <w:t>主要为本期子公司博云东方和子公司长沙鑫航贷款增加所致。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179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-45,375,952.79</w:t>
            </w:r>
          </w:p>
        </w:tc>
        <w:tc>
          <w:tcPr>
            <w:tcW w:w="1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-22,240,812.42</w:t>
            </w:r>
          </w:p>
        </w:tc>
        <w:tc>
          <w:tcPr>
            <w:tcW w:w="12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-104.02%</w:t>
            </w:r>
          </w:p>
        </w:tc>
        <w:tc>
          <w:tcPr>
            <w:tcW w:w="27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8" w:rightChars="-9"/>
              <w:jc w:val="left"/>
              <w:rPr>
                <w:rFonts w:ascii="宋体" w:hAnsi="宋体" w:eastAsia="宋体" w:cs="宋体"/>
                <w:sz w:val="18"/>
                <w:szCs w:val="18"/>
              </w:rPr>
            </w:pPr>
            <w:r>
              <w:rPr>
                <w:rFonts w:ascii="宋体" w:hAnsi="宋体" w:eastAsia="宋体" w:cs="宋体"/>
                <w:sz w:val="18"/>
                <w:szCs w:val="18"/>
              </w:rPr>
              <w:t>主要为经营活动产生的现金流量净额和投资活动产生的现金流量净额减少所致。</w:t>
            </w:r>
          </w:p>
        </w:tc>
      </w:tr>
    </w:tbl>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（三）公司报告期利润构成或利润来源发生重大变动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公司报告期利润构成或利润来源没有发生重大变动。</w:t>
      </w:r>
    </w:p>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（四）营业收入构成</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395,592,609.26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131,223,392.00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77,913,350.49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251,863,804.33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213,410,483.83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12,505,412.93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10,710,818.81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131,223,392.00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77,913,350.49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251,863,804.33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213,410,483.83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12,505,412.93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10,710,818.81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375,214,133.60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278,277,885.84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20,378,475.66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23,756,767.29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w:t>
            </w:r>
          </w:p>
        </w:tc>
      </w:tr>
    </w:tbl>
    <w:p>
      <w:pPr>
        <w:pStyle w:val="4"/>
        <w:keepNext w:val="0"/>
        <w:keepLines w:val="0"/>
        <w:pageBreakBefore w:val="0"/>
        <w:widowControl/>
        <w:suppressLineNumbers w:val="0"/>
        <w:kinsoku/>
        <w:wordWrap/>
        <w:overflowPunct/>
        <w:topLinePunct w:val="0"/>
        <w:autoSpaceDE/>
        <w:autoSpaceDN/>
        <w:bidi w:val="0"/>
        <w:adjustRightInd/>
        <w:snapToGrid/>
        <w:spacing w:before="157" w:beforeAutospacing="0" w:after="157" w:afterAutospacing="0" w:line="360" w:lineRule="atLeast"/>
        <w:ind w:left="0" w:leftChars="0" w:right="0" w:firstLine="0" w:firstLineChars="0"/>
        <w:jc w:val="both"/>
        <w:textAlignment w:val="auto"/>
        <w:outlineLvl w:val="1"/>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（五）占公司营业收入或营业利润10%以上的行业、产品或地区情况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9"/>
        <w:gridCol w:w="1700"/>
        <w:gridCol w:w="1554"/>
        <w:gridCol w:w="882"/>
        <w:gridCol w:w="1355"/>
        <w:gridCol w:w="1327"/>
        <w:gridCol w:w="12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7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5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8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2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131,223,392.00</w:t>
            </w:r>
          </w:p>
        </w:tc>
        <w:tc>
          <w:tcPr>
            <w:tcW w:w="15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61,109,985.46</w:t>
            </w:r>
          </w:p>
        </w:tc>
        <w:tc>
          <w:tcPr>
            <w:tcW w:w="8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53.43%</w:t>
            </w:r>
          </w:p>
        </w:tc>
        <w:tc>
          <w:tcPr>
            <w:tcW w:w="1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68.42%</w:t>
            </w:r>
          </w:p>
        </w:tc>
        <w:tc>
          <w:tcPr>
            <w:tcW w:w="13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44.89%</w:t>
            </w:r>
          </w:p>
        </w:tc>
        <w:tc>
          <w:tcPr>
            <w:tcW w:w="12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粉末冶金（硬质合金）</w:t>
            </w:r>
          </w:p>
        </w:tc>
        <w:tc>
          <w:tcPr>
            <w:tcW w:w="1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251,863,804.33</w:t>
            </w:r>
          </w:p>
        </w:tc>
        <w:tc>
          <w:tcPr>
            <w:tcW w:w="15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245,255,265.51</w:t>
            </w:r>
          </w:p>
        </w:tc>
        <w:tc>
          <w:tcPr>
            <w:tcW w:w="8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w:t>
            </w:r>
          </w:p>
        </w:tc>
        <w:tc>
          <w:tcPr>
            <w:tcW w:w="1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w:t>
            </w:r>
          </w:p>
        </w:tc>
        <w:tc>
          <w:tcPr>
            <w:tcW w:w="13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20.17%</w:t>
            </w:r>
          </w:p>
        </w:tc>
        <w:tc>
          <w:tcPr>
            <w:tcW w:w="12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131,223,392.00</w:t>
            </w:r>
          </w:p>
        </w:tc>
        <w:tc>
          <w:tcPr>
            <w:tcW w:w="15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61,109,985.46</w:t>
            </w:r>
          </w:p>
        </w:tc>
        <w:tc>
          <w:tcPr>
            <w:tcW w:w="8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53.43%</w:t>
            </w:r>
          </w:p>
        </w:tc>
        <w:tc>
          <w:tcPr>
            <w:tcW w:w="1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68.42%</w:t>
            </w:r>
          </w:p>
        </w:tc>
        <w:tc>
          <w:tcPr>
            <w:tcW w:w="13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44.89%</w:t>
            </w:r>
          </w:p>
        </w:tc>
        <w:tc>
          <w:tcPr>
            <w:tcW w:w="12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高性能硬质合金及相关材料</w:t>
            </w:r>
          </w:p>
        </w:tc>
        <w:tc>
          <w:tcPr>
            <w:tcW w:w="1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251,863,804.33</w:t>
            </w:r>
          </w:p>
        </w:tc>
        <w:tc>
          <w:tcPr>
            <w:tcW w:w="15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245,255,265.51</w:t>
            </w:r>
          </w:p>
        </w:tc>
        <w:tc>
          <w:tcPr>
            <w:tcW w:w="8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w:t>
            </w:r>
          </w:p>
        </w:tc>
        <w:tc>
          <w:tcPr>
            <w:tcW w:w="1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w:t>
            </w:r>
          </w:p>
        </w:tc>
        <w:tc>
          <w:tcPr>
            <w:tcW w:w="13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20.17%</w:t>
            </w:r>
          </w:p>
        </w:tc>
        <w:tc>
          <w:tcPr>
            <w:tcW w:w="12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国内地区</w:t>
            </w:r>
          </w:p>
        </w:tc>
        <w:tc>
          <w:tcPr>
            <w:tcW w:w="1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362,708,720.67</w:t>
            </w:r>
          </w:p>
        </w:tc>
        <w:tc>
          <w:tcPr>
            <w:tcW w:w="15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291,918,584.77</w:t>
            </w:r>
          </w:p>
        </w:tc>
        <w:tc>
          <w:tcPr>
            <w:tcW w:w="8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19.52%</w:t>
            </w:r>
          </w:p>
        </w:tc>
        <w:tc>
          <w:tcPr>
            <w:tcW w:w="1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35.56%</w:t>
            </w:r>
          </w:p>
        </w:tc>
        <w:tc>
          <w:tcPr>
            <w:tcW w:w="13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28.93%</w:t>
            </w:r>
          </w:p>
        </w:tc>
        <w:tc>
          <w:tcPr>
            <w:tcW w:w="12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国外地区</w:t>
            </w:r>
          </w:p>
        </w:tc>
        <w:tc>
          <w:tcPr>
            <w:tcW w:w="1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20,378,475.66</w:t>
            </w:r>
          </w:p>
        </w:tc>
        <w:tc>
          <w:tcPr>
            <w:tcW w:w="15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14,446,666.20</w:t>
            </w:r>
          </w:p>
        </w:tc>
        <w:tc>
          <w:tcPr>
            <w:tcW w:w="8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29.11%</w:t>
            </w:r>
          </w:p>
        </w:tc>
        <w:tc>
          <w:tcPr>
            <w:tcW w:w="13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w:t>
            </w:r>
          </w:p>
        </w:tc>
        <w:tc>
          <w:tcPr>
            <w:tcW w:w="13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-27.25%</w:t>
            </w:r>
          </w:p>
        </w:tc>
        <w:tc>
          <w:tcPr>
            <w:tcW w:w="12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公司主营业务数据统计口径在报告期发生调整的情况下，公司最近1期按报告期末口径调整后的主营业务数据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20" w:name="_Toc988906"/>
      <w:r>
        <w:rPr>
          <w:rFonts w:ascii="宋体" w:hAnsi="宋体" w:eastAsia="宋体" w:cs="宋体"/>
          <w:b/>
          <w:bCs/>
          <w:sz w:val="24"/>
          <w:szCs w:val="24"/>
        </w:rPr>
        <w:t>四、非主营业务分析</w:t>
      </w:r>
      <w:bookmarkEnd w:id="20"/>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60"/>
        <w:gridCol w:w="1796"/>
        <w:gridCol w:w="1704"/>
        <w:gridCol w:w="2345"/>
        <w:gridCol w:w="17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79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7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23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7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w:t>
            </w:r>
          </w:p>
        </w:tc>
        <w:tc>
          <w:tcPr>
            <w:tcW w:w="17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c>
          <w:tcPr>
            <w:tcW w:w="17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w:t>
            </w:r>
          </w:p>
        </w:tc>
        <w:tc>
          <w:tcPr>
            <w:tcW w:w="23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trPr>
        <w:tc>
          <w:tcPr>
            <w:tcW w:w="2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营业外收入</w:t>
            </w:r>
          </w:p>
        </w:tc>
        <w:tc>
          <w:tcPr>
            <w:tcW w:w="17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78,330.35</w:t>
            </w:r>
          </w:p>
        </w:tc>
        <w:tc>
          <w:tcPr>
            <w:tcW w:w="17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w:t>
            </w:r>
          </w:p>
        </w:tc>
        <w:tc>
          <w:tcPr>
            <w:tcW w:w="23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营业外支出</w:t>
            </w:r>
          </w:p>
        </w:tc>
        <w:tc>
          <w:tcPr>
            <w:tcW w:w="17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92,661.20</w:t>
            </w:r>
          </w:p>
        </w:tc>
        <w:tc>
          <w:tcPr>
            <w:tcW w:w="17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w:t>
            </w:r>
          </w:p>
        </w:tc>
        <w:tc>
          <w:tcPr>
            <w:tcW w:w="23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060" w:type="dxa"/>
            <w:tcBorders>
              <w:top w:val="single" w:color="auto" w:sz="2" w:space="0"/>
              <w:left w:val="single" w:color="auto" w:sz="2" w:space="0"/>
              <w:bottom w:val="single" w:color="auto" w:sz="2" w:space="0"/>
              <w:right w:val="single" w:color="auto" w:sz="2" w:space="0"/>
            </w:tcBorders>
            <w:shd w:val="clear" w:color="auto" w:fill="auto"/>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w:t>
            </w:r>
          </w:p>
        </w:tc>
        <w:tc>
          <w:tcPr>
            <w:tcW w:w="179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-12,637,257.20</w:t>
            </w:r>
          </w:p>
        </w:tc>
        <w:tc>
          <w:tcPr>
            <w:tcW w:w="170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-167.59%</w:t>
            </w:r>
          </w:p>
        </w:tc>
        <w:tc>
          <w:tcPr>
            <w:tcW w:w="234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89" w:rightChars="-90"/>
              <w:jc w:val="left"/>
              <w:rPr>
                <w:rFonts w:ascii="宋体" w:hAnsi="宋体" w:eastAsia="宋体" w:cs="宋体"/>
                <w:sz w:val="18"/>
                <w:szCs w:val="18"/>
              </w:rPr>
            </w:pPr>
            <w:r>
              <w:rPr>
                <w:rFonts w:ascii="宋体" w:hAnsi="宋体" w:eastAsia="宋体" w:cs="宋体"/>
                <w:sz w:val="18"/>
                <w:szCs w:val="18"/>
              </w:rPr>
              <w:t>主要为本期计提应收账款、应收票据及其他应</w:t>
            </w:r>
            <w:r>
              <w:rPr>
                <w:rFonts w:hint="eastAsia" w:ascii="宋体" w:hAnsi="宋体" w:cs="宋体"/>
                <w:sz w:val="18"/>
                <w:szCs w:val="18"/>
                <w:lang w:eastAsia="zh-CN"/>
              </w:rPr>
              <w:t>收</w:t>
            </w:r>
            <w:r>
              <w:rPr>
                <w:rFonts w:ascii="宋体" w:hAnsi="宋体" w:eastAsia="宋体" w:cs="宋体"/>
                <w:sz w:val="18"/>
                <w:szCs w:val="18"/>
              </w:rPr>
              <w:t>款坏账准备所致。</w:t>
            </w:r>
          </w:p>
        </w:tc>
        <w:tc>
          <w:tcPr>
            <w:tcW w:w="17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否</w:t>
            </w:r>
          </w:p>
        </w:tc>
      </w:tr>
    </w:tbl>
    <w:p>
      <w:pPr>
        <w:keepNext/>
        <w:keepLines/>
        <w:spacing w:before="300" w:after="300" w:line="320" w:lineRule="exact"/>
        <w:jc w:val="left"/>
        <w:outlineLvl w:val="1"/>
        <w:rPr>
          <w:rFonts w:ascii="宋体" w:hAnsi="宋体" w:eastAsia="宋体" w:cs="宋体"/>
          <w:b/>
          <w:bCs/>
          <w:sz w:val="24"/>
          <w:szCs w:val="24"/>
        </w:rPr>
      </w:pPr>
      <w:bookmarkStart w:id="21" w:name="_Toc988907"/>
      <w:r>
        <w:rPr>
          <w:rFonts w:ascii="宋体" w:hAnsi="宋体" w:eastAsia="宋体" w:cs="宋体"/>
          <w:b/>
          <w:bCs/>
          <w:sz w:val="24"/>
          <w:szCs w:val="24"/>
        </w:rPr>
        <w:t>五、资产及负债状况分析</w:t>
      </w:r>
      <w:bookmarkEnd w:id="21"/>
    </w:p>
    <w:p>
      <w:pPr>
        <w:keepNext/>
        <w:keepLines/>
        <w:spacing w:before="300" w:after="300" w:line="280" w:lineRule="exact"/>
        <w:jc w:val="left"/>
        <w:outlineLvl w:val="2"/>
        <w:rPr>
          <w:rFonts w:ascii="宋体" w:hAnsi="宋体" w:eastAsia="宋体" w:cs="宋体"/>
          <w:b/>
          <w:bCs/>
          <w:sz w:val="21"/>
          <w:szCs w:val="21"/>
        </w:rPr>
      </w:pPr>
      <w:bookmarkStart w:id="22" w:name="_Toc988908"/>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资产构成重大变动情况</w:t>
      </w:r>
      <w:bookmarkEnd w:id="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7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510"/>
        <w:gridCol w:w="1109"/>
        <w:gridCol w:w="1609"/>
        <w:gridCol w:w="1064"/>
        <w:gridCol w:w="1027"/>
        <w:gridCol w:w="20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61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67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上年末</w:t>
            </w:r>
          </w:p>
        </w:tc>
        <w:tc>
          <w:tcPr>
            <w:tcW w:w="10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20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1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6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0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0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0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516,361,774.48</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17.17%</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560,769,511.15</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18.95%</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05" w:rightChars="-50"/>
              <w:jc w:val="both"/>
              <w:rPr>
                <w:rFonts w:ascii="宋体" w:hAnsi="宋体" w:eastAsia="宋体" w:cs="宋体"/>
                <w:sz w:val="18"/>
                <w:szCs w:val="18"/>
              </w:rPr>
            </w:pPr>
            <w:r>
              <w:rPr>
                <w:rFonts w:ascii="宋体" w:hAnsi="宋体" w:eastAsia="宋体" w:cs="宋体"/>
                <w:sz w:val="18"/>
                <w:szCs w:val="18"/>
              </w:rPr>
              <w:t>比年初减少7.92%，主要为本期子公司博云东方支付麓谷基地项目工程尾款所致。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475,464,368.82</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15.81%</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406,996,000.12</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13.75%</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86" w:rightChars="-41"/>
              <w:jc w:val="both"/>
              <w:rPr>
                <w:rFonts w:ascii="宋体" w:hAnsi="宋体" w:eastAsia="宋体" w:cs="宋体"/>
                <w:sz w:val="18"/>
                <w:szCs w:val="18"/>
              </w:rPr>
            </w:pPr>
            <w:r>
              <w:rPr>
                <w:rFonts w:ascii="宋体" w:hAnsi="宋体" w:eastAsia="宋体" w:cs="宋体"/>
                <w:sz w:val="18"/>
                <w:szCs w:val="18"/>
              </w:rPr>
              <w:t>比年初增加16.82%，主要为子公司博云东方收入增加，客户回款期延长，及子公司长沙鑫航收入增加所致。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合同资产</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2,553,824.15</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0.11%</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-0.03%</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551,786,206.21</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18.35%</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536,734,222.18</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18.14%</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86" w:rightChars="-41"/>
              <w:jc w:val="both"/>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910,643,708.48</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30.28%</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31.18%</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-0.90%</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4,886,135.21</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0.55%</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-0.39%</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比年初下降70.04%，主要为子公司博云东方自动化仓储物流系统转固定资产以及MES制造执行系统转无形资产所致。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386,500,000.00</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12.85%</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13,087,489.47</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12,685,882.34</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0.43%</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7D7D7" w:themeFill="background1" w:themeFillShade="D8"/>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65,501,149.43</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0.32%</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7D7D7" w:themeFill="background1" w:themeFillShade="D8"/>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169,734,054.13</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5.64%</w:t>
            </w:r>
          </w:p>
        </w:tc>
        <w:tc>
          <w:tcPr>
            <w:tcW w:w="1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182,117,635.81</w:t>
            </w:r>
          </w:p>
        </w:tc>
        <w:tc>
          <w:tcPr>
            <w:tcW w:w="10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6.15%</w:t>
            </w:r>
          </w:p>
        </w:tc>
        <w:tc>
          <w:tcPr>
            <w:tcW w:w="10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-0.51%</w:t>
            </w:r>
          </w:p>
        </w:tc>
        <w:tc>
          <w:tcPr>
            <w:tcW w:w="2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pPr>
        <w:keepNext/>
        <w:keepLines/>
        <w:spacing w:before="300" w:after="300" w:line="280" w:lineRule="exact"/>
        <w:jc w:val="left"/>
        <w:outlineLvl w:val="2"/>
        <w:rPr>
          <w:rFonts w:ascii="宋体" w:hAnsi="宋体" w:eastAsia="宋体" w:cs="宋体"/>
          <w:b/>
          <w:bCs/>
          <w:sz w:val="21"/>
          <w:szCs w:val="21"/>
        </w:rPr>
      </w:pPr>
      <w:bookmarkStart w:id="23" w:name="_Toc988909"/>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主要境外资产情况</w:t>
      </w:r>
      <w:bookmarkEnd w:id="2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4" w:name="_Toc988910"/>
      <w:r>
        <w:rPr>
          <w:rFonts w:hint="eastAsia" w:ascii="宋体" w:hAnsi="宋体" w:cs="宋体"/>
          <w:b/>
          <w:bCs/>
          <w:sz w:val="21"/>
          <w:szCs w:val="21"/>
          <w:lang w:eastAsia="zh-CN"/>
        </w:rPr>
        <w:t>（三）</w:t>
      </w:r>
      <w:r>
        <w:rPr>
          <w:rFonts w:ascii="宋体" w:hAnsi="宋体" w:eastAsia="宋体" w:cs="宋体"/>
          <w:b/>
          <w:bCs/>
          <w:sz w:val="21"/>
          <w:szCs w:val="21"/>
        </w:rPr>
        <w:t>以公允价值计量的资产和负债</w:t>
      </w:r>
      <w:bookmarkEnd w:id="2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210"/>
        <w:gridCol w:w="1046"/>
        <w:gridCol w:w="957"/>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2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95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4.其他权益工具投资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5.应收款项融资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76,652,953.75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68,452,307.16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12,689,303.58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93,600,058.04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76,652,953.75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68,452,307.16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101,800,704.63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textAlignment w:val="auto"/>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25" w:name="_Toc988911"/>
      <w:r>
        <w:rPr>
          <w:rFonts w:hint="eastAsia" w:ascii="宋体" w:hAnsi="宋体" w:cs="宋体"/>
          <w:b/>
          <w:bCs/>
          <w:sz w:val="21"/>
          <w:szCs w:val="21"/>
          <w:lang w:eastAsia="zh-CN"/>
        </w:rPr>
        <w:t>（四）</w:t>
      </w:r>
      <w:r>
        <w:rPr>
          <w:rFonts w:ascii="宋体" w:hAnsi="宋体" w:eastAsia="宋体" w:cs="宋体"/>
          <w:b/>
          <w:bCs/>
          <w:sz w:val="21"/>
          <w:szCs w:val="21"/>
        </w:rPr>
        <w:t>截至报告期末的资产权利受限情况</w:t>
      </w:r>
      <w:bookmarkEnd w:id="25"/>
    </w:p>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详见第八节“财务报告”中七、合并财务报表注释“第20点”所有权或使用权受到限制的资产。</w:t>
      </w:r>
    </w:p>
    <w:p>
      <w:pPr>
        <w:keepNext/>
        <w:keepLines/>
        <w:spacing w:before="300" w:after="300" w:line="320" w:lineRule="exact"/>
        <w:jc w:val="left"/>
        <w:outlineLvl w:val="1"/>
        <w:rPr>
          <w:rFonts w:ascii="宋体" w:hAnsi="宋体" w:eastAsia="宋体" w:cs="宋体"/>
          <w:b/>
          <w:bCs/>
          <w:sz w:val="24"/>
          <w:szCs w:val="24"/>
        </w:rPr>
      </w:pPr>
      <w:bookmarkStart w:id="26" w:name="_Toc988912"/>
      <w:r>
        <w:rPr>
          <w:rFonts w:ascii="宋体" w:hAnsi="宋体" w:eastAsia="宋体" w:cs="宋体"/>
          <w:b/>
          <w:bCs/>
          <w:sz w:val="24"/>
          <w:szCs w:val="24"/>
        </w:rPr>
        <w:t>六、投资状况分析</w:t>
      </w:r>
      <w:bookmarkEnd w:id="26"/>
    </w:p>
    <w:p>
      <w:pPr>
        <w:keepNext/>
        <w:keepLines/>
        <w:spacing w:before="300" w:after="300" w:line="280" w:lineRule="exact"/>
        <w:jc w:val="left"/>
        <w:outlineLvl w:val="2"/>
        <w:rPr>
          <w:rFonts w:ascii="宋体" w:hAnsi="宋体" w:eastAsia="宋体" w:cs="宋体"/>
          <w:b/>
          <w:bCs/>
          <w:sz w:val="21"/>
          <w:szCs w:val="21"/>
        </w:rPr>
      </w:pPr>
      <w:bookmarkStart w:id="27" w:name="_Toc988913"/>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总体情况</w:t>
      </w:r>
      <w:bookmarkEnd w:id="2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8" w:name="_Toc988914"/>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报告期内获取的重大的股权投资情况</w:t>
      </w:r>
      <w:bookmarkEnd w:id="2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9" w:name="_Toc988915"/>
      <w:r>
        <w:rPr>
          <w:rFonts w:hint="eastAsia" w:ascii="宋体" w:hAnsi="宋体" w:cs="宋体"/>
          <w:b/>
          <w:bCs/>
          <w:sz w:val="21"/>
          <w:szCs w:val="21"/>
          <w:lang w:eastAsia="zh-CN"/>
        </w:rPr>
        <w:t>（三）</w:t>
      </w:r>
      <w:r>
        <w:rPr>
          <w:rFonts w:ascii="宋体" w:hAnsi="宋体" w:eastAsia="宋体" w:cs="宋体"/>
          <w:b/>
          <w:bCs/>
          <w:sz w:val="21"/>
          <w:szCs w:val="21"/>
        </w:rPr>
        <w:t>报告期内正在进行的重大的非股权投资情况</w:t>
      </w:r>
      <w:bookmarkEnd w:id="2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0" w:name="_Toc988916"/>
      <w:r>
        <w:rPr>
          <w:rFonts w:hint="eastAsia" w:ascii="宋体" w:hAnsi="宋体" w:cs="宋体"/>
          <w:b/>
          <w:bCs/>
          <w:sz w:val="21"/>
          <w:szCs w:val="21"/>
          <w:lang w:eastAsia="zh-CN"/>
        </w:rPr>
        <w:t>（四）</w:t>
      </w:r>
      <w:r>
        <w:rPr>
          <w:rFonts w:ascii="宋体" w:hAnsi="宋体" w:eastAsia="宋体" w:cs="宋体"/>
          <w:b/>
          <w:bCs/>
          <w:sz w:val="21"/>
          <w:szCs w:val="21"/>
        </w:rPr>
        <w:t>金融资产投资</w:t>
      </w:r>
      <w:bookmarkEnd w:id="30"/>
    </w:p>
    <w:p>
      <w:pPr>
        <w:keepNext/>
        <w:keepLines/>
        <w:spacing w:before="300" w:after="300" w:line="280" w:lineRule="exact"/>
        <w:jc w:val="left"/>
        <w:outlineLvl w:val="3"/>
        <w:rPr>
          <w:rFonts w:ascii="宋体" w:hAnsi="宋体" w:eastAsia="宋体" w:cs="宋体"/>
          <w:b/>
          <w:bCs/>
          <w:sz w:val="21"/>
          <w:szCs w:val="21"/>
        </w:rPr>
      </w:pPr>
      <w:bookmarkStart w:id="31" w:name="_Toc988917"/>
      <w:r>
        <w:rPr>
          <w:rFonts w:hint="eastAsia" w:ascii="宋体" w:hAnsi="宋体" w:cs="宋体"/>
          <w:b/>
          <w:bCs/>
          <w:sz w:val="21"/>
          <w:szCs w:val="21"/>
          <w:lang w:val="en-US" w:eastAsia="zh-CN"/>
        </w:rPr>
        <w:t>1.</w:t>
      </w:r>
      <w:r>
        <w:rPr>
          <w:rFonts w:ascii="宋体" w:hAnsi="宋体" w:eastAsia="宋体" w:cs="宋体"/>
          <w:b/>
          <w:bCs/>
          <w:sz w:val="21"/>
          <w:szCs w:val="21"/>
        </w:rPr>
        <w:t>证券投资情况</w:t>
      </w:r>
      <w:bookmarkEnd w:id="31"/>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ascii="宋体" w:hAnsi="宋体" w:eastAsia="宋体" w:cs="宋体"/>
          <w:b/>
          <w:bCs/>
          <w:sz w:val="21"/>
          <w:szCs w:val="21"/>
        </w:rPr>
      </w:pPr>
      <w:bookmarkStart w:id="32" w:name="_Toc988918"/>
      <w:r>
        <w:rPr>
          <w:rFonts w:hint="eastAsia" w:ascii="宋体" w:hAnsi="宋体" w:cs="宋体"/>
          <w:b/>
          <w:bCs/>
          <w:sz w:val="21"/>
          <w:szCs w:val="21"/>
          <w:lang w:val="en-US" w:eastAsia="zh-CN"/>
        </w:rPr>
        <w:t>2.</w:t>
      </w:r>
      <w:r>
        <w:rPr>
          <w:rFonts w:ascii="宋体" w:hAnsi="宋体" w:eastAsia="宋体" w:cs="宋体"/>
          <w:b/>
          <w:bCs/>
          <w:sz w:val="21"/>
          <w:szCs w:val="21"/>
        </w:rPr>
        <w:t>衍生品投资情况</w:t>
      </w:r>
      <w:bookmarkEnd w:id="3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33" w:name="_Toc988919"/>
      <w:r>
        <w:rPr>
          <w:rFonts w:hint="eastAsia" w:ascii="宋体" w:hAnsi="宋体" w:cs="宋体"/>
          <w:b/>
          <w:bCs/>
          <w:sz w:val="21"/>
          <w:szCs w:val="21"/>
          <w:lang w:eastAsia="zh-CN"/>
        </w:rPr>
        <w:t>（五）</w:t>
      </w:r>
      <w:r>
        <w:rPr>
          <w:rFonts w:ascii="宋体" w:hAnsi="宋体" w:eastAsia="宋体" w:cs="宋体"/>
          <w:b/>
          <w:bCs/>
          <w:sz w:val="21"/>
          <w:szCs w:val="21"/>
        </w:rPr>
        <w:t>募集资金使用情况</w:t>
      </w:r>
      <w:bookmarkEnd w:id="33"/>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keepNext/>
        <w:keepLines/>
        <w:spacing w:before="300" w:after="300" w:line="280" w:lineRule="exact"/>
        <w:jc w:val="left"/>
        <w:outlineLvl w:val="3"/>
        <w:rPr>
          <w:rFonts w:ascii="宋体" w:hAnsi="宋体" w:eastAsia="宋体" w:cs="宋体"/>
          <w:b/>
          <w:bCs/>
          <w:sz w:val="21"/>
          <w:szCs w:val="21"/>
        </w:rPr>
      </w:pPr>
      <w:bookmarkStart w:id="34" w:name="_Toc988920"/>
      <w:r>
        <w:rPr>
          <w:rFonts w:hint="eastAsia" w:ascii="宋体" w:hAnsi="宋体" w:cs="宋体"/>
          <w:b/>
          <w:bCs/>
          <w:sz w:val="21"/>
          <w:szCs w:val="21"/>
          <w:lang w:val="en-US" w:eastAsia="zh-CN"/>
        </w:rPr>
        <w:t>1.</w:t>
      </w:r>
      <w:r>
        <w:rPr>
          <w:rFonts w:ascii="宋体" w:hAnsi="宋体" w:eastAsia="宋体" w:cs="宋体"/>
          <w:b/>
          <w:bCs/>
          <w:sz w:val="21"/>
          <w:szCs w:val="21"/>
        </w:rPr>
        <w:t>募集资金总体使用情况</w:t>
      </w:r>
      <w:bookmarkEnd w:id="3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5"/>
        <w:tblW w:w="96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779"/>
        <w:gridCol w:w="59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募集年份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募集方式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证券上市日期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募集资金净额（1）</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本期已使用募集资金总额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已累计使用募集资金总额（2）</w:t>
            </w:r>
          </w:p>
        </w:tc>
        <w:tc>
          <w:tcPr>
            <w:tcW w:w="77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报告期末募集资金使用比例（3）=（2）/（1）</w:t>
            </w:r>
          </w:p>
        </w:tc>
        <w:tc>
          <w:tcPr>
            <w:tcW w:w="5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累计变更用途的募集资金总额比例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尚未使用募集资金总额</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尚未使用募集资金用途及去向</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非公开发行</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5,556.6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57,765.82</w:t>
            </w: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lang w:val="en-US" w:eastAsia="zh-CN"/>
              </w:rPr>
              <w:t>92.25</w:t>
            </w:r>
            <w:r>
              <w:rPr>
                <w:rFonts w:ascii="宋体" w:hAnsi="宋体" w:eastAsia="宋体" w:cs="宋体"/>
                <w:sz w:val="18"/>
                <w:szCs w:val="18"/>
              </w:rPr>
              <w:t>%</w:t>
            </w:r>
          </w:p>
        </w:tc>
        <w:tc>
          <w:tcPr>
            <w:tcW w:w="5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5,432.09</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募集资金项目</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5,556.6</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57,765.82</w:t>
            </w:r>
          </w:p>
        </w:tc>
        <w:tc>
          <w:tcPr>
            <w:tcW w:w="77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cs="宋体"/>
                <w:sz w:val="18"/>
                <w:szCs w:val="18"/>
                <w:lang w:val="en-US" w:eastAsia="zh-CN"/>
              </w:rPr>
              <w:t>2</w:t>
            </w:r>
            <w:r>
              <w:rPr>
                <w:rFonts w:hint="eastAsia" w:ascii="宋体" w:hAnsi="宋体" w:eastAsia="宋体" w:cs="宋体"/>
                <w:sz w:val="18"/>
                <w:szCs w:val="18"/>
                <w:lang w:val="en-US" w:eastAsia="zh-CN"/>
              </w:rPr>
              <w:t>.25</w:t>
            </w:r>
            <w:r>
              <w:rPr>
                <w:rFonts w:ascii="宋体" w:hAnsi="宋体" w:eastAsia="宋体" w:cs="宋体"/>
                <w:sz w:val="18"/>
                <w:szCs w:val="18"/>
              </w:rPr>
              <w:t>%</w:t>
            </w:r>
          </w:p>
        </w:tc>
        <w:tc>
          <w:tcPr>
            <w:tcW w:w="59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7,746.68</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5,432.09</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6" w:type="dxa"/>
            <w:gridSpan w:val="1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46" w:type="dxa"/>
            <w:gridSpan w:val="1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本次非公开发行股票募集资金总额为人民币63,109.66万元，扣除与本次发行有关的费用人民币493.68万元（不含增值税），实际募集资金净额为人民币62,615.98万元。截至2025年6月30日，公司累计使用募集资金人民币57,765.82万元，（其中：高效精密硬质合金工模具与高强韧性特粗晶硬质合金掘进刀具麓谷基地产业化项目使用51,192.92万元，补充流动资金项目使用6,572.90万元）。募集资金专用账户存放余额为3,309.16万元，使用暂时闲置募集资金补充流动资金的金额2,122.93万元。与实际募集资金净额余额人民币62,615.98万元的差异金额为人民币581.93万元，该581.93万元差异系募集资金累计利息收入扣除银行手续费支出后的净额。</w:t>
            </w:r>
          </w:p>
        </w:tc>
      </w:tr>
    </w:tbl>
    <w:p>
      <w:pPr>
        <w:keepNext/>
        <w:keepLines/>
        <w:spacing w:before="300" w:after="300" w:line="280" w:lineRule="exact"/>
        <w:jc w:val="left"/>
        <w:outlineLvl w:val="3"/>
        <w:rPr>
          <w:rFonts w:ascii="宋体" w:hAnsi="宋体" w:eastAsia="宋体" w:cs="宋体"/>
          <w:b/>
          <w:bCs/>
          <w:sz w:val="21"/>
          <w:szCs w:val="21"/>
        </w:rPr>
      </w:pPr>
      <w:bookmarkStart w:id="35" w:name="_Toc988921"/>
      <w:r>
        <w:rPr>
          <w:rFonts w:hint="eastAsia" w:ascii="宋体" w:hAnsi="宋体" w:cs="宋体"/>
          <w:b/>
          <w:bCs/>
          <w:sz w:val="21"/>
          <w:szCs w:val="21"/>
          <w:lang w:val="en-US" w:eastAsia="zh-CN"/>
        </w:rPr>
        <w:t>2.</w:t>
      </w:r>
      <w:r>
        <w:rPr>
          <w:rFonts w:ascii="宋体" w:hAnsi="宋体" w:eastAsia="宋体" w:cs="宋体"/>
          <w:b/>
          <w:bCs/>
          <w:sz w:val="21"/>
          <w:szCs w:val="21"/>
        </w:rPr>
        <w:t>募集资金承诺项目情况</w:t>
      </w:r>
      <w:bookmarkEnd w:id="35"/>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5"/>
        <w:tblW w:w="96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8"/>
        <w:gridCol w:w="909"/>
        <w:gridCol w:w="372"/>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融资项目名称</w:t>
            </w:r>
          </w:p>
        </w:tc>
        <w:tc>
          <w:tcPr>
            <w:tcW w:w="64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证券上市日期</w:t>
            </w:r>
          </w:p>
        </w:tc>
        <w:tc>
          <w:tcPr>
            <w:tcW w:w="9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承诺投资项目和超募资金投向</w:t>
            </w:r>
          </w:p>
        </w:tc>
        <w:tc>
          <w:tcPr>
            <w:tcW w:w="37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项目性质</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是否已变更项目(含部分变更)</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募集资金承诺投资总额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调整后投资总额(1)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本报告期投入金额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截至期末累计投入金额(2)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截至期末投资进度(3)＝(2)/(1)</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项目达到预定可使用状态日期</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截止报告期末累计实现的效益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是否达到预计效益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5"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2020年向特定对象非公开发行股票</w:t>
            </w:r>
          </w:p>
        </w:tc>
        <w:tc>
          <w:tcPr>
            <w:tcW w:w="64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3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生产建设</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56,109.66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51,192.92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91.24%</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2024年12月31日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rPr>
              <w:t>-1,493.76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rPr>
              <w:t>-1,493.76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2020年向特定对象非公开发行股票</w:t>
            </w:r>
          </w:p>
        </w:tc>
        <w:tc>
          <w:tcPr>
            <w:tcW w:w="64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2021年08月06日</w:t>
            </w: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补充流动资金</w:t>
            </w:r>
          </w:p>
        </w:tc>
        <w:tc>
          <w:tcPr>
            <w:tcW w:w="3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补流</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6,506.32</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6,572.9</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101.20%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承诺投资项目小计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57,765.82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rPr>
              <w:t>-1,493.76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rPr>
              <w:t>-1,493.76</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5"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45" w:type="dxa"/>
            <w:gridSpan w:val="1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63,109.66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62,615.98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5,556.6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57,765.82</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rPr>
              <w:t>-1,493.76</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sz w:val="18"/>
                <w:szCs w:val="18"/>
              </w:rPr>
              <w:t>-1,493.76</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分项目说明未达到计划进度、预计收益的情况和原因（含“是否达到预计效益”选择“不适用”的原因）</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bookmarkStart w:id="36" w:name="OLE_LINK10"/>
            <w:r>
              <w:rPr>
                <w:rFonts w:hint="eastAsia" w:ascii="宋体" w:hAnsi="宋体" w:eastAsia="宋体" w:cs="宋体"/>
                <w:sz w:val="18"/>
                <w:szCs w:val="18"/>
              </w:rPr>
              <w:t>2025年上半年博云东方经过努力营业收入同比实现了较大幅度增长，但受硬质合金行业整体市场竞争较为激烈、原辅料价格高位波动、麓谷基地产业化项目达产阶段的折旧摊销费用增加以及受市场影响产能无法充分释放等综合因素的影响，从而导致博云东方麓谷基地产业化项目效益不达预期。</w:t>
            </w:r>
            <w:bookmarkEnd w:id="36"/>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项目可行性发生重大变化的情况说明</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超募资金的金额、用途及使用进展情况</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存在擅自变更募集资金用途、违规占用募集资金的情形</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募集资金投资项目实施地点变更情况</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募集资金投资项目实施方式调整情况</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以前年度发生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鉴于高端硬质合金棒材市场整体处于供销两旺的状态，且公司在高端硬质合金材料产品的市场及技术基础较整体刀具而言更好。为响应市场变化，并基于公司在相关产品领域目前所具备的现实竞争力情况，公司拟对“高效精密硬质合金工模具与高强韧性特粗晶硬质合金掘进刀具麓谷基地产业化项目”（简称“麓谷基地产业化项目”）部分实施内容进行调整。调整内容主要为：新增年产430吨硬质合金棒材，取消年产30万支整体刀具项目，将原用于刀具项目的设备投资款改用于购置新增年产430吨棒材所需设备。除此之外，募投项目整体保持不变。2022年1月24日，公司第六届董事会第二十三次会议审议并通过了《湖南博云新材料股份有限公司关于调整募集资金投资项目部分实施内容的议案》，同意对麓谷基地产业化项目部分实施内容进行调整，独立董事发表了明确同意意见。同日，上述议案亦经公司第六届监事会第十五次会议审议通过。保荐机构招商证券出具了对上述事项无异议的核查意见，公司履行了相应公告程序。2022年2月10日，公司2022年第一次临时股东大会审议通过该议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募集资金投资项目先期投入及置换情况</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天职国际会计师事务所有限公司于2021年8月6日出具了“天职业字〔2021〕35872号”《关于湖南博云新材料股份有限公司以募集资金置换预先投入募投项目及已支付发行费用的自筹资金的专项鉴证报告》，截至2021年8月5日，公司预先投入募集资金投资项目及以自筹资金支付的发行费用合计为人民币15,641.29万元。公司于2021年8月18日召开了第六届董事会第十九次会议，审议并通过了《关于以募集资金置换预先投入募投项目及已支付发行费用的自筹资金的议案》，同意公司使用募集资金置换预先投入募投项目及已支付发行费用的自筹资金15,641.29万元。针对上述事项，监事会与独立董事发表了同意意见，招商证券股份有限公司出具了无异议的核查意见，公司履行了相应公告程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用闲置募集资金暂时补充流动资金情况</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73" w:type="dxa"/>
            <w:gridSpan w:val="11"/>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before="120" w:after="0" w:line="240" w:lineRule="exact"/>
              <w:jc w:val="both"/>
              <w:textAlignment w:val="auto"/>
              <w:rPr>
                <w:sz w:val="18"/>
                <w:szCs w:val="18"/>
              </w:rPr>
            </w:pPr>
            <w:r>
              <w:rPr>
                <w:sz w:val="18"/>
                <w:szCs w:val="18"/>
              </w:rPr>
              <w:t>2021年8月18日，公司第六届董事会第十九次会议审议通过了《湖南博云新材料股份有限公司关于使用部分闲置募集资金暂时补充流动资金的议案》，同意公司及子公司使用不超过15,000.00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keepNext w:val="0"/>
              <w:keepLines w:val="0"/>
              <w:pageBreakBefore w:val="0"/>
              <w:widowControl w:val="0"/>
              <w:kinsoku/>
              <w:wordWrap/>
              <w:overflowPunct/>
              <w:topLinePunct w:val="0"/>
              <w:autoSpaceDE/>
              <w:autoSpaceDN/>
              <w:bidi w:val="0"/>
              <w:adjustRightInd/>
              <w:snapToGrid/>
              <w:spacing w:before="120" w:after="0" w:line="240" w:lineRule="exact"/>
              <w:jc w:val="both"/>
              <w:textAlignment w:val="auto"/>
              <w:rPr>
                <w:sz w:val="18"/>
                <w:szCs w:val="18"/>
              </w:rPr>
            </w:pPr>
            <w:r>
              <w:rPr>
                <w:sz w:val="18"/>
                <w:szCs w:val="18"/>
              </w:rPr>
              <w:t>2022年8月15日公司已将上述用于暂时补充流动资金的募集资金人民币15,000万元全部归还并转入公司募集资金专用账户。</w:t>
            </w:r>
          </w:p>
          <w:p>
            <w:pPr>
              <w:keepNext w:val="0"/>
              <w:keepLines w:val="0"/>
              <w:pageBreakBefore w:val="0"/>
              <w:widowControl w:val="0"/>
              <w:kinsoku/>
              <w:wordWrap/>
              <w:overflowPunct/>
              <w:topLinePunct w:val="0"/>
              <w:autoSpaceDE/>
              <w:autoSpaceDN/>
              <w:bidi w:val="0"/>
              <w:adjustRightInd/>
              <w:snapToGrid/>
              <w:spacing w:before="120" w:after="0" w:line="240" w:lineRule="exact"/>
              <w:jc w:val="both"/>
              <w:textAlignment w:val="auto"/>
              <w:rPr>
                <w:sz w:val="18"/>
                <w:szCs w:val="18"/>
              </w:rPr>
            </w:pPr>
            <w:r>
              <w:rPr>
                <w:sz w:val="18"/>
                <w:szCs w:val="18"/>
              </w:rPr>
              <w:t>2022年8月19日公司第六届董事会第二十七次会议审议通过了《湖南博云新材料股份有限公司关于使用部分闲置募集资金暂时补充流动资金的议案》，同意公司及子公司使用不超过15,000.00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keepNext w:val="0"/>
              <w:keepLines w:val="0"/>
              <w:pageBreakBefore w:val="0"/>
              <w:widowControl w:val="0"/>
              <w:kinsoku/>
              <w:wordWrap/>
              <w:overflowPunct/>
              <w:topLinePunct w:val="0"/>
              <w:autoSpaceDE/>
              <w:autoSpaceDN/>
              <w:bidi w:val="0"/>
              <w:adjustRightInd/>
              <w:snapToGrid/>
              <w:spacing w:before="120" w:after="0" w:line="240" w:lineRule="exact"/>
              <w:jc w:val="both"/>
              <w:textAlignment w:val="auto"/>
              <w:rPr>
                <w:sz w:val="18"/>
                <w:szCs w:val="18"/>
              </w:rPr>
            </w:pPr>
            <w:r>
              <w:rPr>
                <w:sz w:val="18"/>
                <w:szCs w:val="18"/>
              </w:rPr>
              <w:t>2023年8月17日公司已将上述用于暂时补充流动资金的募集资金人民币15,000.00万元全部归还并转入公司募集资金专用账户。</w:t>
            </w:r>
          </w:p>
          <w:p>
            <w:pPr>
              <w:keepNext w:val="0"/>
              <w:keepLines w:val="0"/>
              <w:pageBreakBefore w:val="0"/>
              <w:widowControl w:val="0"/>
              <w:kinsoku/>
              <w:wordWrap/>
              <w:overflowPunct/>
              <w:topLinePunct w:val="0"/>
              <w:autoSpaceDE/>
              <w:autoSpaceDN/>
              <w:bidi w:val="0"/>
              <w:adjustRightInd/>
              <w:snapToGrid/>
              <w:spacing w:before="120" w:after="0" w:line="240" w:lineRule="exact"/>
              <w:jc w:val="both"/>
              <w:textAlignment w:val="auto"/>
              <w:rPr>
                <w:sz w:val="18"/>
                <w:szCs w:val="18"/>
              </w:rPr>
            </w:pPr>
            <w:r>
              <w:rPr>
                <w:sz w:val="18"/>
                <w:szCs w:val="18"/>
              </w:rPr>
              <w:t>2023年8月29日公司第七届董事会第七次会议审议通过了《湖南博云新材料股份有限公司关于使用部分闲置募集资金暂时补充流动资金的议案》，同意公司及子公司使用不超过10,000.00万元的部分闲置募集资金暂时补充流动资金，使用期限自公司董事会审议通过之日起不超过12个月。针对上述事项，监事会与独立董事发表了同意意见，保荐机构招商证券出具了无异议的核查意见，公司履行了相应公告程序。</w:t>
            </w:r>
          </w:p>
          <w:p>
            <w:pPr>
              <w:keepNext w:val="0"/>
              <w:keepLines w:val="0"/>
              <w:pageBreakBefore w:val="0"/>
              <w:widowControl w:val="0"/>
              <w:kinsoku/>
              <w:wordWrap/>
              <w:overflowPunct/>
              <w:topLinePunct w:val="0"/>
              <w:autoSpaceDE/>
              <w:autoSpaceDN/>
              <w:bidi w:val="0"/>
              <w:adjustRightInd/>
              <w:snapToGrid/>
              <w:spacing w:before="120" w:after="0" w:line="240" w:lineRule="exact"/>
              <w:jc w:val="both"/>
              <w:textAlignment w:val="auto"/>
              <w:rPr>
                <w:sz w:val="18"/>
                <w:szCs w:val="18"/>
              </w:rPr>
            </w:pPr>
            <w:r>
              <w:rPr>
                <w:sz w:val="18"/>
                <w:szCs w:val="18"/>
              </w:rPr>
              <w:t>2024年8月20日公司已将上述用于暂时补充流动资金的募集资金人民币10,000.00万元全部归还并转入公司募集资金专用账户。</w:t>
            </w:r>
          </w:p>
          <w:p>
            <w:pPr>
              <w:keepNext w:val="0"/>
              <w:keepLines w:val="0"/>
              <w:pageBreakBefore w:val="0"/>
              <w:widowControl w:val="0"/>
              <w:kinsoku/>
              <w:wordWrap/>
              <w:overflowPunct/>
              <w:topLinePunct w:val="0"/>
              <w:autoSpaceDE/>
              <w:autoSpaceDN/>
              <w:bidi w:val="0"/>
              <w:adjustRightInd/>
              <w:snapToGrid/>
              <w:spacing w:before="120" w:after="0" w:line="240" w:lineRule="exact"/>
              <w:jc w:val="both"/>
              <w:textAlignment w:val="auto"/>
              <w:rPr>
                <w:sz w:val="18"/>
                <w:szCs w:val="18"/>
              </w:rPr>
            </w:pPr>
            <w:r>
              <w:rPr>
                <w:sz w:val="18"/>
                <w:szCs w:val="18"/>
              </w:rPr>
              <w:t>2024年8月22日公司第七届董事会第十三次会议审议通过了《湖南博云新材料股份有限公司关于使用部分闲置募集资金暂时补充流动资金的议案》，同意公司及子公司使用不超过5,000.00万元的部分闲置募集资金暂时补充流动资金，使用期限自公司董事会审议通过之日起不超过12个月。针对上述事项，监事会发表了同意意见，保荐机构招商证券出具了无异议的核查意见，公司履行了相应公告程序。截至2024年12月31日，公司使用闲置募集资金暂时补充流动资金的金额为5,000.00万元。</w:t>
            </w:r>
          </w:p>
          <w:p>
            <w:pPr>
              <w:keepNext w:val="0"/>
              <w:keepLines w:val="0"/>
              <w:pageBreakBefore w:val="0"/>
              <w:widowControl w:val="0"/>
              <w:kinsoku/>
              <w:wordWrap/>
              <w:overflowPunct/>
              <w:topLinePunct w:val="0"/>
              <w:autoSpaceDE/>
              <w:autoSpaceDN/>
              <w:bidi w:val="0"/>
              <w:adjustRightInd/>
              <w:snapToGrid/>
              <w:spacing w:before="120" w:line="240" w:lineRule="exact"/>
              <w:ind w:right="0" w:rightChars="0"/>
              <w:textAlignment w:val="auto"/>
              <w:rPr>
                <w:rFonts w:ascii="Times New Roman" w:hAnsi="Times New Roman" w:cs="Times New Roman"/>
                <w:sz w:val="18"/>
                <w:szCs w:val="18"/>
              </w:rPr>
            </w:pPr>
            <w:bookmarkStart w:id="37" w:name="OLE_LINK2"/>
            <w:r>
              <w:rPr>
                <w:rFonts w:hint="eastAsia" w:ascii="Times New Roman" w:hAnsi="Times New Roman" w:cs="Times New Roman"/>
                <w:sz w:val="18"/>
                <w:szCs w:val="18"/>
              </w:rPr>
              <w:t>根据中国证监会2025年5月发布的《上市公司募集资金监管规则》，</w:t>
            </w:r>
            <w:r>
              <w:rPr>
                <w:rFonts w:ascii="Times New Roman" w:hAnsi="Times New Roman" w:cs="Times New Roman"/>
                <w:sz w:val="18"/>
                <w:szCs w:val="18"/>
              </w:rPr>
              <w:t>公司已</w:t>
            </w:r>
            <w:r>
              <w:rPr>
                <w:rFonts w:hint="eastAsia" w:ascii="Times New Roman" w:hAnsi="Times New Roman" w:cs="Times New Roman"/>
                <w:sz w:val="18"/>
                <w:szCs w:val="18"/>
              </w:rPr>
              <w:t>于2025年6月</w:t>
            </w:r>
            <w:r>
              <w:rPr>
                <w:rFonts w:ascii="Times New Roman" w:hAnsi="Times New Roman" w:cs="Times New Roman"/>
                <w:sz w:val="18"/>
                <w:szCs w:val="18"/>
              </w:rPr>
              <w:t>将上述用于暂时补充流动资金的募集资金人民币</w:t>
            </w:r>
            <w:r>
              <w:rPr>
                <w:rFonts w:hint="eastAsia" w:ascii="Times New Roman" w:hAnsi="Times New Roman" w:cs="Times New Roman"/>
                <w:sz w:val="18"/>
                <w:szCs w:val="18"/>
              </w:rPr>
              <w:t>5</w:t>
            </w:r>
            <w:r>
              <w:rPr>
                <w:rFonts w:ascii="Times New Roman" w:hAnsi="Times New Roman" w:cs="Times New Roman"/>
                <w:sz w:val="18"/>
                <w:szCs w:val="18"/>
              </w:rPr>
              <w:t>,000.00万元全部转入公司募集资金专用账户</w:t>
            </w:r>
            <w:r>
              <w:rPr>
                <w:rFonts w:hint="eastAsia"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before="120" w:line="240" w:lineRule="exact"/>
              <w:ind w:right="0" w:rightChars="0"/>
              <w:textAlignment w:val="auto"/>
            </w:pPr>
            <w:r>
              <w:rPr>
                <w:rFonts w:hint="eastAsia" w:ascii="Times New Roman" w:hAnsi="Times New Roman" w:cs="Times New Roman"/>
                <w:sz w:val="18"/>
                <w:szCs w:val="18"/>
              </w:rPr>
              <w:t>截至2025年6月30日</w:t>
            </w:r>
            <w:r>
              <w:rPr>
                <w:rFonts w:ascii="Times New Roman" w:hAnsi="Times New Roman" w:cs="Times New Roman"/>
                <w:sz w:val="18"/>
                <w:szCs w:val="18"/>
              </w:rPr>
              <w:t>，公司</w:t>
            </w:r>
            <w:r>
              <w:rPr>
                <w:rFonts w:hint="eastAsia" w:ascii="Times New Roman" w:hAnsi="Times New Roman" w:cs="Times New Roman"/>
                <w:sz w:val="18"/>
                <w:szCs w:val="18"/>
              </w:rPr>
              <w:t>通过募集资金专项账户</w:t>
            </w:r>
            <w:r>
              <w:rPr>
                <w:rFonts w:ascii="Times New Roman" w:hAnsi="Times New Roman" w:cs="Times New Roman"/>
                <w:sz w:val="18"/>
                <w:szCs w:val="18"/>
              </w:rPr>
              <w:t>使用</w:t>
            </w:r>
            <w:r>
              <w:rPr>
                <w:rFonts w:hint="eastAsia" w:ascii="Times New Roman" w:hAnsi="Times New Roman" w:cs="Times New Roman"/>
                <w:sz w:val="18"/>
                <w:szCs w:val="18"/>
              </w:rPr>
              <w:t>暂时</w:t>
            </w:r>
            <w:r>
              <w:rPr>
                <w:rFonts w:ascii="Times New Roman" w:hAnsi="Times New Roman" w:cs="Times New Roman"/>
                <w:sz w:val="18"/>
                <w:szCs w:val="18"/>
              </w:rPr>
              <w:t>闲置募集资金补充流动资金的金额为</w:t>
            </w:r>
            <w:r>
              <w:rPr>
                <w:rFonts w:hint="eastAsia" w:ascii="Times New Roman" w:hAnsi="Times New Roman" w:cs="Times New Roman"/>
                <w:sz w:val="18"/>
                <w:szCs w:val="18"/>
              </w:rPr>
              <w:t>2,122.93</w:t>
            </w:r>
            <w:r>
              <w:rPr>
                <w:rFonts w:ascii="Times New Roman" w:hAnsi="Times New Roman" w:cs="Times New Roman"/>
                <w:sz w:val="18"/>
                <w:szCs w:val="18"/>
              </w:rPr>
              <w:t>万元。</w:t>
            </w:r>
            <w:r>
              <w:rPr>
                <w:rFonts w:hint="eastAsia" w:ascii="Times New Roman" w:hAnsi="Times New Roman" w:cs="Times New Roman"/>
                <w:sz w:val="18"/>
                <w:szCs w:val="18"/>
              </w:rPr>
              <w:t>公司严格按《上市公司募集资金监管规则》的相关规定，通过募集资金专项账户实施暂时闲置募集资金临时补充流动资金，并限于与主营业务相关的生产经营活动。</w:t>
            </w:r>
            <w:bookmarkEnd w:id="37"/>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项目实施出现募集资金结余的金额及原因</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尚未使用的募集资金用途及去向</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both"/>
              <w:rPr>
                <w:rFonts w:ascii="宋体" w:hAnsi="宋体" w:eastAsia="宋体" w:cs="宋体"/>
                <w:sz w:val="18"/>
                <w:szCs w:val="18"/>
              </w:rPr>
            </w:pPr>
            <w:r>
              <w:rPr>
                <w:rFonts w:ascii="宋体" w:hAnsi="宋体" w:eastAsia="宋体" w:cs="宋体"/>
                <w:sz w:val="18"/>
                <w:szCs w:val="18"/>
              </w:rPr>
              <w:t>截至2025年6月30日，尚未使用的募集资金5,432.09万元。尚未使用的募集资金将用于高效精密硬质合金工模具与高强韧性特粗晶硬质合金掘进刀具麓谷基地产业化项目。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72"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募集资金使用及披露中存在的问题或其他情况</w:t>
            </w:r>
          </w:p>
        </w:tc>
        <w:tc>
          <w:tcPr>
            <w:tcW w:w="7073" w:type="dxa"/>
            <w:gridSpan w:val="11"/>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3"/>
        <w:rPr>
          <w:rFonts w:ascii="宋体" w:hAnsi="宋体" w:eastAsia="宋体" w:cs="宋体"/>
          <w:b/>
          <w:bCs/>
          <w:sz w:val="21"/>
          <w:szCs w:val="21"/>
        </w:rPr>
      </w:pPr>
      <w:bookmarkStart w:id="38" w:name="_Toc988922"/>
      <w:r>
        <w:rPr>
          <w:rFonts w:hint="eastAsia" w:ascii="宋体" w:hAnsi="宋体" w:cs="宋体"/>
          <w:b/>
          <w:bCs/>
          <w:sz w:val="21"/>
          <w:szCs w:val="21"/>
          <w:lang w:val="en-US" w:eastAsia="zh-CN"/>
        </w:rPr>
        <w:t>3.</w:t>
      </w:r>
      <w:r>
        <w:rPr>
          <w:rFonts w:ascii="宋体" w:hAnsi="宋体" w:eastAsia="宋体" w:cs="宋体"/>
          <w:b/>
          <w:bCs/>
          <w:sz w:val="21"/>
          <w:szCs w:val="21"/>
        </w:rPr>
        <w:t>募集资金变更项目情况</w:t>
      </w:r>
      <w:bookmarkEnd w:id="3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公司报告期不存在募集资金变更项目情况。</w:t>
      </w:r>
    </w:p>
    <w:p>
      <w:pPr>
        <w:keepNext/>
        <w:keepLines/>
        <w:spacing w:before="300" w:after="300" w:line="320" w:lineRule="exact"/>
        <w:jc w:val="left"/>
        <w:outlineLvl w:val="1"/>
        <w:rPr>
          <w:rFonts w:ascii="宋体" w:hAnsi="宋体" w:eastAsia="宋体" w:cs="宋体"/>
          <w:b/>
          <w:bCs/>
          <w:sz w:val="24"/>
          <w:szCs w:val="24"/>
        </w:rPr>
      </w:pPr>
      <w:bookmarkStart w:id="39" w:name="_Toc988923"/>
      <w:r>
        <w:rPr>
          <w:rFonts w:ascii="宋体" w:hAnsi="宋体" w:eastAsia="宋体" w:cs="宋体"/>
          <w:b/>
          <w:bCs/>
          <w:sz w:val="24"/>
          <w:szCs w:val="24"/>
        </w:rPr>
        <w:t>七、重大资产和股权出售</w:t>
      </w:r>
      <w:bookmarkEnd w:id="39"/>
    </w:p>
    <w:p>
      <w:pPr>
        <w:keepNext/>
        <w:keepLines/>
        <w:spacing w:before="300" w:after="300" w:line="280" w:lineRule="exact"/>
        <w:jc w:val="left"/>
        <w:outlineLvl w:val="2"/>
        <w:rPr>
          <w:rFonts w:ascii="宋体" w:hAnsi="宋体" w:eastAsia="宋体" w:cs="宋体"/>
          <w:b/>
          <w:bCs/>
          <w:sz w:val="21"/>
          <w:szCs w:val="21"/>
        </w:rPr>
      </w:pPr>
      <w:bookmarkStart w:id="40" w:name="_Toc988924"/>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出售重大资产情况</w:t>
      </w:r>
      <w:bookmarkEnd w:id="4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41" w:name="_Toc988925"/>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出售重大股权情况</w:t>
      </w:r>
      <w:bookmarkEnd w:id="41"/>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公司报告期未出售重大</w:t>
      </w:r>
      <w:r>
        <w:rPr>
          <w:rFonts w:hint="eastAsia" w:ascii="宋体" w:hAnsi="宋体" w:cs="宋体"/>
          <w:sz w:val="18"/>
          <w:szCs w:val="18"/>
          <w:lang w:eastAsia="zh-CN"/>
        </w:rPr>
        <w:t>股权</w:t>
      </w:r>
      <w:r>
        <w:rPr>
          <w:rFonts w:ascii="宋体" w:hAnsi="宋体" w:eastAsia="宋体" w:cs="宋体"/>
          <w:sz w:val="18"/>
          <w:szCs w:val="18"/>
        </w:rPr>
        <w:t>。</w:t>
      </w:r>
    </w:p>
    <w:p>
      <w:pPr>
        <w:keepNext/>
        <w:keepLines/>
        <w:spacing w:before="300" w:after="300" w:line="320" w:lineRule="exact"/>
        <w:jc w:val="left"/>
        <w:outlineLvl w:val="1"/>
        <w:rPr>
          <w:rFonts w:ascii="宋体" w:hAnsi="宋体" w:eastAsia="宋体" w:cs="宋体"/>
          <w:b/>
          <w:bCs/>
          <w:sz w:val="24"/>
          <w:szCs w:val="24"/>
        </w:rPr>
      </w:pPr>
      <w:bookmarkStart w:id="42" w:name="_Toc988926"/>
      <w:r>
        <w:rPr>
          <w:rFonts w:ascii="宋体" w:hAnsi="宋体" w:eastAsia="宋体" w:cs="宋体"/>
          <w:b/>
          <w:bCs/>
          <w:sz w:val="24"/>
          <w:szCs w:val="24"/>
        </w:rPr>
        <w:t>八、主要控股参股公司分析</w:t>
      </w:r>
      <w:bookmarkEnd w:id="4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307,298,955.00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1,363,359,577.69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730,666,195.49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215,857,405.01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-17,710,715.85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-14,937,604.39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飞机机轮刹车系统及零部件</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377,000,000.00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673,764,189.48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167,287,622.49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46,988,214.57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-4,047,811.38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-4,047,811.38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高新材料的生产、加工和销售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235,095,326.28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212,948,453.90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45,479,722.33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-1,526,312.48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-1,534,699.41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参股公司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飞机刹车、机轮及其相关结构件和控制系统</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9,800.00万美元</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232,108,067.27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-14,137,028.88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16,993,969.50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-16,662,235.00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-16,622,135.09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textAlignment w:val="auto"/>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43" w:name="_Toc988927"/>
      <w:r>
        <w:rPr>
          <w:rFonts w:ascii="宋体" w:hAnsi="宋体" w:eastAsia="宋体" w:cs="宋体"/>
          <w:b/>
          <w:bCs/>
          <w:sz w:val="24"/>
          <w:szCs w:val="24"/>
        </w:rPr>
        <w:t>九、公司控制的结构化主体情况</w:t>
      </w:r>
      <w:bookmarkEnd w:id="4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4" w:name="_Toc988928"/>
      <w:r>
        <w:rPr>
          <w:rFonts w:ascii="宋体" w:hAnsi="宋体" w:eastAsia="宋体" w:cs="宋体"/>
          <w:b/>
          <w:bCs/>
          <w:sz w:val="24"/>
          <w:szCs w:val="24"/>
        </w:rPr>
        <w:t>十、公司面临的风险和应对措施</w:t>
      </w:r>
      <w:bookmarkEnd w:id="44"/>
    </w:p>
    <w:p>
      <w:pPr>
        <w:pStyle w:val="4"/>
        <w:keepNext w:val="0"/>
        <w:keepLines w:val="0"/>
        <w:widowControl/>
        <w:suppressLineNumbers w:val="0"/>
        <w:spacing w:before="180" w:beforeAutospacing="0" w:after="120" w:afterAutospacing="0" w:line="280" w:lineRule="atLeast"/>
        <w:ind w:left="0" w:right="0"/>
        <w:jc w:val="left"/>
        <w:rPr>
          <w:rFonts w:hint="default" w:ascii="Times New Roman" w:hAnsi="Times New Roman" w:cs="Times New Roman"/>
          <w:sz w:val="21"/>
          <w:szCs w:val="21"/>
        </w:rPr>
      </w:pPr>
      <w:r>
        <w:rPr>
          <w:rStyle w:val="7"/>
          <w:rFonts w:hint="eastAsia" w:ascii="宋体" w:hAnsi="宋体" w:eastAsia="宋体" w:cs="宋体"/>
          <w:b/>
          <w:bCs/>
          <w:sz w:val="21"/>
          <w:szCs w:val="21"/>
        </w:rPr>
        <w:t>（一）</w:t>
      </w:r>
      <w:r>
        <w:rPr>
          <w:rStyle w:val="7"/>
          <w:rFonts w:hint="eastAsia" w:ascii="宋体" w:hAnsi="宋体" w:cs="宋体"/>
          <w:b/>
          <w:bCs/>
          <w:sz w:val="21"/>
          <w:szCs w:val="21"/>
          <w:lang w:eastAsia="zh-CN"/>
        </w:rPr>
        <w:t>应收账款较大的</w:t>
      </w:r>
      <w:r>
        <w:rPr>
          <w:rStyle w:val="7"/>
          <w:rFonts w:hint="eastAsia" w:ascii="宋体" w:hAnsi="宋体" w:eastAsia="宋体" w:cs="宋体"/>
          <w:b/>
          <w:bCs/>
          <w:sz w:val="21"/>
          <w:szCs w:val="21"/>
        </w:rPr>
        <w:t>风险</w:t>
      </w:r>
    </w:p>
    <w:p>
      <w:pPr>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firstLineChars="200"/>
        <w:textAlignment w:val="auto"/>
        <w:rPr>
          <w:rFonts w:hint="eastAsia" w:ascii="宋体"/>
          <w:sz w:val="21"/>
          <w:szCs w:val="21"/>
          <w:lang w:val="zh-CN"/>
        </w:rPr>
      </w:pPr>
      <w:r>
        <w:rPr>
          <w:rFonts w:hint="eastAsia" w:ascii="宋体"/>
          <w:sz w:val="21"/>
          <w:szCs w:val="21"/>
          <w:lang w:val="zh-CN"/>
        </w:rPr>
        <w:t>公司为了开拓市场，对信誉较好的重点客户给予延期付款优惠</w:t>
      </w:r>
      <w:r>
        <w:rPr>
          <w:rFonts w:hint="eastAsia" w:ascii="宋体"/>
          <w:sz w:val="21"/>
          <w:szCs w:val="21"/>
          <w:lang w:val="en-US" w:eastAsia="zh-CN"/>
        </w:rPr>
        <w:t>政策</w:t>
      </w:r>
      <w:r>
        <w:rPr>
          <w:rFonts w:hint="eastAsia" w:ascii="宋体"/>
          <w:sz w:val="21"/>
          <w:szCs w:val="21"/>
          <w:lang w:val="zh-CN"/>
        </w:rPr>
        <w:t>；航空航天业务</w:t>
      </w:r>
      <w:r>
        <w:rPr>
          <w:rFonts w:hint="eastAsia" w:ascii="宋体"/>
          <w:sz w:val="21"/>
          <w:szCs w:val="21"/>
          <w:lang w:val="en-US" w:eastAsia="zh-CN"/>
        </w:rPr>
        <w:t>基于行业</w:t>
      </w:r>
      <w:r>
        <w:rPr>
          <w:rFonts w:hint="eastAsia" w:ascii="宋体"/>
          <w:sz w:val="21"/>
          <w:szCs w:val="21"/>
          <w:lang w:val="zh-CN"/>
        </w:rPr>
        <w:t>特点，采用签订长期销售合同、按需供货的销售模式，由于逐笔供货</w:t>
      </w:r>
      <w:r>
        <w:rPr>
          <w:rFonts w:hint="eastAsia" w:ascii="宋体"/>
          <w:sz w:val="21"/>
          <w:szCs w:val="21"/>
          <w:lang w:val="en-US" w:eastAsia="zh-CN"/>
        </w:rPr>
        <w:t>即</w:t>
      </w:r>
      <w:r>
        <w:rPr>
          <w:rFonts w:hint="eastAsia" w:ascii="宋体"/>
          <w:sz w:val="21"/>
          <w:szCs w:val="21"/>
          <w:lang w:val="zh-CN"/>
        </w:rPr>
        <w:t>结算的手续繁琐，</w:t>
      </w:r>
      <w:r>
        <w:rPr>
          <w:rFonts w:hint="eastAsia" w:ascii="宋体"/>
          <w:sz w:val="21"/>
          <w:szCs w:val="21"/>
          <w:lang w:val="en-US" w:eastAsia="zh-CN"/>
        </w:rPr>
        <w:t>同意</w:t>
      </w:r>
      <w:r>
        <w:rPr>
          <w:rFonts w:hint="eastAsia" w:ascii="宋体"/>
          <w:sz w:val="21"/>
          <w:szCs w:val="21"/>
          <w:lang w:val="zh-CN"/>
        </w:rPr>
        <w:t>客户采用大额定期结算</w:t>
      </w:r>
      <w:r>
        <w:rPr>
          <w:rFonts w:hint="eastAsia" w:ascii="宋体"/>
          <w:sz w:val="21"/>
          <w:szCs w:val="21"/>
          <w:lang w:val="en-US" w:eastAsia="zh-CN"/>
        </w:rPr>
        <w:t>方式</w:t>
      </w:r>
      <w:r>
        <w:rPr>
          <w:rFonts w:hint="eastAsia" w:ascii="宋体"/>
          <w:sz w:val="21"/>
          <w:szCs w:val="21"/>
          <w:lang w:val="zh-CN"/>
        </w:rPr>
        <w:t>，</w:t>
      </w:r>
      <w:r>
        <w:rPr>
          <w:rFonts w:hint="eastAsia" w:ascii="宋体"/>
          <w:sz w:val="21"/>
          <w:szCs w:val="21"/>
          <w:lang w:val="en-US" w:eastAsia="zh-CN"/>
        </w:rPr>
        <w:t>使得</w:t>
      </w:r>
      <w:r>
        <w:rPr>
          <w:rFonts w:hint="eastAsia" w:ascii="宋体"/>
          <w:sz w:val="21"/>
          <w:szCs w:val="21"/>
          <w:lang w:val="zh-CN"/>
        </w:rPr>
        <w:t>目前公司应收账款金额较大。</w:t>
      </w:r>
    </w:p>
    <w:p>
      <w:pPr>
        <w:keepNext w:val="0"/>
        <w:keepLines w:val="0"/>
        <w:pageBreakBefore w:val="0"/>
        <w:widowControl w:val="0"/>
        <w:kinsoku/>
        <w:wordWrap/>
        <w:overflowPunct/>
        <w:topLinePunct w:val="0"/>
        <w:autoSpaceDE w:val="0"/>
        <w:autoSpaceDN w:val="0"/>
        <w:bidi w:val="0"/>
        <w:adjustRightInd w:val="0"/>
        <w:snapToGrid/>
        <w:spacing w:before="0" w:after="0" w:line="360" w:lineRule="exact"/>
        <w:ind w:firstLine="420"/>
        <w:textAlignment w:val="auto"/>
        <w:rPr>
          <w:rFonts w:hint="eastAsia" w:ascii="宋体"/>
          <w:sz w:val="21"/>
          <w:szCs w:val="21"/>
          <w:lang w:val="zh-CN"/>
        </w:rPr>
      </w:pPr>
      <w:r>
        <w:rPr>
          <w:rFonts w:hint="eastAsia" w:ascii="宋体"/>
          <w:sz w:val="21"/>
          <w:szCs w:val="21"/>
          <w:lang w:val="zh-CN"/>
        </w:rPr>
        <w:t>对策：公司</w:t>
      </w:r>
      <w:r>
        <w:rPr>
          <w:rFonts w:hint="eastAsia" w:ascii="宋体"/>
          <w:sz w:val="21"/>
          <w:szCs w:val="21"/>
          <w:lang w:val="en-US" w:eastAsia="zh-CN"/>
        </w:rPr>
        <w:t>将结合</w:t>
      </w:r>
      <w:r>
        <w:rPr>
          <w:rFonts w:hint="eastAsia" w:ascii="宋体"/>
          <w:sz w:val="21"/>
          <w:szCs w:val="21"/>
          <w:lang w:val="zh-CN"/>
        </w:rPr>
        <w:t>客户特</w:t>
      </w:r>
      <w:r>
        <w:rPr>
          <w:rFonts w:hint="eastAsia" w:ascii="宋体"/>
          <w:sz w:val="21"/>
          <w:szCs w:val="21"/>
          <w:lang w:val="zh-CN" w:eastAsia="zh-CN"/>
        </w:rPr>
        <w:t>点</w:t>
      </w:r>
      <w:r>
        <w:rPr>
          <w:rFonts w:hint="eastAsia" w:ascii="宋体"/>
          <w:sz w:val="21"/>
          <w:szCs w:val="21"/>
          <w:lang w:val="en-US" w:eastAsia="zh-CN"/>
        </w:rPr>
        <w:t>和</w:t>
      </w:r>
      <w:r>
        <w:rPr>
          <w:rFonts w:hint="eastAsia" w:ascii="宋体"/>
          <w:sz w:val="21"/>
          <w:szCs w:val="21"/>
          <w:lang w:val="zh-CN"/>
        </w:rPr>
        <w:t>市场变化趋势制定更合理的客户信用管理制度，以降低公司相关风险。</w:t>
      </w:r>
    </w:p>
    <w:p>
      <w:pPr>
        <w:pStyle w:val="4"/>
        <w:keepNext w:val="0"/>
        <w:keepLines w:val="0"/>
        <w:widowControl/>
        <w:suppressLineNumbers w:val="0"/>
        <w:spacing w:before="180" w:beforeAutospacing="0" w:after="120" w:afterAutospacing="0" w:line="280" w:lineRule="atLeast"/>
        <w:ind w:left="0" w:right="0"/>
        <w:jc w:val="left"/>
        <w:rPr>
          <w:rFonts w:hint="default" w:ascii="Times New Roman" w:hAnsi="Times New Roman" w:cs="Times New Roman"/>
          <w:sz w:val="21"/>
          <w:szCs w:val="21"/>
        </w:rPr>
      </w:pPr>
      <w:r>
        <w:rPr>
          <w:rStyle w:val="7"/>
          <w:rFonts w:hint="eastAsia" w:ascii="宋体" w:hAnsi="宋体" w:eastAsia="宋体" w:cs="宋体"/>
          <w:b/>
          <w:bCs/>
          <w:sz w:val="21"/>
          <w:szCs w:val="21"/>
        </w:rPr>
        <w:t>（二）存货</w:t>
      </w:r>
      <w:r>
        <w:rPr>
          <w:rStyle w:val="7"/>
          <w:rFonts w:hint="eastAsia" w:ascii="宋体" w:hAnsi="宋体" w:cs="宋体"/>
          <w:b/>
          <w:bCs/>
          <w:sz w:val="21"/>
          <w:szCs w:val="21"/>
          <w:lang w:eastAsia="zh-CN"/>
        </w:rPr>
        <w:t>量</w:t>
      </w:r>
      <w:r>
        <w:rPr>
          <w:rStyle w:val="7"/>
          <w:rFonts w:hint="eastAsia" w:ascii="宋体" w:hAnsi="宋体" w:eastAsia="宋体" w:cs="宋体"/>
          <w:b/>
          <w:bCs/>
          <w:sz w:val="21"/>
          <w:szCs w:val="21"/>
        </w:rPr>
        <w:t>较大的风险</w:t>
      </w:r>
    </w:p>
    <w:p>
      <w:pPr>
        <w:pStyle w:val="4"/>
        <w:keepNext w:val="0"/>
        <w:keepLines w:val="0"/>
        <w:widowControl/>
        <w:suppressLineNumbers w:val="0"/>
        <w:spacing w:before="0" w:beforeAutospacing="0" w:after="0" w:afterAutospacing="0" w:line="360" w:lineRule="atLeast"/>
        <w:ind w:right="0" w:firstLine="420" w:firstLineChars="200"/>
        <w:jc w:val="both"/>
        <w:rPr>
          <w:rFonts w:hint="default" w:ascii="Times New Roman" w:hAnsi="Times New Roman" w:cs="Times New Roman"/>
          <w:sz w:val="24"/>
          <w:szCs w:val="24"/>
        </w:rPr>
      </w:pPr>
      <w:bookmarkStart w:id="45" w:name="OLE_LINK7"/>
      <w:r>
        <w:rPr>
          <w:rFonts w:hint="eastAsia" w:ascii="宋体" w:hAnsi="宋体" w:cs="宋体"/>
          <w:sz w:val="21"/>
          <w:szCs w:val="21"/>
          <w:lang w:eastAsia="zh-CN"/>
        </w:rPr>
        <w:t>因</w:t>
      </w:r>
      <w:r>
        <w:rPr>
          <w:rFonts w:hint="eastAsia" w:ascii="宋体" w:hAnsi="宋体" w:eastAsia="宋体" w:cs="宋体"/>
          <w:sz w:val="21"/>
          <w:szCs w:val="21"/>
        </w:rPr>
        <w:t>公司</w:t>
      </w:r>
      <w:r>
        <w:rPr>
          <w:rFonts w:hint="eastAsia" w:ascii="宋体" w:hAnsi="宋体" w:cs="宋体"/>
          <w:sz w:val="21"/>
          <w:szCs w:val="21"/>
          <w:lang w:eastAsia="zh-CN"/>
        </w:rPr>
        <w:t>航空航天</w:t>
      </w:r>
      <w:r>
        <w:rPr>
          <w:rFonts w:hint="eastAsia" w:ascii="宋体" w:hAnsi="宋体" w:eastAsia="宋体" w:cs="宋体"/>
          <w:sz w:val="21"/>
          <w:szCs w:val="21"/>
        </w:rPr>
        <w:t>产品</w:t>
      </w:r>
      <w:r>
        <w:rPr>
          <w:rFonts w:hint="eastAsia" w:ascii="宋体" w:hAnsi="宋体" w:cs="宋体"/>
          <w:sz w:val="21"/>
          <w:szCs w:val="21"/>
          <w:lang w:eastAsia="zh-CN"/>
        </w:rPr>
        <w:t>具有</w:t>
      </w:r>
      <w:r>
        <w:rPr>
          <w:rFonts w:hint="eastAsia" w:ascii="宋体" w:hAnsi="宋体" w:eastAsia="宋体" w:cs="宋体"/>
          <w:sz w:val="21"/>
          <w:szCs w:val="21"/>
        </w:rPr>
        <w:t>生产周期较长</w:t>
      </w:r>
      <w:r>
        <w:rPr>
          <w:rFonts w:hint="eastAsia" w:ascii="宋体" w:hAnsi="宋体" w:cs="宋体"/>
          <w:sz w:val="21"/>
          <w:szCs w:val="21"/>
          <w:lang w:eastAsia="zh-CN"/>
        </w:rPr>
        <w:t>及硬质合金产品</w:t>
      </w:r>
      <w:r>
        <w:rPr>
          <w:rFonts w:hint="eastAsia" w:ascii="宋体" w:hAnsi="宋体" w:eastAsia="宋体" w:cs="宋体"/>
          <w:sz w:val="21"/>
          <w:szCs w:val="21"/>
        </w:rPr>
        <w:t>客户要求的</w:t>
      </w:r>
      <w:r>
        <w:rPr>
          <w:rFonts w:hint="eastAsia" w:ascii="宋体" w:hAnsi="宋体" w:cs="宋体"/>
          <w:sz w:val="21"/>
          <w:szCs w:val="21"/>
          <w:lang w:eastAsia="zh-CN"/>
        </w:rPr>
        <w:t>交货周期较短的特点</w:t>
      </w:r>
      <w:r>
        <w:rPr>
          <w:rFonts w:hint="eastAsia" w:ascii="宋体" w:hAnsi="宋体" w:eastAsia="宋体" w:cs="宋体"/>
          <w:sz w:val="21"/>
          <w:szCs w:val="21"/>
        </w:rPr>
        <w:t>，为满足客户</w:t>
      </w:r>
      <w:r>
        <w:rPr>
          <w:rFonts w:hint="eastAsia" w:ascii="宋体" w:hAnsi="宋体" w:cs="宋体"/>
          <w:sz w:val="21"/>
          <w:szCs w:val="21"/>
          <w:lang w:eastAsia="zh-CN"/>
        </w:rPr>
        <w:t>不同</w:t>
      </w:r>
      <w:r>
        <w:rPr>
          <w:rFonts w:hint="eastAsia" w:ascii="宋体" w:hAnsi="宋体" w:eastAsia="宋体" w:cs="宋体"/>
          <w:sz w:val="21"/>
          <w:szCs w:val="21"/>
        </w:rPr>
        <w:t>需求，公司保持了较高的安全库存量。但是较高的安全库存量一方面</w:t>
      </w:r>
      <w:r>
        <w:rPr>
          <w:rFonts w:hint="eastAsia" w:ascii="宋体" w:hAnsi="宋体" w:cs="宋体"/>
          <w:sz w:val="21"/>
          <w:szCs w:val="21"/>
          <w:lang w:eastAsia="zh-CN"/>
        </w:rPr>
        <w:t>带来了</w:t>
      </w:r>
      <w:r>
        <w:rPr>
          <w:rFonts w:hint="eastAsia" w:ascii="宋体" w:hAnsi="宋体" w:eastAsia="宋体" w:cs="宋体"/>
          <w:sz w:val="21"/>
          <w:szCs w:val="21"/>
        </w:rPr>
        <w:t>占用公司大量资金；另一方面，</w:t>
      </w:r>
      <w:r>
        <w:rPr>
          <w:rFonts w:hint="eastAsia" w:ascii="宋体" w:hAnsi="宋体" w:cs="宋体"/>
          <w:sz w:val="21"/>
          <w:szCs w:val="21"/>
          <w:lang w:eastAsia="zh-CN"/>
        </w:rPr>
        <w:t>当</w:t>
      </w:r>
      <w:r>
        <w:rPr>
          <w:rFonts w:hint="eastAsia" w:ascii="宋体" w:hAnsi="宋体" w:eastAsia="宋体" w:cs="宋体"/>
          <w:sz w:val="21"/>
          <w:szCs w:val="21"/>
        </w:rPr>
        <w:t>市场需求</w:t>
      </w:r>
      <w:r>
        <w:rPr>
          <w:rFonts w:hint="eastAsia" w:ascii="宋体" w:hAnsi="宋体" w:cs="宋体"/>
          <w:sz w:val="21"/>
          <w:szCs w:val="21"/>
          <w:lang w:eastAsia="zh-CN"/>
        </w:rPr>
        <w:t>下降时，</w:t>
      </w:r>
      <w:r>
        <w:rPr>
          <w:rFonts w:hint="eastAsia" w:ascii="宋体" w:hAnsi="宋体" w:eastAsia="宋体" w:cs="宋体"/>
          <w:sz w:val="21"/>
          <w:szCs w:val="21"/>
        </w:rPr>
        <w:t>大量的存货</w:t>
      </w:r>
      <w:r>
        <w:rPr>
          <w:rFonts w:hint="eastAsia" w:ascii="宋体" w:hAnsi="宋体" w:cs="宋体"/>
          <w:sz w:val="21"/>
          <w:szCs w:val="21"/>
          <w:lang w:eastAsia="zh-CN"/>
        </w:rPr>
        <w:t>或将给</w:t>
      </w:r>
      <w:r>
        <w:rPr>
          <w:rFonts w:hint="eastAsia" w:ascii="宋体" w:hAnsi="宋体" w:eastAsia="宋体" w:cs="宋体"/>
          <w:sz w:val="21"/>
          <w:szCs w:val="21"/>
        </w:rPr>
        <w:t>公司经营带来风险。</w:t>
      </w:r>
    </w:p>
    <w:bookmarkEnd w:id="45"/>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对策：关注主要产品的市场发展趋势，与主要客户保持密切联系，增强对产品市场的预测能力，加强采购管理。加大产品研发力度，保持本公司产品在行业中的技术优势，优化产品结构，减少对少数主要客户的依赖程度，优化库存周转效率，同时关注主要产品的价格波动，降低存货发生损失的风险。</w:t>
      </w:r>
    </w:p>
    <w:p>
      <w:pPr>
        <w:pStyle w:val="4"/>
        <w:keepNext w:val="0"/>
        <w:keepLines w:val="0"/>
        <w:widowControl/>
        <w:suppressLineNumbers w:val="0"/>
        <w:spacing w:before="180" w:beforeAutospacing="0" w:after="120" w:afterAutospacing="0" w:line="280" w:lineRule="atLeast"/>
        <w:ind w:left="0" w:right="0"/>
        <w:jc w:val="left"/>
        <w:rPr>
          <w:rFonts w:hint="default" w:ascii="Times New Roman" w:hAnsi="Times New Roman" w:cs="Times New Roman"/>
          <w:sz w:val="21"/>
          <w:szCs w:val="21"/>
        </w:rPr>
      </w:pPr>
      <w:r>
        <w:rPr>
          <w:rStyle w:val="7"/>
          <w:rFonts w:hint="eastAsia" w:ascii="宋体" w:hAnsi="宋体" w:eastAsia="宋体" w:cs="宋体"/>
          <w:b/>
          <w:bCs/>
          <w:sz w:val="21"/>
          <w:szCs w:val="21"/>
        </w:rPr>
        <w:t>（三）人力资源风险</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核心技术人员与营销管理人员是企业、品牌生存和发展的关键力量，也是获得持续竞争优势的基础。随着公司的新项目和新产品开发、生产、销售业务的增加，公司对专业技术人员的需求量持续增加，公司未来发展将面临一定的人力资源压力。同时，随着近年来我国劳动力成本逐年上升，也导致了公司经营成本的上升。如果公司不能完善各类激励机制，不断吸纳和培养适合公司发展所需的技术和管理人员，将可能导致公司存在一定的人才流失及人力成本风险。</w:t>
      </w:r>
    </w:p>
    <w:p>
      <w:pPr>
        <w:pStyle w:val="4"/>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sz w:val="24"/>
          <w:szCs w:val="24"/>
        </w:rPr>
      </w:pPr>
      <w:r>
        <w:rPr>
          <w:rFonts w:hint="eastAsia" w:ascii="宋体" w:hAnsi="宋体" w:eastAsia="宋体" w:cs="宋体"/>
          <w:sz w:val="21"/>
          <w:szCs w:val="21"/>
        </w:rPr>
        <w:t>对策：继续完善薪酬制度，创造一个公平公正的职位晋升渠道，尽量让有能力的人能够发挥所长，获得适合的岗位和薪酬待遇，员工通过努力工作能够实现自身价值。</w:t>
      </w:r>
    </w:p>
    <w:p>
      <w:pPr>
        <w:pStyle w:val="4"/>
        <w:keepNext w:val="0"/>
        <w:keepLines w:val="0"/>
        <w:widowControl/>
        <w:suppressLineNumbers w:val="0"/>
        <w:spacing w:before="180" w:beforeAutospacing="0" w:after="120" w:afterAutospacing="0" w:line="280" w:lineRule="atLeast"/>
        <w:ind w:left="0" w:right="0"/>
        <w:jc w:val="left"/>
        <w:rPr>
          <w:rFonts w:hint="default" w:ascii="Times New Roman" w:hAnsi="Times New Roman" w:cs="Times New Roman"/>
          <w:sz w:val="21"/>
          <w:szCs w:val="21"/>
        </w:rPr>
      </w:pPr>
      <w:r>
        <w:rPr>
          <w:rStyle w:val="7"/>
          <w:rFonts w:hint="eastAsia" w:ascii="宋体" w:hAnsi="宋体" w:eastAsia="宋体" w:cs="宋体"/>
          <w:b/>
          <w:bCs/>
          <w:sz w:val="21"/>
          <w:szCs w:val="21"/>
        </w:rPr>
        <w:t>（四）市场开拓风险</w:t>
      </w:r>
    </w:p>
    <w:p>
      <w:pPr>
        <w:pStyle w:val="4"/>
        <w:keepNext w:val="0"/>
        <w:keepLines w:val="0"/>
        <w:widowControl/>
        <w:suppressLineNumbers w:val="0"/>
        <w:spacing w:before="100" w:beforeAutospacing="0" w:after="10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公司及下属子公司的新建及在建项目投产后公司产能将会大幅提升，需要公司加大市场拓展力度，以消化新增产能。如果行业内竞争加剧，或公司市场拓展不达预期，将会造成公司产销率、产能利用率下降，因而会对公司经营业绩提升产生不利影响。</w:t>
      </w:r>
    </w:p>
    <w:p>
      <w:pPr>
        <w:pStyle w:val="4"/>
        <w:keepNext w:val="0"/>
        <w:keepLines w:val="0"/>
        <w:widowControl/>
        <w:suppressLineNumbers w:val="0"/>
        <w:spacing w:before="100" w:beforeAutospacing="0" w:after="10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对策：公司将持续加强销售团队建设，加强营销模式与服务模式创新，提高销售人员业务能力；在稳固原有市场基础上，进一步开拓市场份额，提升综合竞争力。</w:t>
      </w:r>
    </w:p>
    <w:p>
      <w:pPr>
        <w:keepNext/>
        <w:keepLines/>
        <w:spacing w:before="300" w:after="300" w:line="320" w:lineRule="exact"/>
        <w:jc w:val="left"/>
        <w:outlineLvl w:val="1"/>
        <w:rPr>
          <w:rFonts w:ascii="宋体" w:hAnsi="宋体" w:eastAsia="宋体" w:cs="宋体"/>
          <w:b/>
          <w:bCs/>
          <w:sz w:val="24"/>
          <w:szCs w:val="24"/>
        </w:rPr>
      </w:pPr>
      <w:bookmarkStart w:id="46" w:name="_Toc988929"/>
      <w:r>
        <w:rPr>
          <w:rFonts w:ascii="宋体" w:hAnsi="宋体" w:eastAsia="宋体" w:cs="宋体"/>
          <w:b/>
          <w:bCs/>
          <w:sz w:val="24"/>
          <w:szCs w:val="24"/>
        </w:rPr>
        <w:t>十一、市值管理制度和估值提升计划的制定落实情况</w:t>
      </w:r>
      <w:bookmarkEnd w:id="46"/>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公司是否制定了市值管理制度。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公司是否披露了估值提升计划。</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rPr>
      </w:pPr>
      <w:bookmarkStart w:id="47" w:name="_Toc988930"/>
      <w:r>
        <w:rPr>
          <w:rFonts w:ascii="宋体" w:hAnsi="宋体" w:eastAsia="宋体" w:cs="宋体"/>
          <w:b/>
          <w:bCs/>
          <w:sz w:val="24"/>
          <w:szCs w:val="24"/>
        </w:rPr>
        <w:t>十二、“质量回报双提升”行动方案贯彻落实情况</w:t>
      </w:r>
      <w:bookmarkEnd w:id="4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公司是否披露了“质量回报双提升”行动方案公告。</w:t>
      </w:r>
    </w:p>
    <w:p>
      <w:pPr>
        <w:spacing w:before="100" w:after="100" w:line="240" w:lineRule="exact"/>
        <w:jc w:val="left"/>
        <w:rPr>
          <w:rFonts w:ascii="宋体" w:hAnsi="宋体" w:eastAsia="宋体" w:cs="宋体"/>
          <w:sz w:val="18"/>
          <w:szCs w:val="18"/>
        </w:rPr>
        <w:sectPr>
          <w:headerReference r:id="rId3" w:type="default"/>
          <w:footerReference r:id="rId4" w:type="default"/>
          <w:pgSz w:w="11905" w:h="16840"/>
          <w:pgMar w:top="1440" w:right="1134" w:bottom="1440" w:left="1134" w:header="850" w:footer="992" w:gutter="0"/>
          <w:cols w:space="720" w:num="1"/>
          <w:docGrid w:type="linesAndChars" w:linePitch="312" w:charSpace="0"/>
        </w:sect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40" w:after="330" w:line="773" w:lineRule="exact"/>
        <w:jc w:val="center"/>
        <w:outlineLvl w:val="0"/>
        <w:rPr>
          <w:rFonts w:ascii="宋体" w:hAnsi="宋体" w:eastAsia="宋体" w:cs="宋体"/>
          <w:b/>
          <w:bCs/>
          <w:sz w:val="32"/>
          <w:szCs w:val="32"/>
        </w:rPr>
      </w:pPr>
      <w:bookmarkStart w:id="48" w:name="_Toc988931"/>
      <w:r>
        <w:rPr>
          <w:rFonts w:ascii="宋体" w:hAnsi="宋体" w:eastAsia="宋体" w:cs="宋体"/>
          <w:b/>
          <w:bCs/>
          <w:sz w:val="32"/>
          <w:szCs w:val="32"/>
        </w:rPr>
        <w:t>第四节 公司治理、环境和社会</w:t>
      </w:r>
      <w:bookmarkEnd w:id="48"/>
    </w:p>
    <w:p>
      <w:pPr>
        <w:keepNext/>
        <w:keepLines/>
        <w:spacing w:before="300" w:after="300" w:line="320" w:lineRule="exact"/>
        <w:jc w:val="left"/>
        <w:outlineLvl w:val="1"/>
        <w:rPr>
          <w:rFonts w:ascii="宋体" w:hAnsi="宋体" w:eastAsia="宋体" w:cs="宋体"/>
          <w:b/>
          <w:bCs/>
          <w:sz w:val="24"/>
          <w:szCs w:val="24"/>
        </w:rPr>
      </w:pPr>
      <w:bookmarkStart w:id="49" w:name="_Toc988932"/>
      <w:r>
        <w:rPr>
          <w:rFonts w:ascii="宋体" w:hAnsi="宋体" w:eastAsia="宋体" w:cs="宋体"/>
          <w:b/>
          <w:bCs/>
          <w:sz w:val="24"/>
          <w:szCs w:val="24"/>
        </w:rPr>
        <w:t>一、公司董事、监事、高级管理人员变动情况</w:t>
      </w:r>
      <w:bookmarkEnd w:id="4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公司董事、监事和高级管理人员在报告期没有发生变动，具体可参见2024年年报。</w:t>
      </w:r>
    </w:p>
    <w:p>
      <w:pPr>
        <w:keepNext/>
        <w:keepLines/>
        <w:spacing w:before="300" w:after="300" w:line="320" w:lineRule="exact"/>
        <w:jc w:val="left"/>
        <w:outlineLvl w:val="1"/>
        <w:rPr>
          <w:rFonts w:ascii="宋体" w:hAnsi="宋体" w:eastAsia="宋体" w:cs="宋体"/>
          <w:b/>
          <w:bCs/>
          <w:sz w:val="24"/>
          <w:szCs w:val="24"/>
        </w:rPr>
      </w:pPr>
      <w:bookmarkStart w:id="50" w:name="_Toc988933"/>
      <w:r>
        <w:rPr>
          <w:rFonts w:ascii="宋体" w:hAnsi="宋体" w:eastAsia="宋体" w:cs="宋体"/>
          <w:b/>
          <w:bCs/>
          <w:sz w:val="24"/>
          <w:szCs w:val="24"/>
        </w:rPr>
        <w:t>二、本报告期利润分配及资本公积金转增股本情况</w:t>
      </w:r>
      <w:bookmarkEnd w:id="50"/>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公司计划半年度不派发现金红利，不送红股，不以公积金转增股本。</w:t>
      </w:r>
    </w:p>
    <w:p>
      <w:pPr>
        <w:keepNext/>
        <w:keepLines/>
        <w:spacing w:before="300" w:after="300" w:line="320" w:lineRule="exact"/>
        <w:jc w:val="left"/>
        <w:outlineLvl w:val="1"/>
        <w:rPr>
          <w:rFonts w:ascii="宋体" w:hAnsi="宋体" w:eastAsia="宋体" w:cs="宋体"/>
          <w:b/>
          <w:bCs/>
          <w:sz w:val="24"/>
          <w:szCs w:val="24"/>
        </w:rPr>
      </w:pPr>
      <w:bookmarkStart w:id="51" w:name="_Toc988934"/>
      <w:r>
        <w:rPr>
          <w:rFonts w:ascii="宋体" w:hAnsi="宋体" w:eastAsia="宋体" w:cs="宋体"/>
          <w:b/>
          <w:bCs/>
          <w:sz w:val="24"/>
          <w:szCs w:val="24"/>
        </w:rPr>
        <w:t>三、公司股权激励计划、员工持股计划或其他员工激励措施的实施情况</w:t>
      </w:r>
      <w:bookmarkEnd w:id="51"/>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pPr>
        <w:keepNext/>
        <w:keepLines/>
        <w:spacing w:before="300" w:after="300" w:line="320" w:lineRule="exact"/>
        <w:jc w:val="left"/>
        <w:outlineLvl w:val="1"/>
        <w:rPr>
          <w:rFonts w:ascii="宋体" w:hAnsi="宋体" w:eastAsia="宋体" w:cs="宋体"/>
          <w:b/>
          <w:bCs/>
          <w:sz w:val="24"/>
          <w:szCs w:val="24"/>
        </w:rPr>
      </w:pPr>
      <w:bookmarkStart w:id="52" w:name="_Toc988935"/>
      <w:r>
        <w:rPr>
          <w:rFonts w:ascii="宋体" w:hAnsi="宋体" w:eastAsia="宋体" w:cs="宋体"/>
          <w:b/>
          <w:bCs/>
          <w:sz w:val="24"/>
          <w:szCs w:val="24"/>
        </w:rPr>
        <w:t>四、环境信息披露情况</w:t>
      </w:r>
      <w:bookmarkEnd w:id="52"/>
    </w:p>
    <w:p>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上市公司及其主要子公司是否纳入环境信息依法披露企业名单</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320" w:lineRule="exact"/>
        <w:jc w:val="left"/>
        <w:outlineLvl w:val="1"/>
        <w:rPr>
          <w:rFonts w:ascii="宋体" w:hAnsi="宋体" w:eastAsia="宋体" w:cs="宋体"/>
          <w:b/>
          <w:bCs/>
          <w:sz w:val="24"/>
          <w:szCs w:val="24"/>
          <w:highlight w:val="none"/>
        </w:rPr>
      </w:pPr>
      <w:bookmarkStart w:id="53" w:name="_Toc988936"/>
      <w:r>
        <w:rPr>
          <w:rFonts w:ascii="宋体" w:hAnsi="宋体" w:eastAsia="宋体" w:cs="宋体"/>
          <w:b/>
          <w:bCs/>
          <w:sz w:val="24"/>
          <w:szCs w:val="24"/>
          <w:highlight w:val="none"/>
        </w:rPr>
        <w:t>五、社会责任情况</w:t>
      </w:r>
      <w:bookmarkEnd w:id="53"/>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eastAsia" w:ascii="宋体" w:hAnsi="宋体" w:eastAsia="宋体" w:cs="宋体"/>
          <w:b/>
          <w:bCs/>
          <w:sz w:val="21"/>
          <w:szCs w:val="21"/>
        </w:rPr>
      </w:pPr>
      <w:bookmarkStart w:id="54" w:name="OLE_LINK25"/>
      <w:r>
        <w:rPr>
          <w:rFonts w:hint="eastAsia" w:ascii="宋体" w:hAnsi="宋体" w:eastAsia="宋体" w:cs="宋体"/>
          <w:b/>
          <w:bCs/>
          <w:sz w:val="21"/>
          <w:szCs w:val="21"/>
        </w:rPr>
        <w:t>（一）投资者权益保护</w:t>
      </w:r>
    </w:p>
    <w:p>
      <w:pPr>
        <w:pStyle w:val="4"/>
        <w:keepNext w:val="0"/>
        <w:keepLines w:val="0"/>
        <w:widowControl/>
        <w:suppressLineNumbers w:val="0"/>
        <w:spacing w:before="40" w:beforeAutospacing="0" w:after="40" w:afterAutospacing="0" w:line="360" w:lineRule="atLeast"/>
        <w:ind w:left="0" w:right="0" w:firstLine="420"/>
        <w:jc w:val="both"/>
        <w:rPr>
          <w:rFonts w:hint="default" w:ascii="Calibri" w:hAnsi="Calibri" w:cs="Calibri"/>
          <w:sz w:val="24"/>
          <w:szCs w:val="24"/>
        </w:rPr>
      </w:pPr>
      <w:r>
        <w:rPr>
          <w:rFonts w:hint="eastAsia" w:ascii="宋体" w:hAnsi="宋体" w:eastAsia="宋体" w:cs="宋体"/>
          <w:sz w:val="21"/>
          <w:szCs w:val="21"/>
        </w:rPr>
        <w:t>公司严格按照《公司法》、《证券法》、《深圳证券交易所股票上市规则》、《深圳证券交易所上市公司自律监管指引第1号</w:t>
      </w:r>
      <w:r>
        <w:rPr>
          <w:rFonts w:hint="default" w:ascii="Times New Roman" w:hAnsi="Times New Roman" w:eastAsia="宋体" w:cs="Times New Roman"/>
          <w:sz w:val="21"/>
          <w:szCs w:val="21"/>
        </w:rPr>
        <w:t>——</w:t>
      </w:r>
      <w:r>
        <w:rPr>
          <w:rFonts w:hint="eastAsia" w:ascii="宋体" w:hAnsi="宋体" w:eastAsia="宋体" w:cs="宋体"/>
          <w:sz w:val="21"/>
          <w:szCs w:val="21"/>
        </w:rPr>
        <w:t>主板上市公司规范运作》等法律法规，不断完善公司治理，规范三会运作，健全内部管理和控制体系，确保信息披露及时、准确、完整、公平；并通过电话、投资者互动平台、业绩交流会、投资者现场接待、股东大会网络投票等方式，确保公司股东合法权益。作为资本市场的参与者，公司尊重资本市场运行规律，重视投资者关系管理，有效保障投资者的合法权益。</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（二）职工权益保护</w:t>
      </w:r>
    </w:p>
    <w:p>
      <w:pPr>
        <w:pStyle w:val="4"/>
        <w:keepNext w:val="0"/>
        <w:keepLines w:val="0"/>
        <w:widowControl/>
        <w:suppressLineNumbers w:val="0"/>
        <w:spacing w:before="40" w:beforeAutospacing="0" w:after="40" w:afterAutospacing="0" w:line="360" w:lineRule="atLeast"/>
        <w:ind w:left="0" w:right="0" w:firstLine="420"/>
        <w:jc w:val="both"/>
        <w:rPr>
          <w:rFonts w:hint="default" w:ascii="Calibri" w:hAnsi="Calibri" w:cs="Calibri"/>
          <w:sz w:val="24"/>
          <w:szCs w:val="24"/>
        </w:rPr>
      </w:pPr>
      <w:r>
        <w:rPr>
          <w:rFonts w:hint="eastAsia" w:ascii="宋体" w:hAnsi="宋体" w:eastAsia="宋体" w:cs="宋体"/>
          <w:sz w:val="21"/>
          <w:szCs w:val="21"/>
        </w:rPr>
        <w:t>公司坚持以人为本、注重人才培养，不断改善员工的工作环境，使其更加安全、舒适；重视员工培训、学习与素质提升，为员工提供宽广的成长平台；关注员工业余生活和身心健康，每年安排员工体检，组织员工开展户外拓展，丰富了员工生活，增强了公司凝聚力，凸显企业的良好形象。</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（三）供应商、客户权益保护</w:t>
      </w:r>
    </w:p>
    <w:p>
      <w:pPr>
        <w:pStyle w:val="4"/>
        <w:keepNext w:val="0"/>
        <w:keepLines w:val="0"/>
        <w:widowControl/>
        <w:suppressLineNumbers w:val="0"/>
        <w:spacing w:before="40" w:beforeAutospacing="0" w:after="40" w:afterAutospacing="0" w:line="360" w:lineRule="atLeast"/>
        <w:ind w:left="0" w:right="0" w:firstLine="420"/>
        <w:jc w:val="both"/>
        <w:rPr>
          <w:rFonts w:hint="default" w:ascii="Calibri" w:hAnsi="Calibri" w:cs="Calibri"/>
          <w:sz w:val="24"/>
          <w:szCs w:val="24"/>
        </w:rPr>
      </w:pPr>
      <w:r>
        <w:rPr>
          <w:rFonts w:hint="default" w:ascii="Times New Roman" w:hAnsi="Times New Roman" w:eastAsia="宋体" w:cs="Times New Roman"/>
          <w:sz w:val="21"/>
          <w:szCs w:val="21"/>
        </w:rPr>
        <w:t> </w:t>
      </w:r>
      <w:r>
        <w:rPr>
          <w:rFonts w:hint="eastAsia" w:ascii="宋体" w:hAnsi="宋体" w:eastAsia="宋体" w:cs="宋体"/>
          <w:sz w:val="21"/>
          <w:szCs w:val="21"/>
        </w:rPr>
        <w:t>公司坚持与供应商、客户互利共赢的经营理念，诚实守信、规范运营。重视供应商管理，加强监督考核，为供应商提供质量控制帮助，协助其提升完善；与客户建立长期稳定的战略合作伙伴关系，将客户满意度作为衡量工作的准绳，不断提升产品品质，提高服务质量。</w:t>
      </w:r>
    </w:p>
    <w:p>
      <w:pPr>
        <w:pStyle w:val="4"/>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tLeast"/>
        <w:jc w:val="both"/>
        <w:textAlignment w:val="auto"/>
        <w:outlineLvl w:val="2"/>
        <w:rPr>
          <w:rFonts w:hint="default" w:ascii="宋体" w:hAnsi="宋体" w:eastAsia="宋体" w:cs="宋体"/>
          <w:b/>
          <w:bCs/>
          <w:sz w:val="21"/>
          <w:szCs w:val="21"/>
        </w:rPr>
      </w:pPr>
      <w:r>
        <w:rPr>
          <w:rFonts w:hint="eastAsia" w:ascii="宋体" w:hAnsi="宋体" w:eastAsia="宋体" w:cs="宋体"/>
          <w:b/>
          <w:bCs/>
          <w:sz w:val="21"/>
          <w:szCs w:val="21"/>
        </w:rPr>
        <w:t>（四）安全生产、环境保护与可持续发展</w:t>
      </w:r>
    </w:p>
    <w:p>
      <w:pPr>
        <w:pStyle w:val="4"/>
        <w:keepNext w:val="0"/>
        <w:keepLines w:val="0"/>
        <w:widowControl/>
        <w:suppressLineNumbers w:val="0"/>
        <w:spacing w:before="40" w:beforeAutospacing="0" w:after="40" w:afterAutospacing="0" w:line="360" w:lineRule="atLeast"/>
        <w:ind w:left="0" w:right="0" w:firstLine="420"/>
        <w:jc w:val="both"/>
        <w:rPr>
          <w:rFonts w:hint="default" w:ascii="Calibri" w:hAnsi="Calibri" w:cs="Calibri"/>
          <w:sz w:val="24"/>
          <w:szCs w:val="24"/>
        </w:rPr>
      </w:pPr>
      <w:r>
        <w:rPr>
          <w:rFonts w:hint="eastAsia" w:ascii="宋体" w:hAnsi="宋体" w:eastAsia="宋体" w:cs="宋体"/>
          <w:sz w:val="21"/>
          <w:szCs w:val="21"/>
        </w:rPr>
        <w:t>公司坚持贯彻落实相关管理标准，持续运行安全生产标准化体系，加大安全环保设施的投入，并每月定期进行了安全生产检查，检查中发现隐患及时上报、及时按安全检查</w:t>
      </w:r>
      <w:r>
        <w:rPr>
          <w:rFonts w:hint="default" w:ascii="Times New Roman" w:hAnsi="Times New Roman" w:eastAsia="宋体" w:cs="Times New Roman"/>
          <w:sz w:val="21"/>
          <w:szCs w:val="21"/>
        </w:rPr>
        <w:t>“</w:t>
      </w:r>
      <w:r>
        <w:rPr>
          <w:rFonts w:hint="eastAsia" w:ascii="宋体" w:hAnsi="宋体" w:eastAsia="宋体" w:cs="宋体"/>
          <w:sz w:val="21"/>
          <w:szCs w:val="21"/>
        </w:rPr>
        <w:t>四不放过</w:t>
      </w:r>
      <w:r>
        <w:rPr>
          <w:rFonts w:hint="default" w:ascii="Times New Roman" w:hAnsi="Times New Roman" w:eastAsia="宋体" w:cs="Times New Roman"/>
          <w:sz w:val="21"/>
          <w:szCs w:val="21"/>
        </w:rPr>
        <w:t>”</w:t>
      </w:r>
      <w:r>
        <w:rPr>
          <w:rFonts w:hint="eastAsia" w:ascii="宋体" w:hAnsi="宋体" w:eastAsia="宋体" w:cs="宋体"/>
          <w:sz w:val="21"/>
          <w:szCs w:val="21"/>
        </w:rPr>
        <w:t>原则督促各单位整改，确保了生产的正常进行，公司全年没有发生一起重大安全事故。</w:t>
      </w:r>
    </w:p>
    <w:bookmarkEnd w:id="54"/>
    <w:p>
      <w:pPr>
        <w:rPr>
          <w:highlight w:val="yellow"/>
        </w:rPr>
      </w:pPr>
      <w:r>
        <w:rPr>
          <w:highlight w:val="yellow"/>
        </w:rPr>
        <w:br w:type="page"/>
      </w:r>
    </w:p>
    <w:p>
      <w:pPr>
        <w:keepNext/>
        <w:keepLines/>
        <w:spacing w:before="340" w:after="330" w:line="773" w:lineRule="exact"/>
        <w:jc w:val="center"/>
        <w:outlineLvl w:val="0"/>
        <w:rPr>
          <w:rFonts w:ascii="宋体" w:hAnsi="宋体" w:eastAsia="宋体" w:cs="宋体"/>
          <w:b/>
          <w:bCs/>
          <w:sz w:val="32"/>
          <w:szCs w:val="32"/>
        </w:rPr>
      </w:pPr>
      <w:bookmarkStart w:id="55" w:name="_Toc988937"/>
      <w:r>
        <w:rPr>
          <w:rFonts w:ascii="宋体" w:hAnsi="宋体" w:eastAsia="宋体" w:cs="宋体"/>
          <w:b/>
          <w:bCs/>
          <w:sz w:val="32"/>
          <w:szCs w:val="32"/>
        </w:rPr>
        <w:t>第五节 重要事项</w:t>
      </w:r>
      <w:bookmarkEnd w:id="55"/>
    </w:p>
    <w:p>
      <w:pPr>
        <w:keepNext/>
        <w:keepLines/>
        <w:spacing w:before="300" w:after="300" w:line="320" w:lineRule="exact"/>
        <w:jc w:val="left"/>
        <w:outlineLvl w:val="1"/>
        <w:rPr>
          <w:rFonts w:ascii="宋体" w:hAnsi="宋体" w:eastAsia="宋体" w:cs="宋体"/>
          <w:b/>
          <w:bCs/>
          <w:sz w:val="24"/>
          <w:szCs w:val="24"/>
        </w:rPr>
      </w:pPr>
      <w:bookmarkStart w:id="56" w:name="_Toc988938"/>
      <w:r>
        <w:rPr>
          <w:rFonts w:ascii="宋体" w:hAnsi="宋体" w:eastAsia="宋体" w:cs="宋体"/>
          <w:b/>
          <w:bCs/>
          <w:sz w:val="24"/>
          <w:szCs w:val="24"/>
        </w:rPr>
        <w:t>一、公司实际控制人、股东、关联方、收购人以及公司等承诺相关方在报告期内履行完毕及截至报告期末超期未履行完毕的承诺事项</w:t>
      </w:r>
      <w:bookmarkEnd w:id="56"/>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168"/>
        <w:gridCol w:w="1246"/>
        <w:gridCol w:w="2909"/>
        <w:gridCol w:w="981"/>
        <w:gridCol w:w="937"/>
        <w:gridCol w:w="10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承诺事由</w:t>
            </w:r>
          </w:p>
        </w:tc>
        <w:tc>
          <w:tcPr>
            <w:tcW w:w="116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承诺方</w:t>
            </w:r>
          </w:p>
        </w:tc>
        <w:tc>
          <w:tcPr>
            <w:tcW w:w="12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承诺类型</w:t>
            </w:r>
          </w:p>
        </w:tc>
        <w:tc>
          <w:tcPr>
            <w:tcW w:w="29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承诺内容</w:t>
            </w:r>
          </w:p>
        </w:tc>
        <w:tc>
          <w:tcPr>
            <w:tcW w:w="9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承诺时间</w:t>
            </w:r>
          </w:p>
        </w:tc>
        <w:tc>
          <w:tcPr>
            <w:tcW w:w="9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承诺期限</w:t>
            </w:r>
          </w:p>
        </w:tc>
        <w:tc>
          <w:tcPr>
            <w:tcW w:w="10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控股股东粉冶中心</w:t>
            </w:r>
          </w:p>
        </w:tc>
        <w:tc>
          <w:tcPr>
            <w:tcW w:w="12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关于避免同业竞争的承诺</w:t>
            </w:r>
          </w:p>
        </w:tc>
        <w:tc>
          <w:tcPr>
            <w:tcW w:w="2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46" w:rightChars="-22"/>
              <w:jc w:val="left"/>
              <w:rPr>
                <w:rFonts w:ascii="宋体" w:hAnsi="宋体" w:eastAsia="宋体" w:cs="宋体"/>
                <w:sz w:val="18"/>
                <w:szCs w:val="18"/>
              </w:rPr>
            </w:pPr>
            <w:r>
              <w:rPr>
                <w:rFonts w:ascii="宋体" w:hAnsi="宋体" w:eastAsia="宋体" w:cs="宋体"/>
                <w:sz w:val="18"/>
                <w:szCs w:val="18"/>
              </w:rPr>
              <w:t>作出避免同业竞争承诺，除在公司投资外，将不在任何区域投资或从事与公司相同或相近的业务。</w:t>
            </w:r>
          </w:p>
        </w:tc>
        <w:tc>
          <w:tcPr>
            <w:tcW w:w="9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2008年01月18日</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长期有效</w:t>
            </w:r>
          </w:p>
        </w:tc>
        <w:tc>
          <w:tcPr>
            <w:tcW w:w="10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控股股东粉冶中心</w:t>
            </w:r>
          </w:p>
        </w:tc>
        <w:tc>
          <w:tcPr>
            <w:tcW w:w="12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关于代为培育事项的承诺</w:t>
            </w:r>
          </w:p>
        </w:tc>
        <w:tc>
          <w:tcPr>
            <w:tcW w:w="2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46" w:rightChars="-22"/>
              <w:jc w:val="both"/>
              <w:rPr>
                <w:rFonts w:ascii="宋体" w:hAnsi="宋体" w:eastAsia="宋体" w:cs="宋体"/>
                <w:sz w:val="18"/>
                <w:szCs w:val="18"/>
              </w:rPr>
            </w:pPr>
            <w:r>
              <w:rPr>
                <w:rFonts w:ascii="宋体" w:hAnsi="宋体" w:eastAsia="宋体" w:cs="宋体"/>
                <w:sz w:val="18"/>
                <w:szCs w:val="18"/>
              </w:rPr>
              <w:t>1、根据粉冶中心、兴湘资本与博云新材于2024年6月签署的《代为培育协议》，粉冶中心、兴湘资本将代为培育“飞机机轮刹车系统部分核心部件关键技术研究与产品开发项目”，实施主体为炜铂科技，粉冶中心将严格履行《代为培育协议》的相关约定。2、【2029】年【12】月【31】日前，若炜铂科技满足注入博云新材的条件，粉冶中心将持有的炜铂科技股权注入博云新材；若不满足注入博云新材的条件，粉冶中心将在培育期限到期后终止相关培育工作并尽快对炜铂科技进行清算注销。3、上述工作未完成前，若炜铂科技生产与博云新材存在潜在竞争的产品均由博云新材统一对外进行销售。完成上述工作后，粉冶中心及下属子公司将不再从事与博云新材相同或者相似的业务。</w:t>
            </w:r>
          </w:p>
        </w:tc>
        <w:tc>
          <w:tcPr>
            <w:tcW w:w="9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2024年06月11日</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17" w:rightChars="-56"/>
              <w:jc w:val="left"/>
              <w:rPr>
                <w:rFonts w:ascii="宋体" w:hAnsi="宋体" w:eastAsia="宋体" w:cs="宋体"/>
                <w:sz w:val="18"/>
                <w:szCs w:val="18"/>
              </w:rPr>
            </w:pPr>
            <w:r>
              <w:rPr>
                <w:rFonts w:ascii="宋体" w:hAnsi="宋体" w:eastAsia="宋体" w:cs="宋体"/>
                <w:sz w:val="18"/>
                <w:szCs w:val="18"/>
              </w:rPr>
              <w:t>2024年06月11日至2029年12月31日</w:t>
            </w:r>
          </w:p>
        </w:tc>
        <w:tc>
          <w:tcPr>
            <w:tcW w:w="10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其他对公司中小股东所作承诺</w:t>
            </w:r>
          </w:p>
        </w:tc>
        <w:tc>
          <w:tcPr>
            <w:tcW w:w="116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间接控股股东湖南兴湘投资控股集团有限公司</w:t>
            </w:r>
          </w:p>
        </w:tc>
        <w:tc>
          <w:tcPr>
            <w:tcW w:w="12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关于避免同业竞争的承诺</w:t>
            </w:r>
          </w:p>
        </w:tc>
        <w:tc>
          <w:tcPr>
            <w:tcW w:w="2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46" w:rightChars="-22"/>
              <w:jc w:val="both"/>
              <w:rPr>
                <w:rFonts w:ascii="宋体" w:hAnsi="宋体" w:eastAsia="宋体" w:cs="宋体"/>
                <w:sz w:val="18"/>
                <w:szCs w:val="18"/>
              </w:rPr>
            </w:pPr>
            <w:r>
              <w:rPr>
                <w:rFonts w:ascii="宋体" w:hAnsi="宋体" w:eastAsia="宋体" w:cs="宋体"/>
                <w:sz w:val="18"/>
                <w:szCs w:val="18"/>
              </w:rPr>
              <w:t>1、本次交易完成后，本公司控制的主体不会直接或间接经营任何与博云新材及其下属企业经营的业务构成竞争或可能构成竞争的业务，亦不会投资任何与博云新材及其下属企业经营的业务构成竞争或可能构成竞争的其他企业。2、本次交易完成后，本公司将对自身及相关企业的生产经营活动进行监督和约束，如果将来本公司及相关企业的产品或业务与博云新材及其子公司的产品或业务出现相同或类似的情况，本公司承诺将继续采取以下措施解决：（1）博云新材认为必要时，本公司及相关企业将进行出售直至全部转让本公司及相关企业持有的有关资产和业务；（2）博云新材在认为必要时，可以通过适当方式优先收购本公司及相关企业持有的有关资产和业务；（3）如本公司及相关企业与博云新材及其子公司因同业竞争产生利益冲突，则优先考虑博云新材及其子公司的利益；（4）有利于避免同业竞争的其他措施。3、本承诺函满足下述条件之日起生效：（1）本函经本公司签署；（2）本公司成为博云新材直接或间接控股股东或第一大股东。4、本承诺函自生效之日起至发生以下情形时终止（以较早为准）：（1）本公司不再是博云新材的直接或间接控股股东或第一大股东；（2）博云新材终止上市。5、本公司将忠实履行上述承诺，并承担相应的法律责任。</w:t>
            </w:r>
          </w:p>
        </w:tc>
        <w:tc>
          <w:tcPr>
            <w:tcW w:w="9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2019年01月02日</w:t>
            </w:r>
          </w:p>
        </w:tc>
        <w:tc>
          <w:tcPr>
            <w:tcW w:w="9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2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正切实履行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是</w:t>
            </w:r>
          </w:p>
        </w:tc>
      </w:tr>
    </w:tbl>
    <w:p>
      <w:pPr>
        <w:keepNext/>
        <w:keepLines/>
        <w:spacing w:before="300" w:after="300" w:line="320" w:lineRule="exact"/>
        <w:jc w:val="left"/>
        <w:outlineLvl w:val="1"/>
        <w:rPr>
          <w:rFonts w:ascii="宋体" w:hAnsi="宋体" w:eastAsia="宋体" w:cs="宋体"/>
          <w:b/>
          <w:bCs/>
          <w:sz w:val="24"/>
          <w:szCs w:val="24"/>
        </w:rPr>
      </w:pPr>
      <w:bookmarkStart w:id="57" w:name="_Toc988939"/>
      <w:r>
        <w:rPr>
          <w:rFonts w:ascii="宋体" w:hAnsi="宋体" w:eastAsia="宋体" w:cs="宋体"/>
          <w:b/>
          <w:bCs/>
          <w:sz w:val="24"/>
          <w:szCs w:val="24"/>
        </w:rPr>
        <w:t>二、控股股东及其他关联方对上市公司的非经营性占用资金情况</w:t>
      </w:r>
      <w:bookmarkEnd w:id="5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58" w:name="_Toc988940"/>
      <w:r>
        <w:rPr>
          <w:rFonts w:ascii="宋体" w:hAnsi="宋体" w:eastAsia="宋体" w:cs="宋体"/>
          <w:b/>
          <w:bCs/>
          <w:sz w:val="24"/>
          <w:szCs w:val="24"/>
        </w:rPr>
        <w:t>三、违规对外担保情况</w:t>
      </w:r>
      <w:bookmarkEnd w:id="5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59" w:name="_Toc988941"/>
      <w:r>
        <w:rPr>
          <w:rFonts w:ascii="宋体" w:hAnsi="宋体" w:eastAsia="宋体" w:cs="宋体"/>
          <w:b/>
          <w:bCs/>
          <w:sz w:val="24"/>
          <w:szCs w:val="24"/>
        </w:rPr>
        <w:t>四、聘任、解聘会计师事务所情况</w:t>
      </w:r>
      <w:bookmarkEnd w:id="59"/>
    </w:p>
    <w:p>
      <w:pPr>
        <w:spacing w:before="100" w:after="100" w:line="240" w:lineRule="exact"/>
        <w:jc w:val="left"/>
        <w:rPr>
          <w:rFonts w:ascii="宋体" w:hAnsi="宋体" w:eastAsia="宋体" w:cs="宋体"/>
          <w:sz w:val="18"/>
          <w:szCs w:val="18"/>
        </w:rPr>
      </w:pPr>
      <w:r>
        <w:rPr>
          <w:rFonts w:ascii="宋体" w:hAnsi="宋体" w:eastAsia="宋体" w:cs="宋体"/>
          <w:sz w:val="18"/>
          <w:szCs w:val="18"/>
        </w:rPr>
        <w:t>半年度财务报告是否已经审计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公司半年度报告未经审计。</w:t>
      </w:r>
    </w:p>
    <w:p>
      <w:pPr>
        <w:keepNext/>
        <w:keepLines/>
        <w:spacing w:before="300" w:after="300" w:line="320" w:lineRule="exact"/>
        <w:jc w:val="left"/>
        <w:outlineLvl w:val="1"/>
        <w:rPr>
          <w:rFonts w:ascii="宋体" w:hAnsi="宋体" w:eastAsia="宋体" w:cs="宋体"/>
          <w:b/>
          <w:bCs/>
          <w:sz w:val="24"/>
          <w:szCs w:val="24"/>
        </w:rPr>
      </w:pPr>
      <w:bookmarkStart w:id="60" w:name="_Toc988942"/>
      <w:r>
        <w:rPr>
          <w:rFonts w:ascii="宋体" w:hAnsi="宋体" w:eastAsia="宋体" w:cs="宋体"/>
          <w:b/>
          <w:bCs/>
          <w:sz w:val="24"/>
          <w:szCs w:val="24"/>
        </w:rPr>
        <w:t>五、董事会、监事会对会计师事务所本报告期“非标准审计报告”的说明</w:t>
      </w:r>
      <w:bookmarkEnd w:id="6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1" w:name="_Toc988943"/>
      <w:r>
        <w:rPr>
          <w:rFonts w:ascii="宋体" w:hAnsi="宋体" w:eastAsia="宋体" w:cs="宋体"/>
          <w:b/>
          <w:bCs/>
          <w:sz w:val="24"/>
          <w:szCs w:val="24"/>
        </w:rPr>
        <w:t>六、董事会对上年度“非标准审计报告”相关情况的说明</w:t>
      </w:r>
      <w:bookmarkEnd w:id="6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2" w:name="_Toc988944"/>
      <w:r>
        <w:rPr>
          <w:rFonts w:ascii="宋体" w:hAnsi="宋体" w:eastAsia="宋体" w:cs="宋体"/>
          <w:b/>
          <w:bCs/>
          <w:sz w:val="24"/>
          <w:szCs w:val="24"/>
        </w:rPr>
        <w:t>七、破产重整相关事项</w:t>
      </w:r>
      <w:bookmarkEnd w:id="6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63" w:name="_Toc988945"/>
      <w:r>
        <w:rPr>
          <w:rFonts w:ascii="宋体" w:hAnsi="宋体" w:eastAsia="宋体" w:cs="宋体"/>
          <w:b/>
          <w:bCs/>
          <w:sz w:val="24"/>
          <w:szCs w:val="24"/>
        </w:rPr>
        <w:t>八、诉讼事项</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其他诉讼事项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4" w:name="_Toc988946"/>
      <w:r>
        <w:rPr>
          <w:rFonts w:ascii="宋体" w:hAnsi="宋体" w:eastAsia="宋体" w:cs="宋体"/>
          <w:b/>
          <w:bCs/>
          <w:sz w:val="24"/>
          <w:szCs w:val="24"/>
        </w:rPr>
        <w:t>九、处罚及整改情况</w:t>
      </w:r>
      <w:bookmarkEnd w:id="6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公司报告期不存在处罚及整改情况。</w:t>
      </w:r>
    </w:p>
    <w:p>
      <w:pPr>
        <w:keepNext/>
        <w:keepLines/>
        <w:spacing w:before="300" w:after="300" w:line="320" w:lineRule="exact"/>
        <w:jc w:val="left"/>
        <w:outlineLvl w:val="1"/>
        <w:rPr>
          <w:rFonts w:ascii="宋体" w:hAnsi="宋体" w:eastAsia="宋体" w:cs="宋体"/>
          <w:b/>
          <w:bCs/>
          <w:sz w:val="24"/>
          <w:szCs w:val="24"/>
        </w:rPr>
      </w:pPr>
      <w:bookmarkStart w:id="65" w:name="_Toc988947"/>
      <w:r>
        <w:rPr>
          <w:rFonts w:ascii="宋体" w:hAnsi="宋体" w:eastAsia="宋体" w:cs="宋体"/>
          <w:b/>
          <w:bCs/>
          <w:sz w:val="24"/>
          <w:szCs w:val="24"/>
        </w:rPr>
        <w:t>十、公司及其控股股东、实际控制人的诚信状况</w:t>
      </w:r>
      <w:bookmarkEnd w:id="6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66" w:name="_Toc988948"/>
      <w:r>
        <w:rPr>
          <w:rFonts w:ascii="宋体" w:hAnsi="宋体" w:eastAsia="宋体" w:cs="宋体"/>
          <w:b/>
          <w:bCs/>
          <w:sz w:val="24"/>
          <w:szCs w:val="24"/>
        </w:rPr>
        <w:t>十一、重大关联交易</w:t>
      </w:r>
      <w:bookmarkEnd w:id="66"/>
    </w:p>
    <w:p>
      <w:pPr>
        <w:keepNext/>
        <w:keepLines/>
        <w:spacing w:before="300" w:after="300" w:line="280" w:lineRule="exact"/>
        <w:jc w:val="left"/>
        <w:outlineLvl w:val="2"/>
        <w:rPr>
          <w:rFonts w:ascii="宋体" w:hAnsi="宋体" w:eastAsia="宋体" w:cs="宋体"/>
          <w:b/>
          <w:bCs/>
          <w:sz w:val="21"/>
          <w:szCs w:val="21"/>
        </w:rPr>
      </w:pPr>
      <w:bookmarkStart w:id="67" w:name="_Toc988949"/>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与日常经营相关的关联交易</w:t>
      </w:r>
      <w:bookmarkEnd w:id="6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68" w:name="_Toc988950"/>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资产或股权收购、出售发生的关联交易</w:t>
      </w:r>
      <w:bookmarkEnd w:id="6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公司报告期未发生资产或股权收购、出售的关联交易。</w:t>
      </w:r>
    </w:p>
    <w:p>
      <w:pPr>
        <w:keepNext/>
        <w:keepLines/>
        <w:spacing w:before="300" w:after="300" w:line="280" w:lineRule="exact"/>
        <w:jc w:val="left"/>
        <w:outlineLvl w:val="2"/>
        <w:rPr>
          <w:rFonts w:ascii="宋体" w:hAnsi="宋体" w:eastAsia="宋体" w:cs="宋体"/>
          <w:b/>
          <w:bCs/>
          <w:sz w:val="21"/>
          <w:szCs w:val="21"/>
        </w:rPr>
      </w:pPr>
      <w:bookmarkStart w:id="69" w:name="_Toc988951"/>
      <w:r>
        <w:rPr>
          <w:rFonts w:hint="eastAsia" w:ascii="宋体" w:hAnsi="宋体" w:cs="宋体"/>
          <w:b/>
          <w:bCs/>
          <w:sz w:val="21"/>
          <w:szCs w:val="21"/>
          <w:lang w:eastAsia="zh-CN"/>
        </w:rPr>
        <w:t>（三）</w:t>
      </w:r>
      <w:r>
        <w:rPr>
          <w:rFonts w:ascii="宋体" w:hAnsi="宋体" w:eastAsia="宋体" w:cs="宋体"/>
          <w:b/>
          <w:bCs/>
          <w:sz w:val="21"/>
          <w:szCs w:val="21"/>
        </w:rPr>
        <w:t>共同对外投资的关联交易</w:t>
      </w:r>
      <w:bookmarkEnd w:id="6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70" w:name="_Toc988952"/>
      <w:r>
        <w:rPr>
          <w:rFonts w:hint="eastAsia" w:ascii="宋体" w:hAnsi="宋体" w:cs="宋体"/>
          <w:b/>
          <w:bCs/>
          <w:sz w:val="21"/>
          <w:szCs w:val="21"/>
          <w:lang w:eastAsia="zh-CN"/>
        </w:rPr>
        <w:t>（四）</w:t>
      </w:r>
      <w:r>
        <w:rPr>
          <w:rFonts w:ascii="宋体" w:hAnsi="宋体" w:eastAsia="宋体" w:cs="宋体"/>
          <w:b/>
          <w:bCs/>
          <w:sz w:val="21"/>
          <w:szCs w:val="21"/>
        </w:rPr>
        <w:t>关联债权债务往来</w:t>
      </w:r>
      <w:bookmarkEnd w:id="7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71" w:name="_Toc988953"/>
      <w:r>
        <w:rPr>
          <w:rFonts w:hint="eastAsia" w:ascii="宋体" w:hAnsi="宋体" w:cs="宋体"/>
          <w:b/>
          <w:bCs/>
          <w:sz w:val="21"/>
          <w:szCs w:val="21"/>
          <w:lang w:eastAsia="zh-CN"/>
        </w:rPr>
        <w:t>（五）</w:t>
      </w:r>
      <w:r>
        <w:rPr>
          <w:rFonts w:ascii="宋体" w:hAnsi="宋体" w:eastAsia="宋体" w:cs="宋体"/>
          <w:b/>
          <w:bCs/>
          <w:sz w:val="21"/>
          <w:szCs w:val="21"/>
        </w:rPr>
        <w:t>与存在关联关系的财务公司的往来情况</w:t>
      </w:r>
      <w:bookmarkEnd w:id="7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72" w:name="_Toc988954"/>
      <w:r>
        <w:rPr>
          <w:rFonts w:hint="eastAsia" w:ascii="宋体" w:hAnsi="宋体" w:cs="宋体"/>
          <w:b/>
          <w:bCs/>
          <w:sz w:val="21"/>
          <w:szCs w:val="21"/>
          <w:lang w:eastAsia="zh-CN"/>
        </w:rPr>
        <w:t>（六）</w:t>
      </w:r>
      <w:r>
        <w:rPr>
          <w:rFonts w:ascii="宋体" w:hAnsi="宋体" w:eastAsia="宋体" w:cs="宋体"/>
          <w:b/>
          <w:bCs/>
          <w:sz w:val="21"/>
          <w:szCs w:val="21"/>
        </w:rPr>
        <w:t>公司控股的财务公司与关联方的往来情况</w:t>
      </w:r>
      <w:bookmarkEnd w:id="7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73" w:name="_Toc988955"/>
      <w:r>
        <w:rPr>
          <w:rFonts w:hint="eastAsia" w:ascii="宋体" w:hAnsi="宋体" w:cs="宋体"/>
          <w:b/>
          <w:bCs/>
          <w:sz w:val="21"/>
          <w:szCs w:val="21"/>
          <w:lang w:eastAsia="zh-CN"/>
        </w:rPr>
        <w:t>（七）</w:t>
      </w:r>
      <w:r>
        <w:rPr>
          <w:rFonts w:ascii="宋体" w:hAnsi="宋体" w:eastAsia="宋体" w:cs="宋体"/>
          <w:b/>
          <w:bCs/>
          <w:sz w:val="21"/>
          <w:szCs w:val="21"/>
        </w:rPr>
        <w:t>其他重大关联交易</w:t>
      </w:r>
      <w:bookmarkEnd w:id="7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公司报告期无其他重大关联交易。</w:t>
      </w:r>
    </w:p>
    <w:p>
      <w:pPr>
        <w:keepNext/>
        <w:keepLines/>
        <w:spacing w:before="300" w:after="300" w:line="320" w:lineRule="exact"/>
        <w:jc w:val="left"/>
        <w:outlineLvl w:val="1"/>
        <w:rPr>
          <w:rFonts w:ascii="宋体" w:hAnsi="宋体" w:eastAsia="宋体" w:cs="宋体"/>
          <w:b/>
          <w:bCs/>
          <w:sz w:val="24"/>
          <w:szCs w:val="24"/>
        </w:rPr>
      </w:pPr>
      <w:bookmarkStart w:id="74" w:name="_Toc988956"/>
      <w:r>
        <w:rPr>
          <w:rFonts w:ascii="宋体" w:hAnsi="宋体" w:eastAsia="宋体" w:cs="宋体"/>
          <w:b/>
          <w:bCs/>
          <w:sz w:val="24"/>
          <w:szCs w:val="24"/>
        </w:rPr>
        <w:t>十二、重大合同及其履行情况</w:t>
      </w:r>
      <w:bookmarkEnd w:id="74"/>
    </w:p>
    <w:p>
      <w:pPr>
        <w:keepNext/>
        <w:keepLines/>
        <w:spacing w:before="300" w:after="300" w:line="280" w:lineRule="exact"/>
        <w:jc w:val="left"/>
        <w:outlineLvl w:val="2"/>
        <w:rPr>
          <w:rFonts w:ascii="宋体" w:hAnsi="宋体" w:eastAsia="宋体" w:cs="宋体"/>
          <w:b/>
          <w:bCs/>
          <w:sz w:val="21"/>
          <w:szCs w:val="21"/>
        </w:rPr>
      </w:pPr>
      <w:bookmarkStart w:id="75" w:name="_Toc988957"/>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托管、承包、租赁事项情况</w:t>
      </w:r>
      <w:bookmarkEnd w:id="75"/>
    </w:p>
    <w:p>
      <w:pPr>
        <w:keepNext/>
        <w:keepLines/>
        <w:spacing w:before="300" w:after="300" w:line="280" w:lineRule="exact"/>
        <w:jc w:val="left"/>
        <w:outlineLvl w:val="3"/>
        <w:rPr>
          <w:rFonts w:ascii="宋体" w:hAnsi="宋体" w:eastAsia="宋体" w:cs="宋体"/>
          <w:b/>
          <w:bCs/>
          <w:sz w:val="21"/>
          <w:szCs w:val="21"/>
        </w:rPr>
      </w:pPr>
      <w:bookmarkStart w:id="76" w:name="_Toc988958"/>
      <w:r>
        <w:rPr>
          <w:rFonts w:hint="eastAsia" w:ascii="宋体" w:hAnsi="宋体" w:cs="宋体"/>
          <w:b/>
          <w:bCs/>
          <w:sz w:val="21"/>
          <w:szCs w:val="21"/>
          <w:lang w:val="en-US" w:eastAsia="zh-CN"/>
        </w:rPr>
        <w:t>1.</w:t>
      </w:r>
      <w:r>
        <w:rPr>
          <w:rFonts w:ascii="宋体" w:hAnsi="宋体" w:eastAsia="宋体" w:cs="宋体"/>
          <w:b/>
          <w:bCs/>
          <w:sz w:val="21"/>
          <w:szCs w:val="21"/>
        </w:rPr>
        <w:t xml:space="preserve"> 托管情况</w:t>
      </w:r>
      <w:bookmarkEnd w:id="7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21"/>
          <w:szCs w:val="21"/>
        </w:rPr>
      </w:pPr>
      <w:bookmarkStart w:id="77" w:name="_Toc988959"/>
      <w:r>
        <w:rPr>
          <w:rFonts w:hint="eastAsia" w:ascii="宋体" w:hAnsi="宋体" w:cs="宋体"/>
          <w:b/>
          <w:bCs/>
          <w:sz w:val="21"/>
          <w:szCs w:val="21"/>
          <w:lang w:val="en-US" w:eastAsia="zh-CN"/>
        </w:rPr>
        <w:t>2.</w:t>
      </w:r>
      <w:r>
        <w:rPr>
          <w:rFonts w:ascii="宋体" w:hAnsi="宋体" w:eastAsia="宋体" w:cs="宋体"/>
          <w:b/>
          <w:bCs/>
          <w:sz w:val="21"/>
          <w:szCs w:val="21"/>
        </w:rPr>
        <w:t>承包情况</w:t>
      </w:r>
      <w:bookmarkEnd w:id="7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21"/>
          <w:szCs w:val="21"/>
        </w:rPr>
      </w:pPr>
      <w:bookmarkStart w:id="78" w:name="_Toc988960"/>
      <w:r>
        <w:rPr>
          <w:rFonts w:hint="eastAsia" w:ascii="宋体" w:hAnsi="宋体" w:cs="宋体"/>
          <w:b/>
          <w:bCs/>
          <w:sz w:val="21"/>
          <w:szCs w:val="21"/>
          <w:lang w:val="en-US" w:eastAsia="zh-CN"/>
        </w:rPr>
        <w:t>3.</w:t>
      </w:r>
      <w:r>
        <w:rPr>
          <w:rFonts w:ascii="宋体" w:hAnsi="宋体" w:eastAsia="宋体" w:cs="宋体"/>
          <w:b/>
          <w:bCs/>
          <w:sz w:val="21"/>
          <w:szCs w:val="21"/>
        </w:rPr>
        <w:t>租赁情况</w:t>
      </w:r>
      <w:bookmarkEnd w:id="7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公司报告期不存在租赁情况。</w:t>
      </w:r>
    </w:p>
    <w:p>
      <w:pPr>
        <w:keepNext/>
        <w:keepLines/>
        <w:spacing w:before="300" w:after="300" w:line="280" w:lineRule="exact"/>
        <w:jc w:val="left"/>
        <w:outlineLvl w:val="2"/>
        <w:rPr>
          <w:rFonts w:ascii="宋体" w:hAnsi="宋体" w:eastAsia="宋体" w:cs="宋体"/>
          <w:b/>
          <w:bCs/>
          <w:sz w:val="21"/>
          <w:szCs w:val="21"/>
        </w:rPr>
      </w:pPr>
      <w:bookmarkStart w:id="79" w:name="_Toc988961"/>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重大担保</w:t>
      </w:r>
      <w:bookmarkEnd w:id="7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公司报告期不存在重大担保情况。</w:t>
      </w:r>
    </w:p>
    <w:p>
      <w:pPr>
        <w:keepNext/>
        <w:keepLines/>
        <w:spacing w:before="300" w:after="300" w:line="280" w:lineRule="exact"/>
        <w:jc w:val="left"/>
        <w:outlineLvl w:val="2"/>
        <w:rPr>
          <w:rFonts w:ascii="宋体" w:hAnsi="宋体" w:eastAsia="宋体" w:cs="宋体"/>
          <w:b/>
          <w:bCs/>
          <w:sz w:val="21"/>
          <w:szCs w:val="21"/>
        </w:rPr>
      </w:pPr>
      <w:bookmarkStart w:id="80" w:name="_Toc988962"/>
      <w:r>
        <w:rPr>
          <w:rFonts w:hint="eastAsia" w:ascii="宋体" w:hAnsi="宋体" w:cs="宋体"/>
          <w:b/>
          <w:bCs/>
          <w:sz w:val="21"/>
          <w:szCs w:val="21"/>
          <w:lang w:eastAsia="zh-CN"/>
        </w:rPr>
        <w:t>（三）</w:t>
      </w:r>
      <w:r>
        <w:rPr>
          <w:rFonts w:ascii="宋体" w:hAnsi="宋体" w:eastAsia="宋体" w:cs="宋体"/>
          <w:b/>
          <w:bCs/>
          <w:sz w:val="21"/>
          <w:szCs w:val="21"/>
        </w:rPr>
        <w:t>委托理财</w:t>
      </w:r>
      <w:bookmarkEnd w:id="8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公司报告期不存在委托理财。</w:t>
      </w:r>
    </w:p>
    <w:p>
      <w:pPr>
        <w:keepNext/>
        <w:keepLines/>
        <w:spacing w:before="300" w:after="300" w:line="280" w:lineRule="exact"/>
        <w:jc w:val="left"/>
        <w:outlineLvl w:val="2"/>
        <w:rPr>
          <w:rFonts w:ascii="宋体" w:hAnsi="宋体" w:eastAsia="宋体" w:cs="宋体"/>
          <w:b/>
          <w:bCs/>
          <w:sz w:val="21"/>
          <w:szCs w:val="21"/>
        </w:rPr>
      </w:pPr>
      <w:bookmarkStart w:id="81" w:name="_Toc988963"/>
      <w:r>
        <w:rPr>
          <w:rFonts w:hint="eastAsia" w:ascii="宋体" w:hAnsi="宋体" w:cs="宋体"/>
          <w:b/>
          <w:bCs/>
          <w:sz w:val="21"/>
          <w:szCs w:val="21"/>
          <w:lang w:eastAsia="zh-CN"/>
        </w:rPr>
        <w:t>（四）</w:t>
      </w:r>
      <w:r>
        <w:rPr>
          <w:rFonts w:ascii="宋体" w:hAnsi="宋体" w:eastAsia="宋体" w:cs="宋体"/>
          <w:b/>
          <w:bCs/>
          <w:sz w:val="21"/>
          <w:szCs w:val="21"/>
        </w:rPr>
        <w:t>其他重大合同</w:t>
      </w:r>
      <w:bookmarkEnd w:id="8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bookmarkStart w:id="82" w:name="_Toc988964"/>
      <w:r>
        <w:rPr>
          <w:rFonts w:ascii="宋体" w:hAnsi="宋体" w:eastAsia="宋体" w:cs="宋体"/>
          <w:b/>
          <w:bCs/>
          <w:sz w:val="24"/>
          <w:szCs w:val="24"/>
        </w:rPr>
        <w:t>十三、其他重大事项的说明</w:t>
      </w:r>
      <w:bookmarkEnd w:id="8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pPr>
        <w:keepNext/>
        <w:keepLines/>
        <w:spacing w:before="300" w:after="300" w:line="320" w:lineRule="exact"/>
        <w:jc w:val="left"/>
        <w:outlineLvl w:val="1"/>
        <w:rPr>
          <w:rFonts w:ascii="宋体" w:hAnsi="宋体" w:eastAsia="宋体" w:cs="宋体"/>
          <w:b/>
          <w:bCs/>
          <w:sz w:val="24"/>
          <w:szCs w:val="24"/>
        </w:rPr>
      </w:pPr>
      <w:bookmarkStart w:id="83" w:name="_Toc988965"/>
      <w:r>
        <w:rPr>
          <w:rFonts w:ascii="宋体" w:hAnsi="宋体" w:eastAsia="宋体" w:cs="宋体"/>
          <w:b/>
          <w:bCs/>
          <w:sz w:val="24"/>
          <w:szCs w:val="24"/>
        </w:rPr>
        <w:t>十四、公司子公司重大事项</w:t>
      </w:r>
      <w:bookmarkEnd w:id="8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84" w:name="_Toc988966"/>
      <w:r>
        <w:rPr>
          <w:rFonts w:ascii="宋体" w:hAnsi="宋体" w:eastAsia="宋体" w:cs="宋体"/>
          <w:b/>
          <w:bCs/>
          <w:sz w:val="32"/>
          <w:szCs w:val="32"/>
        </w:rPr>
        <w:t>第六节 股份变动及股东情况</w:t>
      </w:r>
      <w:bookmarkEnd w:id="84"/>
    </w:p>
    <w:p>
      <w:pPr>
        <w:keepNext/>
        <w:keepLines/>
        <w:spacing w:before="300" w:after="300" w:line="320" w:lineRule="exact"/>
        <w:jc w:val="left"/>
        <w:outlineLvl w:val="1"/>
        <w:rPr>
          <w:rFonts w:ascii="宋体" w:hAnsi="宋体" w:eastAsia="宋体" w:cs="宋体"/>
          <w:b/>
          <w:bCs/>
          <w:sz w:val="24"/>
          <w:szCs w:val="24"/>
        </w:rPr>
      </w:pPr>
      <w:bookmarkStart w:id="85" w:name="_Toc988967"/>
      <w:r>
        <w:rPr>
          <w:rFonts w:ascii="宋体" w:hAnsi="宋体" w:eastAsia="宋体" w:cs="宋体"/>
          <w:b/>
          <w:bCs/>
          <w:sz w:val="24"/>
          <w:szCs w:val="24"/>
        </w:rPr>
        <w:t>一、股份变动情况</w:t>
      </w:r>
      <w:bookmarkEnd w:id="85"/>
    </w:p>
    <w:p>
      <w:pPr>
        <w:keepNext/>
        <w:keepLines/>
        <w:spacing w:before="300" w:after="300" w:line="280" w:lineRule="exact"/>
        <w:jc w:val="left"/>
        <w:outlineLvl w:val="2"/>
        <w:rPr>
          <w:rFonts w:ascii="宋体" w:hAnsi="宋体" w:eastAsia="宋体" w:cs="宋体"/>
          <w:b/>
          <w:bCs/>
          <w:sz w:val="21"/>
          <w:szCs w:val="21"/>
        </w:rPr>
      </w:pPr>
      <w:bookmarkStart w:id="86" w:name="_Toc988968"/>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股份变动情况</w:t>
      </w:r>
      <w:bookmarkEnd w:id="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5"/>
        <w:tblW w:w="97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9"/>
        <w:gridCol w:w="1290"/>
        <w:gridCol w:w="765"/>
        <w:gridCol w:w="780"/>
        <w:gridCol w:w="585"/>
        <w:gridCol w:w="930"/>
        <w:gridCol w:w="570"/>
        <w:gridCol w:w="525"/>
        <w:gridCol w:w="1230"/>
        <w:gridCol w:w="9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05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339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214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9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7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7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5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9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5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其中：境内法人持股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其中：境外法人持股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2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129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7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left="-199" w:leftChars="-95" w:firstLine="0" w:firstLineChars="0"/>
              <w:jc w:val="right"/>
              <w:rPr>
                <w:rFonts w:ascii="宋体" w:hAnsi="宋体" w:eastAsia="宋体" w:cs="宋体"/>
                <w:sz w:val="18"/>
                <w:szCs w:val="18"/>
              </w:rPr>
            </w:pPr>
            <w:r>
              <w:rPr>
                <w:rFonts w:ascii="宋体" w:hAnsi="宋体" w:eastAsia="宋体" w:cs="宋体"/>
                <w:sz w:val="18"/>
                <w:szCs w:val="18"/>
              </w:rPr>
              <w:t>100.00%</w:t>
            </w:r>
          </w:p>
        </w:tc>
        <w:tc>
          <w:tcPr>
            <w:tcW w:w="7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7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w:t>
            </w:r>
          </w:p>
        </w:tc>
        <w:tc>
          <w:tcPr>
            <w:tcW w:w="91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spacing w:before="40" w:after="40" w:line="240" w:lineRule="exact"/>
        <w:jc w:val="right"/>
        <w:rPr>
          <w:rFonts w:ascii="宋体" w:hAnsi="宋体" w:eastAsia="宋体" w:cs="宋体"/>
          <w:sz w:val="18"/>
          <w:szCs w:val="18"/>
        </w:rPr>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87" w:name="_Toc988969"/>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限售股份变动情况</w:t>
      </w:r>
      <w:bookmarkEnd w:id="8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8" w:name="_Toc988970"/>
      <w:r>
        <w:rPr>
          <w:rFonts w:ascii="宋体" w:hAnsi="宋体" w:eastAsia="宋体" w:cs="宋体"/>
          <w:b/>
          <w:bCs/>
          <w:sz w:val="24"/>
          <w:szCs w:val="24"/>
        </w:rPr>
        <w:t>二、证券发行与上市情况</w:t>
      </w:r>
      <w:bookmarkEnd w:id="8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9" w:name="_Toc988971"/>
      <w:r>
        <w:rPr>
          <w:rFonts w:ascii="宋体" w:hAnsi="宋体" w:eastAsia="宋体" w:cs="宋体"/>
          <w:b/>
          <w:bCs/>
          <w:sz w:val="24"/>
          <w:szCs w:val="24"/>
        </w:rPr>
        <w:t>三、公司股东数量及持股情况</w:t>
      </w:r>
      <w:bookmarkEnd w:id="89"/>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0"/>
        <w:gridCol w:w="1127"/>
        <w:gridCol w:w="809"/>
        <w:gridCol w:w="1200"/>
        <w:gridCol w:w="1218"/>
        <w:gridCol w:w="800"/>
        <w:gridCol w:w="1209"/>
        <w:gridCol w:w="209"/>
        <w:gridCol w:w="655"/>
        <w:gridCol w:w="6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2009"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64,510</w:t>
            </w:r>
          </w:p>
        </w:tc>
        <w:tc>
          <w:tcPr>
            <w:tcW w:w="322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1476"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0"/>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持股5%以上的股东或前10名股东持股情况（不含通过转融通出借股份）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1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8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报告期末持股数量</w:t>
            </w:r>
          </w:p>
        </w:tc>
        <w:tc>
          <w:tcPr>
            <w:tcW w:w="12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8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12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持有无限售条件的股份数量</w:t>
            </w:r>
          </w:p>
        </w:tc>
        <w:tc>
          <w:tcPr>
            <w:tcW w:w="1476"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1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6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6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72,472,129</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40,117,202</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-4,067,400</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40,117,202</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24,193,548</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19,585,282</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-14,345,298</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19,585,282</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12,448,800</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-1,771,221</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12,448,800</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肇庆市泓力房地产发展有限公司</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0.93%</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5,324,000</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1,180,000</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5,324,000</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青岛弘华私募基金管理有限公司－航空产业融合发展（青岛）股权投资基金合伙企业（有限合伙）</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3,091,216</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吴仲銮</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2,499,232</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-2,629,300</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2,499,232</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王贵春</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0.34%</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1,921,400</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55,200</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1,921,400</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11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8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0.32%</w:t>
            </w:r>
          </w:p>
        </w:tc>
        <w:tc>
          <w:tcPr>
            <w:tcW w:w="12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c>
          <w:tcPr>
            <w:tcW w:w="12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c>
          <w:tcPr>
            <w:tcW w:w="8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2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c>
          <w:tcPr>
            <w:tcW w:w="864"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1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战略投资者或一般法人因配售新股成为前10名股东的情况（如有）（参见注3）</w:t>
            </w:r>
          </w:p>
        </w:tc>
        <w:tc>
          <w:tcPr>
            <w:tcW w:w="6712"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6712"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6712"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前10名股东中存在回购专户的特别说明（如有）（参见注11）</w:t>
            </w:r>
          </w:p>
        </w:tc>
        <w:tc>
          <w:tcPr>
            <w:tcW w:w="6712"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0"/>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4027" w:type="dxa"/>
            <w:gridSpan w:val="4"/>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报告期末持有无限售条件股份数量</w:t>
            </w:r>
          </w:p>
        </w:tc>
        <w:tc>
          <w:tcPr>
            <w:tcW w:w="268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027" w:type="dxa"/>
            <w:gridSpan w:val="4"/>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41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26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72,472,129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湖南湘投高科技创业投资有限公司</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40,117,202</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40,117,202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24,193,548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国家军民融合产业投资基金有限责任公司</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19,585,282</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19,585,282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李卓</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12,448,800</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12,448,800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肇庆市泓力房地产发展有限公司</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5,324,000</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5,324,000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青岛弘华私募基金管理有限公司－航空产业融合发展（青岛）股权投资基金合伙企业（有限合伙）</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3,091,216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吴仲銮</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2,499,232</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2,499,232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王贵春</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1,921,400</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1,921,400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熊翔</w:t>
            </w:r>
          </w:p>
        </w:tc>
        <w:tc>
          <w:tcPr>
            <w:tcW w:w="4027"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1,836,000</w:t>
            </w:r>
          </w:p>
        </w:tc>
        <w:tc>
          <w:tcPr>
            <w:tcW w:w="1418"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人民币普通股</w:t>
            </w:r>
          </w:p>
        </w:tc>
        <w:tc>
          <w:tcPr>
            <w:tcW w:w="1267"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1,836,000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前10名无限售条件股东之间，以及前10名无限售条件股东和前10名股东之间关联关系或一致行动的说明</w:t>
            </w:r>
          </w:p>
        </w:tc>
        <w:tc>
          <w:tcPr>
            <w:tcW w:w="6712"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持有中南大学粉末冶金工程研究中心有限公司51%股权，为中南大学粉末冶金工程研究中心有限公司控股股东。除此以外未知上述其他股东之间是否存在关联关系，也未知以上其他股东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9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6712"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前10名股东李卓通过投资者信用账户持有公司股票9148500股，通过普通证券账户持有3300300股，普通证券账户及投资者信用账户合计持有12448800股；股东肇庆市泓力房地产发展有限公司通过投资者信用账户持有公司股票4909300股，通过普通证券账户持有414700股，普通证券账户及投资者信用账户合计持有5324000股；股东吴仲銮通过投资者信用账户持有公司股票2048500股，通过普通证券账户持有450732股，普通证券账户及投资者信用账户合计持有2499232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320" w:lineRule="exact"/>
        <w:jc w:val="left"/>
        <w:outlineLvl w:val="1"/>
        <w:rPr>
          <w:rFonts w:ascii="宋体" w:hAnsi="宋体" w:eastAsia="宋体" w:cs="宋体"/>
          <w:b/>
          <w:bCs/>
          <w:sz w:val="24"/>
          <w:szCs w:val="24"/>
        </w:rPr>
      </w:pPr>
      <w:bookmarkStart w:id="90" w:name="_Toc988972"/>
      <w:r>
        <w:rPr>
          <w:rFonts w:ascii="宋体" w:hAnsi="宋体" w:eastAsia="宋体" w:cs="宋体"/>
          <w:b/>
          <w:bCs/>
          <w:sz w:val="24"/>
          <w:szCs w:val="24"/>
        </w:rPr>
        <w:t>四、董事、监事和高级管理人员持股变动</w:t>
      </w:r>
      <w:bookmarkEnd w:id="9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公司董事、监事和高级管理人员在报告期持股情况没有发生变动，具体可参见2024年年报。</w:t>
      </w:r>
    </w:p>
    <w:p>
      <w:pPr>
        <w:keepNext/>
        <w:keepLines/>
        <w:spacing w:before="300" w:after="300" w:line="320" w:lineRule="exact"/>
        <w:jc w:val="left"/>
        <w:outlineLvl w:val="1"/>
        <w:rPr>
          <w:rFonts w:ascii="宋体" w:hAnsi="宋体" w:eastAsia="宋体" w:cs="宋体"/>
          <w:b/>
          <w:bCs/>
          <w:sz w:val="24"/>
          <w:szCs w:val="24"/>
        </w:rPr>
      </w:pPr>
      <w:bookmarkStart w:id="91" w:name="_Toc988973"/>
      <w:r>
        <w:rPr>
          <w:rFonts w:ascii="宋体" w:hAnsi="宋体" w:eastAsia="宋体" w:cs="宋体"/>
          <w:b/>
          <w:bCs/>
          <w:sz w:val="24"/>
          <w:szCs w:val="24"/>
        </w:rPr>
        <w:t>五、控股股东或实际控制人变更情况</w:t>
      </w:r>
      <w:bookmarkEnd w:id="91"/>
    </w:p>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r>
        <w:br w:type="page"/>
      </w:r>
    </w:p>
    <w:p>
      <w:pPr>
        <w:keepNext/>
        <w:keepLines/>
        <w:spacing w:before="300" w:after="300" w:line="320" w:lineRule="exact"/>
        <w:jc w:val="left"/>
        <w:outlineLvl w:val="1"/>
        <w:rPr>
          <w:rFonts w:ascii="宋体" w:hAnsi="宋体" w:eastAsia="宋体" w:cs="宋体"/>
          <w:b/>
          <w:bCs/>
          <w:sz w:val="24"/>
          <w:szCs w:val="24"/>
        </w:rPr>
      </w:pPr>
      <w:bookmarkStart w:id="92" w:name="_Toc988974"/>
      <w:r>
        <w:rPr>
          <w:rFonts w:ascii="宋体" w:hAnsi="宋体" w:eastAsia="宋体" w:cs="宋体"/>
          <w:b/>
          <w:bCs/>
          <w:sz w:val="24"/>
          <w:szCs w:val="24"/>
        </w:rPr>
        <w:t>六、优先股相关情况</w:t>
      </w:r>
      <w:bookmarkEnd w:id="92"/>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r>
        <w:br w:type="page"/>
      </w:r>
    </w:p>
    <w:p>
      <w:pPr>
        <w:keepNext/>
        <w:keepLines/>
        <w:spacing w:before="340" w:after="330" w:line="773" w:lineRule="exact"/>
        <w:jc w:val="center"/>
        <w:outlineLvl w:val="0"/>
        <w:rPr>
          <w:rFonts w:ascii="宋体" w:hAnsi="宋体" w:eastAsia="宋体" w:cs="宋体"/>
          <w:b/>
          <w:bCs/>
          <w:sz w:val="32"/>
          <w:szCs w:val="32"/>
        </w:rPr>
      </w:pPr>
      <w:bookmarkStart w:id="93" w:name="_Toc988975"/>
      <w:r>
        <w:rPr>
          <w:rFonts w:ascii="宋体" w:hAnsi="宋体" w:eastAsia="宋体" w:cs="宋体"/>
          <w:b/>
          <w:bCs/>
          <w:sz w:val="32"/>
          <w:szCs w:val="32"/>
        </w:rPr>
        <w:t>第七节 债券相关情况</w:t>
      </w:r>
      <w:bookmarkEnd w:id="9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94" w:name="_Toc988976"/>
      <w:r>
        <w:rPr>
          <w:rFonts w:ascii="宋体" w:hAnsi="宋体" w:eastAsia="宋体" w:cs="宋体"/>
          <w:b/>
          <w:bCs/>
          <w:sz w:val="32"/>
          <w:szCs w:val="32"/>
        </w:rPr>
        <w:t>第八节 财务报告</w:t>
      </w:r>
      <w:bookmarkEnd w:id="94"/>
    </w:p>
    <w:p>
      <w:pPr>
        <w:keepNext/>
        <w:keepLines/>
        <w:spacing w:before="300" w:after="300" w:line="320" w:lineRule="exact"/>
        <w:jc w:val="left"/>
        <w:outlineLvl w:val="1"/>
        <w:rPr>
          <w:rFonts w:ascii="宋体" w:hAnsi="宋体" w:eastAsia="宋体" w:cs="宋体"/>
          <w:b/>
          <w:bCs/>
          <w:sz w:val="24"/>
          <w:szCs w:val="24"/>
        </w:rPr>
      </w:pPr>
      <w:bookmarkStart w:id="95" w:name="_Toc988977"/>
      <w:r>
        <w:rPr>
          <w:rFonts w:ascii="宋体" w:hAnsi="宋体" w:eastAsia="宋体" w:cs="宋体"/>
          <w:b/>
          <w:bCs/>
          <w:sz w:val="24"/>
          <w:szCs w:val="24"/>
        </w:rPr>
        <w:t>一、审计报告</w:t>
      </w:r>
      <w:bookmarkEnd w:id="95"/>
    </w:p>
    <w:p>
      <w:pPr>
        <w:spacing w:before="40" w:after="40" w:line="240" w:lineRule="exact"/>
        <w:jc w:val="left"/>
        <w:rPr>
          <w:rFonts w:ascii="宋体" w:hAnsi="宋体" w:eastAsia="宋体" w:cs="宋体"/>
          <w:sz w:val="18"/>
          <w:szCs w:val="18"/>
        </w:rPr>
      </w:pPr>
      <w:r>
        <w:rPr>
          <w:rFonts w:ascii="宋体" w:hAnsi="宋体" w:eastAsia="宋体" w:cs="宋体"/>
          <w:sz w:val="18"/>
          <w:szCs w:val="18"/>
        </w:rPr>
        <w:t>半年度报告是否经过审计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公司半年度财务报告未经审计。</w:t>
      </w:r>
    </w:p>
    <w:p>
      <w:pPr>
        <w:keepNext/>
        <w:keepLines/>
        <w:spacing w:before="300" w:after="300" w:line="320" w:lineRule="exact"/>
        <w:jc w:val="left"/>
        <w:outlineLvl w:val="1"/>
        <w:rPr>
          <w:rFonts w:ascii="宋体" w:hAnsi="宋体" w:eastAsia="宋体" w:cs="宋体"/>
          <w:b/>
          <w:bCs/>
          <w:sz w:val="24"/>
          <w:szCs w:val="24"/>
        </w:rPr>
      </w:pPr>
      <w:bookmarkStart w:id="96" w:name="_Toc988978"/>
      <w:r>
        <w:rPr>
          <w:rFonts w:ascii="宋体" w:hAnsi="宋体" w:eastAsia="宋体" w:cs="宋体"/>
          <w:b/>
          <w:bCs/>
          <w:sz w:val="24"/>
          <w:szCs w:val="24"/>
        </w:rPr>
        <w:t>二、财务报表</w:t>
      </w:r>
      <w:bookmarkEnd w:id="96"/>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97" w:name="_Toc988979"/>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合并资产负债表</w:t>
      </w:r>
      <w:bookmarkEnd w:id="97"/>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编制单位：湖南博云新材料股份有限公司</w:t>
      </w:r>
      <w:r>
        <w:rPr>
          <w:rFonts w:hint="eastAsia" w:ascii="宋体" w:hAnsi="宋体" w:cs="宋体"/>
          <w:sz w:val="18"/>
          <w:szCs w:val="18"/>
          <w:lang w:val="en-US" w:eastAsia="zh-CN"/>
        </w:rPr>
        <w:t xml:space="preserve">                  </w:t>
      </w:r>
      <w:r>
        <w:rPr>
          <w:rFonts w:ascii="宋体" w:hAnsi="宋体" w:eastAsia="宋体" w:cs="宋体"/>
          <w:sz w:val="18"/>
          <w:szCs w:val="18"/>
        </w:rPr>
        <w:t>2025年06月30日</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516,361,774.48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560,769,511.15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65,501,149.43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475,464,368.82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406,996,000.12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12,689,303.58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12,994,928.60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12,176,444.23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2,689,710.16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551,786,206.21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536,734,222.18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2,553,824.15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3,228,103.39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6,769,136.01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1,643,269,368.82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1,588,994,078.77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910,643,708.48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4,886,135.21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250,420,293.53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255,470,959.01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48,384,028.37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36,855,666.49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5,183,346.26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5,699,759.90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43,727,638.77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39,786,877.06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11,492,145.88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1,363,848,697.55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1,370,099,721.63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3,007,118,066.37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2,959,093,800.40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132,038,893.46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113,510,103.41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169,734,054.13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182,117,635.81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717,341.00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693,680.95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13,087,489.47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12,685,882.34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18,887,016.56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34,513,117.28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6,112,200.60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10,179,415.04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6,347,074.78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30,024,166.67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40,086,639.51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49,490,019.02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803,310,709.51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759,851,761.26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63,812,676.68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67,049,213.96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4,297,722.24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4,519,925.02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122,420,398.92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125,879,138.98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925,731,108.43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885,730,900.24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-216,356,300.09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2,060,012,693.80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2,051,550,964.21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21,374,264.14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21,811,935.95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2,081,386,957.94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2,073,362,900.16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3,007,118,066.37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2,959,093,800.40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法定代表人：戴志利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会计机构负责人：夏思维</w:t>
      </w:r>
    </w:p>
    <w:p>
      <w:pPr>
        <w:keepNext/>
        <w:keepLines/>
        <w:spacing w:before="300" w:after="300" w:line="320" w:lineRule="exact"/>
        <w:jc w:val="left"/>
        <w:outlineLvl w:val="2"/>
        <w:rPr>
          <w:rFonts w:ascii="宋体" w:hAnsi="宋体" w:eastAsia="宋体" w:cs="宋体"/>
          <w:b/>
          <w:bCs/>
          <w:sz w:val="24"/>
          <w:szCs w:val="24"/>
        </w:rPr>
      </w:pPr>
      <w:bookmarkStart w:id="98" w:name="_Toc988980"/>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cs="宋体"/>
          <w:b/>
          <w:bCs/>
          <w:sz w:val="24"/>
          <w:szCs w:val="24"/>
          <w:lang w:eastAsia="zh-CN"/>
        </w:rPr>
        <w:t>）</w:t>
      </w:r>
      <w:r>
        <w:rPr>
          <w:rFonts w:ascii="宋体" w:hAnsi="宋体" w:eastAsia="宋体" w:cs="宋体"/>
          <w:b/>
          <w:bCs/>
          <w:sz w:val="24"/>
          <w:szCs w:val="24"/>
        </w:rPr>
        <w:t>母公司资产负债表</w:t>
      </w:r>
      <w:bookmarkEnd w:id="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318,983,182.98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324,998,936.56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1,237,422.40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460,968.00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190,855,064.67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186,331,834.08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2,693,644.36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2,030,129.99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608,385.69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120,435,480.19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111,535,856.02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162,746,626.77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160,342,272.03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797,559,807.06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786,082,045.31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187,153,620.50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194,104,603.94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2,555,150.40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2,158,397.72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17,340,436.94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18,264,898.49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800,298.23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971,248.73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26,601,798.51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25,494,316.45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7,636,088.85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1,689,741.15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1,446,855,899.42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1,447,451,712.47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2,244,415,706.48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2,233,533,757.78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14,161,628.00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41,173,948.48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32,806,208.36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5,618,154.12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5,330,778.91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9,695,460.18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19,715,010.10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5,294,928.25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7,832,280.70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2,065,379.22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1,776,318.42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129,914.38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91,255.59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63,977,784.63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81,713,480.08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20,221,202.90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22,261,257.12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20,221,202.90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22,261,257.12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84,198,987.53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103,974,737.20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-7,252,842.53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-7,252,842.53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-94,505,093.83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-125,162,792.20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2,160,216,718.95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2,129,559,020.58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2,244,415,706.48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2,233,533,757.78</w:t>
            </w:r>
          </w:p>
        </w:tc>
      </w:tr>
    </w:tbl>
    <w:p>
      <w:pPr>
        <w:keepNext/>
        <w:keepLines/>
        <w:spacing w:before="300" w:after="300" w:line="280" w:lineRule="exact"/>
        <w:jc w:val="left"/>
        <w:outlineLvl w:val="2"/>
        <w:rPr>
          <w:rFonts w:ascii="宋体" w:hAnsi="宋体" w:eastAsia="宋体" w:cs="宋体"/>
          <w:b/>
          <w:bCs/>
          <w:sz w:val="21"/>
          <w:szCs w:val="21"/>
        </w:rPr>
      </w:pPr>
      <w:bookmarkStart w:id="99" w:name="_Toc988981"/>
      <w:r>
        <w:rPr>
          <w:rFonts w:hint="eastAsia" w:ascii="宋体" w:hAnsi="宋体" w:cs="宋体"/>
          <w:b/>
          <w:bCs/>
          <w:sz w:val="21"/>
          <w:szCs w:val="21"/>
          <w:lang w:eastAsia="zh-CN"/>
        </w:rPr>
        <w:t>（三）</w:t>
      </w:r>
      <w:r>
        <w:rPr>
          <w:rFonts w:ascii="宋体" w:hAnsi="宋体" w:eastAsia="宋体" w:cs="宋体"/>
          <w:b/>
          <w:bCs/>
          <w:sz w:val="21"/>
          <w:szCs w:val="21"/>
        </w:rPr>
        <w:t>合并利润表</w:t>
      </w:r>
      <w:bookmarkEnd w:id="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395,592,609.26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395,592,609.26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383,741,585.14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308,083,066.22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311,935,624.53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250,869,695.21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5,808,881.25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3,763,333.17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9,802,652.48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8,345,938.59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30,177,520.48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27,992,921.10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25,360,545.67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17,049,482.22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656,360.73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5,123,935.80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3,512,875.02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3,336,239.25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3,543,332.26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8,204,776.33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30,417,646.05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-2,403,764.32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-4,232,256.32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-12,637,257.20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2,425,128.78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25,674.06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7,555,064.46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24,374,416.55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78,330.35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729,984.41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92,661.20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17,314,288.60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7,540,733.61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7,790,112.36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-483,324.17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5,755,479.74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8,024,057.78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8,024,057.78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8,461,729.59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-437,671.81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8,024,057.78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8,461,729.59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-437,671.81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0.0040</w:t>
            </w:r>
          </w:p>
        </w:tc>
      </w:tr>
    </w:tbl>
    <w:p>
      <w:pPr>
        <w:spacing w:before="100" w:after="100" w:line="240" w:lineRule="exact"/>
        <w:jc w:val="left"/>
        <w:rPr>
          <w:rFonts w:ascii="宋体" w:hAnsi="宋体" w:eastAsia="宋体" w:cs="宋体"/>
          <w:sz w:val="18"/>
          <w:szCs w:val="18"/>
        </w:rPr>
      </w:pPr>
      <w:r>
        <w:rPr>
          <w:rFonts w:hint="eastAsia" w:ascii="宋体" w:hAnsi="宋体" w:cs="宋体"/>
          <w:sz w:val="18"/>
          <w:szCs w:val="18"/>
          <w:lang w:val="en-US" w:eastAsia="zh-CN"/>
        </w:rPr>
        <w:t xml:space="preserve"> </w:t>
      </w:r>
      <w:r>
        <w:rPr>
          <w:rFonts w:ascii="宋体" w:hAnsi="宋体" w:eastAsia="宋体" w:cs="宋体"/>
          <w:sz w:val="18"/>
          <w:szCs w:val="18"/>
        </w:rPr>
        <w:t xml:space="preserve">法定代表人：戴志利   </w:t>
      </w:r>
      <w:r>
        <w:rPr>
          <w:rFonts w:hint="eastAsia" w:ascii="宋体" w:hAnsi="宋体" w:cs="宋体"/>
          <w:sz w:val="18"/>
          <w:szCs w:val="18"/>
          <w:lang w:val="en-US" w:eastAsia="zh-CN"/>
        </w:rPr>
        <w:t xml:space="preserve">              </w:t>
      </w:r>
      <w:r>
        <w:rPr>
          <w:rFonts w:ascii="宋体" w:hAnsi="宋体" w:eastAsia="宋体" w:cs="宋体"/>
          <w:sz w:val="18"/>
          <w:szCs w:val="18"/>
        </w:rPr>
        <w:t xml:space="preserve"> 主管会计工作负责人：严琦  </w:t>
      </w:r>
      <w:r>
        <w:rPr>
          <w:rFonts w:hint="eastAsia" w:ascii="宋体" w:hAnsi="宋体" w:cs="宋体"/>
          <w:sz w:val="18"/>
          <w:szCs w:val="18"/>
          <w:lang w:val="en-US" w:eastAsia="zh-CN"/>
        </w:rPr>
        <w:t xml:space="preserve">                 </w:t>
      </w:r>
      <w:r>
        <w:rPr>
          <w:rFonts w:ascii="宋体" w:hAnsi="宋体" w:eastAsia="宋体" w:cs="宋体"/>
          <w:sz w:val="18"/>
          <w:szCs w:val="18"/>
        </w:rPr>
        <w:t xml:space="preserve">  会计机构负责人：夏思维</w:t>
      </w:r>
    </w:p>
    <w:p>
      <w:pPr>
        <w:keepNext/>
        <w:keepLines/>
        <w:spacing w:before="300" w:after="300" w:line="280" w:lineRule="exact"/>
        <w:jc w:val="left"/>
        <w:outlineLvl w:val="2"/>
        <w:rPr>
          <w:rFonts w:ascii="宋体" w:hAnsi="宋体" w:eastAsia="宋体" w:cs="宋体"/>
          <w:b/>
          <w:bCs/>
          <w:sz w:val="21"/>
          <w:szCs w:val="21"/>
        </w:rPr>
      </w:pPr>
      <w:bookmarkStart w:id="100" w:name="_Toc988982"/>
      <w:r>
        <w:rPr>
          <w:rFonts w:hint="eastAsia" w:ascii="宋体" w:hAnsi="宋体" w:cs="宋体"/>
          <w:b/>
          <w:bCs/>
          <w:sz w:val="21"/>
          <w:szCs w:val="21"/>
          <w:lang w:eastAsia="zh-CN"/>
        </w:rPr>
        <w:t>（四）</w:t>
      </w:r>
      <w:r>
        <w:rPr>
          <w:rFonts w:ascii="宋体" w:hAnsi="宋体" w:eastAsia="宋体" w:cs="宋体"/>
          <w:b/>
          <w:bCs/>
          <w:sz w:val="21"/>
          <w:szCs w:val="21"/>
        </w:rPr>
        <w:t>母公司利润表</w:t>
      </w:r>
      <w:bookmarkEnd w:id="1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102,303,000.32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61,412,625.28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44,216,673.51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28,578,022.22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1,797,766.47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1,152,398.10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3,071,455.25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2,863,318.47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11,821,514.48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11,838,415.60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8,698,921.19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6,880,644.60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-4,467,176.23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-4,724,732.59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4,455,020.19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4,707,387.48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3,483,963.73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24,560,796.10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-2,412,636.53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-7,383,213.78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7,285,065.97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33,264,595.60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44,257,784.42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56,603.77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61,018.97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217,229.29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33,229,856.63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44,097,158.90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2,572,158.26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6,675,237.05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30,657,698.37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30,657,698.37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30,657,698.37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0.0535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0.0653</w:t>
            </w:r>
          </w:p>
        </w:tc>
      </w:tr>
    </w:tbl>
    <w:p>
      <w:pPr>
        <w:keepNext/>
        <w:keepLines/>
        <w:spacing w:before="300" w:after="300" w:line="280" w:lineRule="exact"/>
        <w:jc w:val="left"/>
        <w:outlineLvl w:val="2"/>
        <w:rPr>
          <w:rFonts w:ascii="宋体" w:hAnsi="宋体" w:eastAsia="宋体" w:cs="宋体"/>
          <w:b/>
          <w:bCs/>
          <w:sz w:val="21"/>
          <w:szCs w:val="21"/>
        </w:rPr>
      </w:pPr>
      <w:bookmarkStart w:id="101" w:name="_Toc988983"/>
      <w:r>
        <w:rPr>
          <w:rFonts w:hint="eastAsia" w:ascii="宋体" w:hAnsi="宋体" w:cs="宋体"/>
          <w:b/>
          <w:bCs/>
          <w:sz w:val="21"/>
          <w:szCs w:val="21"/>
          <w:lang w:eastAsia="zh-CN"/>
        </w:rPr>
        <w:t>（五）</w:t>
      </w:r>
      <w:r>
        <w:rPr>
          <w:rFonts w:ascii="宋体" w:hAnsi="宋体" w:eastAsia="宋体" w:cs="宋体"/>
          <w:b/>
          <w:bCs/>
          <w:sz w:val="21"/>
          <w:szCs w:val="21"/>
        </w:rPr>
        <w:t>合并现金流量表</w:t>
      </w:r>
      <w:bookmarkEnd w:id="1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240,572,948.76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255,968,976.02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8,652,583.34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32,097,575.38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24,858,476.29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27,626,002.24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274,084,008.39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315,692,553.64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155,737,522.57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162,817,191.63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93,133,450.48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84,753,724.14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24,631,160.77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13,046,348.64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37,533,221.55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26,877,307.41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311,035,355.37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287,494,571.82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-36,951,346.98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28,197,981.82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9,099,722.00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2,983,421.48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2,983,421.48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13,941,183.52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72,481,813.78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35,751,050.05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72,481,813.78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35,751,050.05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-69,498,392.30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-21,809,866.53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5,278,935.84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3,687,875.02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114,978,935.84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128,187,875.02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61,021,064.16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-28,687,875.02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52,722.33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58,947.31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-45,375,952.79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-22,240,812.42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494,192,403.78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442,310,129.79</w:t>
            </w:r>
          </w:p>
        </w:tc>
      </w:tr>
    </w:tbl>
    <w:p>
      <w:pPr>
        <w:keepNext/>
        <w:keepLines/>
        <w:spacing w:before="300" w:after="300" w:line="280" w:lineRule="exact"/>
        <w:jc w:val="left"/>
        <w:outlineLvl w:val="2"/>
        <w:rPr>
          <w:rFonts w:ascii="宋体" w:hAnsi="宋体" w:eastAsia="宋体" w:cs="宋体"/>
          <w:b/>
          <w:bCs/>
          <w:sz w:val="21"/>
          <w:szCs w:val="21"/>
        </w:rPr>
      </w:pPr>
      <w:bookmarkStart w:id="102" w:name="_Toc988984"/>
      <w:r>
        <w:rPr>
          <w:rFonts w:hint="eastAsia" w:ascii="宋体" w:hAnsi="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cs="宋体"/>
          <w:b/>
          <w:bCs/>
          <w:sz w:val="21"/>
          <w:szCs w:val="21"/>
          <w:lang w:eastAsia="zh-CN"/>
        </w:rPr>
        <w:t>）</w:t>
      </w:r>
      <w:r>
        <w:rPr>
          <w:rFonts w:ascii="宋体" w:hAnsi="宋体" w:eastAsia="宋体" w:cs="宋体"/>
          <w:b/>
          <w:bCs/>
          <w:sz w:val="21"/>
          <w:szCs w:val="21"/>
        </w:rPr>
        <w:t>母公司现金流量表</w:t>
      </w:r>
      <w:bookmarkEnd w:id="102"/>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2025年半年度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87,010,106.66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147,819,945.37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23,439,676.61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3,989,064.13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4,089,385.24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90,999,170.79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175,349,007.22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26,415,036.19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28,794,382.76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39,460,505.86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38,190,871.79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15,580,964.23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8,737,044.33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4,479,405.56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5,274,143.03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85,935,911.84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80,996,441.91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5,063,258.95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94,352,565.31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9,099,722.00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20,928,214.00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10,390,185.37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6,011,631.78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10,390,185.37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71,011,631.78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-10,390,185.37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-50,083,417.78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19,254.24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28,414.85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-5,307,672.18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44,297,562.38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324,290,855.16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248,943,141.20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318,983,182.98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293,240,703.58</w:t>
            </w:r>
          </w:p>
        </w:tc>
      </w:tr>
    </w:tbl>
    <w:p>
      <w:pPr>
        <w:keepNext/>
        <w:keepLines/>
        <w:spacing w:before="300" w:after="300" w:line="280" w:lineRule="exact"/>
        <w:jc w:val="left"/>
        <w:outlineLvl w:val="2"/>
        <w:rPr>
          <w:rFonts w:ascii="宋体" w:hAnsi="宋体" w:eastAsia="宋体" w:cs="宋体"/>
          <w:b/>
          <w:bCs/>
          <w:sz w:val="21"/>
          <w:szCs w:val="21"/>
        </w:rPr>
      </w:pPr>
      <w:bookmarkStart w:id="103" w:name="_Toc988985"/>
      <w:r>
        <w:rPr>
          <w:rFonts w:hint="eastAsia" w:ascii="宋体" w:hAnsi="宋体" w:cs="宋体"/>
          <w:b/>
          <w:bCs/>
          <w:sz w:val="21"/>
          <w:szCs w:val="21"/>
          <w:lang w:eastAsia="zh-CN"/>
        </w:rPr>
        <w:t>（</w:t>
      </w:r>
      <w:r>
        <w:rPr>
          <w:rFonts w:hint="eastAsia" w:ascii="宋体" w:hAnsi="宋体" w:cs="宋体"/>
          <w:b/>
          <w:bCs/>
          <w:sz w:val="21"/>
          <w:szCs w:val="21"/>
          <w:lang w:val="en-US" w:eastAsia="zh-CN"/>
        </w:rPr>
        <w:t>七</w:t>
      </w:r>
      <w:r>
        <w:rPr>
          <w:rFonts w:hint="eastAsia" w:ascii="宋体" w:hAnsi="宋体" w:cs="宋体"/>
          <w:b/>
          <w:bCs/>
          <w:sz w:val="21"/>
          <w:szCs w:val="21"/>
          <w:lang w:eastAsia="zh-CN"/>
        </w:rPr>
        <w:t>）</w:t>
      </w:r>
      <w:r>
        <w:rPr>
          <w:rFonts w:ascii="宋体" w:hAnsi="宋体" w:eastAsia="宋体" w:cs="宋体"/>
          <w:b/>
          <w:bCs/>
          <w:sz w:val="21"/>
          <w:szCs w:val="21"/>
        </w:rPr>
        <w:t>合并所有者权益变动表</w:t>
      </w:r>
      <w:bookmarkEnd w:id="103"/>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672"/>
        <w:gridCol w:w="454"/>
        <w:gridCol w:w="465"/>
        <w:gridCol w:w="463"/>
        <w:gridCol w:w="582"/>
        <w:gridCol w:w="455"/>
        <w:gridCol w:w="609"/>
        <w:gridCol w:w="454"/>
        <w:gridCol w:w="664"/>
        <w:gridCol w:w="600"/>
        <w:gridCol w:w="609"/>
        <w:gridCol w:w="473"/>
        <w:gridCol w:w="654"/>
        <w:gridCol w:w="609"/>
        <w:gridCol w:w="6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45"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2025年半年度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15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68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7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38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8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4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45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6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6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47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5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8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7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5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4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4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8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54" w:type="dxa"/>
            <w:vMerge w:val="continue"/>
            <w:tcBorders>
              <w:top w:val="single" w:color="auto" w:sz="2" w:space="0"/>
              <w:left w:val="single" w:color="auto" w:sz="2" w:space="0"/>
              <w:bottom w:val="single" w:color="auto" w:sz="2" w:space="0"/>
              <w:right w:val="single" w:color="auto" w:sz="2" w:space="0"/>
            </w:tcBorders>
            <w:vAlign w:val="center"/>
          </w:tcPr>
          <w:p/>
        </w:tc>
        <w:tc>
          <w:tcPr>
            <w:tcW w:w="6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7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5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8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2,051,550,964.21</w:t>
            </w: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21,811,935.95</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2,073,362,900.16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前期差错更正</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2,051,550,964.21</w:t>
            </w: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21,811,935.95</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2,073,362,900.16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8,461,729.59</w:t>
            </w: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8,461,729.59</w:t>
            </w: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-437,671.81</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8,024,057.78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8,461,729.59</w:t>
            </w: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8,461,729.59</w:t>
            </w: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-437,671.81</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8,024,057.78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4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-216,356,300.09</w:t>
            </w:r>
          </w:p>
        </w:tc>
        <w:tc>
          <w:tcPr>
            <w:tcW w:w="47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2,060,012,693.80</w:t>
            </w:r>
          </w:p>
        </w:tc>
        <w:tc>
          <w:tcPr>
            <w:tcW w:w="6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21,374,264.14</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2,081,386,957.94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0"/>
        <w:gridCol w:w="426"/>
        <w:gridCol w:w="446"/>
        <w:gridCol w:w="428"/>
        <w:gridCol w:w="627"/>
        <w:gridCol w:w="509"/>
        <w:gridCol w:w="600"/>
        <w:gridCol w:w="382"/>
        <w:gridCol w:w="691"/>
        <w:gridCol w:w="591"/>
        <w:gridCol w:w="672"/>
        <w:gridCol w:w="428"/>
        <w:gridCol w:w="627"/>
        <w:gridCol w:w="636"/>
        <w:gridCol w:w="6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45"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127"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63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68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30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6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6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38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专项储备</w:t>
            </w:r>
          </w:p>
        </w:tc>
        <w:tc>
          <w:tcPr>
            <w:tcW w:w="69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9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67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4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2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63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8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4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4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62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82" w:type="dxa"/>
            <w:vMerge w:val="continue"/>
            <w:tcBorders>
              <w:top w:val="single" w:color="auto" w:sz="2" w:space="0"/>
              <w:left w:val="single" w:color="auto" w:sz="2" w:space="0"/>
              <w:bottom w:val="single" w:color="auto" w:sz="2" w:space="0"/>
              <w:right w:val="single" w:color="auto" w:sz="2" w:space="0"/>
            </w:tcBorders>
            <w:vAlign w:val="center"/>
          </w:tcPr>
          <w:p/>
        </w:tc>
        <w:tc>
          <w:tcPr>
            <w:tcW w:w="69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9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7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28" w:type="dxa"/>
            <w:vMerge w:val="continue"/>
            <w:tcBorders>
              <w:top w:val="single" w:color="auto" w:sz="2" w:space="0"/>
              <w:left w:val="single" w:color="auto" w:sz="2" w:space="0"/>
              <w:bottom w:val="single" w:color="auto" w:sz="2" w:space="0"/>
              <w:right w:val="single" w:color="auto" w:sz="2" w:space="0"/>
            </w:tcBorders>
            <w:vAlign w:val="center"/>
          </w:tcPr>
          <w:p/>
        </w:tc>
        <w:tc>
          <w:tcPr>
            <w:tcW w:w="627" w:type="dxa"/>
            <w:vMerge w:val="continue"/>
            <w:tcBorders>
              <w:top w:val="single" w:color="auto" w:sz="2" w:space="0"/>
              <w:left w:val="single" w:color="auto" w:sz="2" w:space="0"/>
              <w:bottom w:val="single" w:color="auto" w:sz="2" w:space="0"/>
              <w:right w:val="single" w:color="auto" w:sz="2" w:space="0"/>
            </w:tcBorders>
            <w:vAlign w:val="center"/>
          </w:tcPr>
          <w:p/>
        </w:tc>
        <w:tc>
          <w:tcPr>
            <w:tcW w:w="63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8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2,121,710,261.36</w:t>
            </w: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23,019,058.37</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2,144,729,319.73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2,309,631.41</w:t>
            </w: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-274,998.79</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42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5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14,318,722.83</w:t>
            </w:r>
          </w:p>
        </w:tc>
        <w:tc>
          <w:tcPr>
            <w:tcW w:w="3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5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-161,706,298.09</w:t>
            </w:r>
          </w:p>
        </w:tc>
        <w:tc>
          <w:tcPr>
            <w:tcW w:w="4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2,124,019,892.77</w:t>
            </w:r>
          </w:p>
        </w:tc>
        <w:tc>
          <w:tcPr>
            <w:tcW w:w="6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22,744,059.58</w:t>
            </w:r>
          </w:p>
        </w:tc>
        <w:tc>
          <w:tcPr>
            <w:tcW w:w="6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2,146,763,952.35</w:t>
            </w:r>
          </w:p>
        </w:tc>
      </w:tr>
    </w:tbl>
    <w:p>
      <w:pPr>
        <w:keepNext/>
        <w:keepLines/>
        <w:spacing w:before="300" w:after="300" w:line="280" w:lineRule="exact"/>
        <w:jc w:val="left"/>
        <w:outlineLvl w:val="2"/>
        <w:rPr>
          <w:rFonts w:ascii="宋体" w:hAnsi="宋体" w:eastAsia="宋体" w:cs="宋体"/>
          <w:b/>
          <w:bCs/>
          <w:sz w:val="21"/>
          <w:szCs w:val="21"/>
        </w:rPr>
      </w:pPr>
      <w:bookmarkStart w:id="104" w:name="_Toc988986"/>
      <w:r>
        <w:rPr>
          <w:rFonts w:hint="eastAsia" w:ascii="宋体" w:hAnsi="宋体" w:cs="宋体"/>
          <w:b/>
          <w:bCs/>
          <w:sz w:val="21"/>
          <w:szCs w:val="21"/>
          <w:lang w:eastAsia="zh-CN"/>
        </w:rPr>
        <w:t>（</w:t>
      </w:r>
      <w:r>
        <w:rPr>
          <w:rFonts w:hint="eastAsia" w:ascii="宋体" w:hAnsi="宋体" w:cs="宋体"/>
          <w:b/>
          <w:bCs/>
          <w:sz w:val="21"/>
          <w:szCs w:val="21"/>
          <w:lang w:val="en-US" w:eastAsia="zh-CN"/>
        </w:rPr>
        <w:t>八</w:t>
      </w:r>
      <w:r>
        <w:rPr>
          <w:rFonts w:hint="eastAsia" w:ascii="宋体" w:hAnsi="宋体" w:cs="宋体"/>
          <w:b/>
          <w:bCs/>
          <w:sz w:val="21"/>
          <w:szCs w:val="21"/>
          <w:lang w:eastAsia="zh-CN"/>
        </w:rPr>
        <w:t>）</w:t>
      </w:r>
      <w:r>
        <w:rPr>
          <w:rFonts w:ascii="宋体" w:hAnsi="宋体" w:eastAsia="宋体" w:cs="宋体"/>
          <w:b/>
          <w:bCs/>
          <w:sz w:val="21"/>
          <w:szCs w:val="21"/>
        </w:rPr>
        <w:t>母公司所有者权益变动表</w:t>
      </w:r>
      <w:bookmarkEnd w:id="104"/>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54"/>
        <w:gridCol w:w="652"/>
        <w:gridCol w:w="703"/>
        <w:gridCol w:w="527"/>
        <w:gridCol w:w="782"/>
        <w:gridCol w:w="672"/>
        <w:gridCol w:w="831"/>
        <w:gridCol w:w="551"/>
        <w:gridCol w:w="746"/>
        <w:gridCol w:w="909"/>
        <w:gridCol w:w="409"/>
        <w:gridCol w:w="9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6"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2025年半年度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5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82"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8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7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83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5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4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9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4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9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5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8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7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3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51" w:type="dxa"/>
            <w:vMerge w:val="continue"/>
            <w:tcBorders>
              <w:top w:val="single" w:color="auto" w:sz="2" w:space="0"/>
              <w:left w:val="single" w:color="auto" w:sz="2" w:space="0"/>
              <w:bottom w:val="single" w:color="auto" w:sz="2" w:space="0"/>
              <w:right w:val="single" w:color="auto" w:sz="2" w:space="0"/>
            </w:tcBorders>
            <w:vAlign w:val="center"/>
          </w:tcPr>
          <w:p/>
        </w:tc>
        <w:tc>
          <w:tcPr>
            <w:tcW w:w="74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409" w:type="dxa"/>
            <w:vMerge w:val="continue"/>
            <w:tcBorders>
              <w:top w:val="single" w:color="auto" w:sz="2" w:space="0"/>
              <w:left w:val="single" w:color="auto" w:sz="2" w:space="0"/>
              <w:bottom w:val="single" w:color="auto" w:sz="2" w:space="0"/>
              <w:right w:val="single" w:color="auto" w:sz="2" w:space="0"/>
            </w:tcBorders>
            <w:vAlign w:val="center"/>
          </w:tcPr>
          <w:p/>
        </w:tc>
        <w:tc>
          <w:tcPr>
            <w:tcW w:w="9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-7,252,842.53</w:t>
            </w: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-125,162,792.20</w:t>
            </w: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2,129,559,020.58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-7,252,842.53</w:t>
            </w: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-125,162,792.20</w:t>
            </w: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2,129,559,020.58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30,657,698.37</w:t>
            </w: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30,657,698.37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30,657,698.37</w:t>
            </w: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30,657,698.37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5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5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2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6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-7,252,842.53</w:t>
            </w:r>
          </w:p>
        </w:tc>
        <w:tc>
          <w:tcPr>
            <w:tcW w:w="5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-94,505,093.83</w:t>
            </w:r>
          </w:p>
        </w:tc>
        <w:tc>
          <w:tcPr>
            <w:tcW w:w="4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2,160,216,718.95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72"/>
        <w:gridCol w:w="628"/>
        <w:gridCol w:w="681"/>
        <w:gridCol w:w="546"/>
        <w:gridCol w:w="763"/>
        <w:gridCol w:w="637"/>
        <w:gridCol w:w="894"/>
        <w:gridCol w:w="542"/>
        <w:gridCol w:w="755"/>
        <w:gridCol w:w="918"/>
        <w:gridCol w:w="391"/>
        <w:gridCol w:w="9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6"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2024年半年度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7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85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63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89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4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9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39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90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7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6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63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9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42" w:type="dxa"/>
            <w:vMerge w:val="continue"/>
            <w:tcBorders>
              <w:top w:val="single" w:color="auto" w:sz="2" w:space="0"/>
              <w:left w:val="single" w:color="auto" w:sz="2" w:space="0"/>
              <w:bottom w:val="single" w:color="auto" w:sz="2" w:space="0"/>
              <w:right w:val="single" w:color="auto" w:sz="2" w:space="0"/>
            </w:tcBorders>
            <w:vAlign w:val="center"/>
          </w:tcPr>
          <w:p/>
        </w:tc>
        <w:tc>
          <w:tcPr>
            <w:tcW w:w="7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91" w:type="dxa"/>
            <w:vMerge w:val="continue"/>
            <w:tcBorders>
              <w:top w:val="single" w:color="auto" w:sz="2" w:space="0"/>
              <w:left w:val="single" w:color="auto" w:sz="2" w:space="0"/>
              <w:bottom w:val="single" w:color="auto" w:sz="2" w:space="0"/>
              <w:right w:val="single" w:color="auto" w:sz="2" w:space="0"/>
            </w:tcBorders>
            <w:vAlign w:val="center"/>
          </w:tcPr>
          <w:p/>
        </w:tc>
        <w:tc>
          <w:tcPr>
            <w:tcW w:w="90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-166,142,604.32</w:t>
            </w: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2,109,713,139.71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37,421,921.85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7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6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68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1,668,928,880.35</w:t>
            </w:r>
          </w:p>
        </w:tc>
        <w:tc>
          <w:tcPr>
            <w:tcW w:w="63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13,881,088.72</w:t>
            </w:r>
          </w:p>
        </w:tc>
        <w:tc>
          <w:tcPr>
            <w:tcW w:w="5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91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-128,720,682.47</w:t>
            </w:r>
          </w:p>
        </w:tc>
        <w:tc>
          <w:tcPr>
            <w:tcW w:w="3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2,147,135,061.56</w:t>
            </w:r>
          </w:p>
        </w:tc>
      </w:tr>
    </w:tbl>
    <w:p>
      <w:pPr>
        <w:keepNext/>
        <w:keepLines/>
        <w:spacing w:before="300" w:after="300" w:line="320" w:lineRule="exact"/>
        <w:jc w:val="left"/>
        <w:outlineLvl w:val="1"/>
        <w:rPr>
          <w:rFonts w:ascii="宋体" w:hAnsi="宋体" w:eastAsia="宋体" w:cs="宋体"/>
          <w:b/>
          <w:bCs/>
          <w:sz w:val="24"/>
          <w:szCs w:val="24"/>
        </w:rPr>
      </w:pPr>
      <w:bookmarkStart w:id="105" w:name="_Toc988987"/>
      <w:r>
        <w:rPr>
          <w:rFonts w:ascii="宋体" w:hAnsi="宋体" w:eastAsia="宋体" w:cs="宋体"/>
          <w:b/>
          <w:bCs/>
          <w:sz w:val="24"/>
          <w:szCs w:val="24"/>
        </w:rPr>
        <w:t>三、公司基本情况</w:t>
      </w:r>
      <w:bookmarkEnd w:id="105"/>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firstLine="420"/>
        <w:jc w:val="left"/>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湖南博云新材料股份有限公司（以下简称“公司”或“本公司”）住所及注册地址：长沙市岳麓区高新技术产业开发区麓松路</w:t>
      </w:r>
      <w:r>
        <w:rPr>
          <w:rFonts w:hint="default" w:ascii="宋体" w:hAnsi="宋体" w:eastAsia="宋体" w:cs="宋体"/>
          <w:color w:val="000000"/>
          <w:sz w:val="21"/>
          <w:szCs w:val="21"/>
        </w:rPr>
        <w:t>500</w:t>
      </w:r>
      <w:r>
        <w:rPr>
          <w:rFonts w:hint="eastAsia" w:ascii="宋体" w:hAnsi="宋体" w:eastAsia="宋体" w:cs="宋体"/>
          <w:color w:val="000000"/>
          <w:sz w:val="21"/>
          <w:szCs w:val="21"/>
        </w:rPr>
        <w:t>号；统一社会信用代码：</w:t>
      </w:r>
      <w:r>
        <w:rPr>
          <w:rFonts w:hint="default" w:ascii="宋体" w:hAnsi="宋体" w:eastAsia="宋体" w:cs="宋体"/>
          <w:color w:val="000000"/>
          <w:sz w:val="21"/>
          <w:szCs w:val="21"/>
        </w:rPr>
        <w:t>91430000183898967C</w:t>
      </w:r>
      <w:r>
        <w:rPr>
          <w:rFonts w:hint="eastAsia" w:ascii="宋体" w:hAnsi="宋体" w:eastAsia="宋体" w:cs="宋体"/>
          <w:color w:val="000000"/>
          <w:sz w:val="21"/>
          <w:szCs w:val="21"/>
        </w:rPr>
        <w:t>；公司组织形式：其他股份有限公司</w:t>
      </w:r>
      <w:r>
        <w:rPr>
          <w:rFonts w:hint="default" w:ascii="宋体" w:hAnsi="宋体" w:eastAsia="宋体" w:cs="宋体"/>
          <w:color w:val="000000"/>
          <w:sz w:val="21"/>
          <w:szCs w:val="21"/>
        </w:rPr>
        <w:t>(</w:t>
      </w:r>
      <w:r>
        <w:rPr>
          <w:rFonts w:hint="eastAsia" w:ascii="宋体" w:hAnsi="宋体" w:eastAsia="宋体" w:cs="宋体"/>
          <w:color w:val="000000"/>
          <w:sz w:val="21"/>
          <w:szCs w:val="21"/>
        </w:rPr>
        <w:t>上市</w:t>
      </w:r>
      <w:r>
        <w:rPr>
          <w:rFonts w:hint="default" w:ascii="宋体" w:hAnsi="宋体" w:eastAsia="宋体" w:cs="宋体"/>
          <w:color w:val="000000"/>
          <w:sz w:val="21"/>
          <w:szCs w:val="21"/>
        </w:rPr>
        <w:t>)</w:t>
      </w:r>
      <w:r>
        <w:rPr>
          <w:rFonts w:hint="eastAsia" w:ascii="宋体" w:hAnsi="宋体" w:eastAsia="宋体" w:cs="宋体"/>
          <w:color w:val="000000"/>
          <w:sz w:val="21"/>
          <w:szCs w:val="21"/>
        </w:rPr>
        <w:t>；现任法定代表人：戴志利。</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firstLine="420"/>
        <w:jc w:val="left"/>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截至</w:t>
      </w:r>
      <w:r>
        <w:rPr>
          <w:rFonts w:hint="default" w:ascii="宋体" w:hAnsi="宋体" w:eastAsia="宋体" w:cs="宋体"/>
          <w:color w:val="000000"/>
          <w:sz w:val="21"/>
          <w:szCs w:val="21"/>
        </w:rPr>
        <w:t>2025</w:t>
      </w:r>
      <w:r>
        <w:rPr>
          <w:rFonts w:hint="eastAsia" w:ascii="宋体" w:hAnsi="宋体" w:eastAsia="宋体" w:cs="宋体"/>
          <w:color w:val="000000"/>
          <w:sz w:val="21"/>
          <w:szCs w:val="21"/>
        </w:rPr>
        <w:t>年</w:t>
      </w:r>
      <w:r>
        <w:rPr>
          <w:rFonts w:hint="default" w:ascii="宋体" w:hAnsi="宋体" w:eastAsia="宋体" w:cs="宋体"/>
          <w:color w:val="000000"/>
          <w:sz w:val="21"/>
          <w:szCs w:val="21"/>
        </w:rPr>
        <w:t>6</w:t>
      </w:r>
      <w:r>
        <w:rPr>
          <w:rFonts w:hint="eastAsia" w:ascii="宋体" w:hAnsi="宋体" w:eastAsia="宋体" w:cs="宋体"/>
          <w:color w:val="000000"/>
          <w:sz w:val="21"/>
          <w:szCs w:val="21"/>
        </w:rPr>
        <w:t>月</w:t>
      </w:r>
      <w:r>
        <w:rPr>
          <w:rFonts w:hint="default" w:ascii="宋体" w:hAnsi="宋体" w:eastAsia="宋体" w:cs="宋体"/>
          <w:color w:val="000000"/>
          <w:sz w:val="21"/>
          <w:szCs w:val="21"/>
        </w:rPr>
        <w:t>30</w:t>
      </w:r>
      <w:r>
        <w:rPr>
          <w:rFonts w:hint="eastAsia" w:ascii="宋体" w:hAnsi="宋体" w:eastAsia="宋体" w:cs="宋体"/>
          <w:color w:val="000000"/>
          <w:sz w:val="21"/>
          <w:szCs w:val="21"/>
        </w:rPr>
        <w:t>日止，本公司累计发行股本总数</w:t>
      </w:r>
      <w:r>
        <w:rPr>
          <w:rFonts w:hint="default" w:ascii="宋体" w:hAnsi="宋体" w:eastAsia="宋体" w:cs="宋体"/>
          <w:color w:val="000000"/>
          <w:sz w:val="21"/>
          <w:szCs w:val="21"/>
        </w:rPr>
        <w:t>573,104,819.00</w:t>
      </w:r>
      <w:r>
        <w:rPr>
          <w:rFonts w:hint="eastAsia" w:ascii="宋体" w:hAnsi="宋体" w:eastAsia="宋体" w:cs="宋体"/>
          <w:color w:val="000000"/>
          <w:sz w:val="21"/>
          <w:szCs w:val="21"/>
        </w:rPr>
        <w:t>股，注册资本为</w:t>
      </w:r>
      <w:r>
        <w:rPr>
          <w:rFonts w:hint="default" w:ascii="宋体" w:hAnsi="宋体" w:eastAsia="宋体" w:cs="宋体"/>
          <w:color w:val="000000"/>
          <w:sz w:val="21"/>
          <w:szCs w:val="21"/>
        </w:rPr>
        <w:t>573,104,819.00</w:t>
      </w:r>
      <w:r>
        <w:rPr>
          <w:rFonts w:hint="eastAsia" w:ascii="宋体" w:hAnsi="宋体" w:eastAsia="宋体" w:cs="宋体"/>
          <w:color w:val="000000"/>
          <w:sz w:val="21"/>
          <w:szCs w:val="21"/>
        </w:rPr>
        <w:t>元。本公司主要经营活动为：许可项目：民用航空器零部件设计和生产；民用航空器维修；火箭发动机研发与制造；检验检测服务（依法须经批准的项目，经相关部门批准后方可开展经营活动，具体经营项目以相关部门批准文件或许可证件为准）一般项目：高性能纤维及复合材料制造；高性能纤维及复合材料销售；锻件及粉末冶金制品制造；锻件及粉末冶金制品销售；民用航空材料销售；货物进出口；技术进出口；新材料技术研发；新材料技术推广服务；技术服务、技术开发、技术咨询、技术交流、技术转让、技术推广；非居住房地产租赁；住房租赁（除依法须经批准的项目外，凭营业执照依法自主开展经营活动）。公司的母公司为中南大学粉末冶金工程研究中心有限公司，实际控制人为湖南省人民政府国有资产监督管理委员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firstLine="420"/>
        <w:jc w:val="left"/>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本财务报表业经公司董事会于2025年8月25日批准报出。</w:t>
      </w:r>
    </w:p>
    <w:p>
      <w:pPr>
        <w:keepNext/>
        <w:keepLines/>
        <w:spacing w:before="300" w:after="300" w:line="320" w:lineRule="exact"/>
        <w:jc w:val="left"/>
        <w:outlineLvl w:val="1"/>
        <w:rPr>
          <w:rFonts w:ascii="宋体" w:hAnsi="宋体" w:eastAsia="宋体" w:cs="宋体"/>
          <w:b/>
          <w:bCs/>
          <w:sz w:val="24"/>
          <w:szCs w:val="24"/>
        </w:rPr>
      </w:pPr>
      <w:bookmarkStart w:id="106" w:name="_Toc988988"/>
      <w:r>
        <w:rPr>
          <w:rFonts w:ascii="宋体" w:hAnsi="宋体" w:eastAsia="宋体" w:cs="宋体"/>
          <w:b/>
          <w:bCs/>
          <w:sz w:val="24"/>
          <w:szCs w:val="24"/>
        </w:rPr>
        <w:t>四、财务报表的编制基础</w:t>
      </w:r>
      <w:bookmarkEnd w:id="106"/>
    </w:p>
    <w:p>
      <w:pPr>
        <w:keepNext/>
        <w:keepLines/>
        <w:spacing w:before="300" w:after="300" w:line="280" w:lineRule="exact"/>
        <w:jc w:val="left"/>
        <w:outlineLvl w:val="2"/>
        <w:rPr>
          <w:rFonts w:ascii="宋体" w:hAnsi="宋体" w:eastAsia="宋体" w:cs="宋体"/>
          <w:b/>
          <w:bCs/>
          <w:sz w:val="21"/>
          <w:szCs w:val="21"/>
        </w:rPr>
      </w:pPr>
      <w:bookmarkStart w:id="107" w:name="_Toc988989"/>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编制基础</w:t>
      </w:r>
      <w:bookmarkEnd w:id="107"/>
    </w:p>
    <w:p>
      <w:pPr>
        <w:pStyle w:val="4"/>
        <w:keepNext w:val="0"/>
        <w:keepLines w:val="0"/>
        <w:widowControl/>
        <w:suppressLineNumbers w:val="0"/>
        <w:spacing w:before="240" w:beforeAutospacing="0" w:after="12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号——财务报告的一般规定》的相关规定编制。</w:t>
      </w:r>
    </w:p>
    <w:p>
      <w:pPr>
        <w:keepNext/>
        <w:keepLines/>
        <w:spacing w:before="300" w:after="300" w:line="280" w:lineRule="exact"/>
        <w:jc w:val="left"/>
        <w:outlineLvl w:val="2"/>
        <w:rPr>
          <w:rFonts w:ascii="宋体" w:hAnsi="宋体" w:eastAsia="宋体" w:cs="宋体"/>
          <w:b/>
          <w:bCs/>
          <w:sz w:val="21"/>
          <w:szCs w:val="21"/>
        </w:rPr>
      </w:pPr>
      <w:bookmarkStart w:id="108" w:name="_Toc988990"/>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持续经营</w:t>
      </w:r>
      <w:bookmarkEnd w:id="108"/>
    </w:p>
    <w:p>
      <w:pPr>
        <w:pStyle w:val="4"/>
        <w:keepNext w:val="0"/>
        <w:keepLines w:val="0"/>
        <w:widowControl/>
        <w:suppressLineNumbers w:val="0"/>
        <w:spacing w:before="240" w:beforeAutospacing="0" w:after="12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本财务报表以持续经营为基础编制。</w:t>
      </w:r>
    </w:p>
    <w:p>
      <w:pPr>
        <w:keepNext/>
        <w:keepLines/>
        <w:spacing w:before="300" w:after="300" w:line="560" w:lineRule="exact"/>
        <w:jc w:val="left"/>
        <w:outlineLvl w:val="1"/>
        <w:rPr>
          <w:rFonts w:ascii="宋体" w:hAnsi="宋体" w:eastAsia="宋体" w:cs="宋体"/>
          <w:b/>
          <w:bCs/>
          <w:sz w:val="24"/>
          <w:szCs w:val="24"/>
        </w:rPr>
      </w:pPr>
      <w:bookmarkStart w:id="109" w:name="_Toc988991"/>
      <w:r>
        <w:rPr>
          <w:rFonts w:ascii="宋体" w:hAnsi="宋体" w:eastAsia="宋体" w:cs="宋体"/>
          <w:b/>
          <w:bCs/>
          <w:sz w:val="24"/>
          <w:szCs w:val="24"/>
        </w:rPr>
        <w:t>五、重要会计政策及会计估计</w:t>
      </w:r>
      <w:bookmarkEnd w:id="109"/>
    </w:p>
    <w:p>
      <w:pPr>
        <w:spacing w:before="100" w:after="100" w:line="240" w:lineRule="exact"/>
        <w:jc w:val="left"/>
        <w:rPr>
          <w:rFonts w:ascii="宋体" w:hAnsi="宋体" w:eastAsia="宋体" w:cs="宋体"/>
          <w:sz w:val="21"/>
          <w:szCs w:val="21"/>
        </w:rPr>
      </w:pPr>
      <w:r>
        <w:rPr>
          <w:rFonts w:ascii="宋体" w:hAnsi="宋体" w:eastAsia="宋体" w:cs="宋体"/>
          <w:sz w:val="21"/>
          <w:szCs w:val="21"/>
        </w:rPr>
        <w:t>具体会计政策和会计估计提示：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本公司根据实际生产经营特点制定了应收款项、固定资产、无形资产、收入确认等具体会计政策和会计估计。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10" w:name="_Toc988992"/>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遵循企业会计准则的声明</w:t>
      </w:r>
      <w:bookmarkEnd w:id="110"/>
    </w:p>
    <w:p>
      <w:pPr>
        <w:pStyle w:val="4"/>
        <w:keepNext w:val="0"/>
        <w:keepLines w:val="0"/>
        <w:pageBreakBefore w:val="0"/>
        <w:widowControl w:val="0"/>
        <w:suppressLineNumbers w:val="0"/>
        <w:kinsoku/>
        <w:wordWrap/>
        <w:overflowPunct/>
        <w:topLinePunct w:val="0"/>
        <w:autoSpaceDE/>
        <w:autoSpaceDN/>
        <w:bidi w:val="0"/>
        <w:adjustRightInd/>
        <w:snapToGrid/>
        <w:spacing w:before="100" w:beforeAutospacing="0" w:after="100" w:afterAutospacing="0"/>
        <w:ind w:left="0" w:right="0"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本财务报表符合财政部颁布的企业会计准则的要求，真实、完整地反映了本公司</w:t>
      </w:r>
      <w:r>
        <w:rPr>
          <w:rFonts w:hint="default" w:ascii="Times New Roman" w:hAnsi="Times New Roman" w:eastAsia="宋体" w:cs="Times New Roman"/>
          <w:color w:val="000000"/>
          <w:sz w:val="21"/>
          <w:szCs w:val="21"/>
        </w:rPr>
        <w:t>2025</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日的合并及母公司财务状况以及</w:t>
      </w:r>
      <w:r>
        <w:rPr>
          <w:rFonts w:hint="default" w:ascii="Times New Roman" w:hAnsi="Times New Roman" w:eastAsia="宋体" w:cs="Times New Roman"/>
          <w:color w:val="000000"/>
          <w:sz w:val="21"/>
          <w:szCs w:val="21"/>
        </w:rPr>
        <w:t>2025</w:t>
      </w:r>
      <w:r>
        <w:rPr>
          <w:rFonts w:hint="eastAsia" w:ascii="宋体" w:hAnsi="宋体" w:eastAsia="宋体" w:cs="宋体"/>
          <w:color w:val="000000"/>
          <w:sz w:val="21"/>
          <w:szCs w:val="21"/>
        </w:rPr>
        <w:t>年1-6月的合并及母公司经营成果和现金流量。</w:t>
      </w:r>
      <w:bookmarkStart w:id="111" w:name="_Toc988993"/>
    </w:p>
    <w:p>
      <w:pPr>
        <w:keepNext/>
        <w:keepLines/>
        <w:spacing w:before="300" w:after="300" w:line="280" w:lineRule="exact"/>
        <w:jc w:val="left"/>
        <w:outlineLvl w:val="2"/>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）会计期间</w:t>
      </w:r>
      <w:bookmarkEnd w:id="111"/>
    </w:p>
    <w:p>
      <w:pPr>
        <w:pStyle w:val="4"/>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自公历</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日起至</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31</w:t>
      </w:r>
      <w:r>
        <w:rPr>
          <w:rFonts w:hint="eastAsia" w:ascii="宋体" w:hAnsi="宋体" w:eastAsia="宋体" w:cs="宋体"/>
          <w:color w:val="000000"/>
          <w:sz w:val="21"/>
          <w:szCs w:val="21"/>
        </w:rPr>
        <w:t>日止为一个会计年度。</w:t>
      </w:r>
    </w:p>
    <w:p>
      <w:pPr>
        <w:keepNext/>
        <w:keepLines/>
        <w:spacing w:before="300" w:after="300" w:line="280" w:lineRule="exact"/>
        <w:jc w:val="left"/>
        <w:outlineLvl w:val="2"/>
        <w:rPr>
          <w:rFonts w:ascii="宋体" w:hAnsi="宋体" w:eastAsia="宋体" w:cs="宋体"/>
          <w:b/>
          <w:bCs/>
          <w:sz w:val="21"/>
          <w:szCs w:val="21"/>
        </w:rPr>
      </w:pPr>
      <w:bookmarkStart w:id="112" w:name="_Toc988994"/>
      <w:r>
        <w:rPr>
          <w:rFonts w:hint="eastAsia" w:ascii="宋体" w:hAnsi="宋体" w:cs="宋体"/>
          <w:b/>
          <w:bCs/>
          <w:sz w:val="21"/>
          <w:szCs w:val="21"/>
          <w:lang w:eastAsia="zh-CN"/>
        </w:rPr>
        <w:t>（三）</w:t>
      </w:r>
      <w:r>
        <w:rPr>
          <w:rFonts w:ascii="宋体" w:hAnsi="宋体" w:eastAsia="宋体" w:cs="宋体"/>
          <w:b/>
          <w:bCs/>
          <w:sz w:val="21"/>
          <w:szCs w:val="21"/>
        </w:rPr>
        <w:t>营业周期</w:t>
      </w:r>
      <w:bookmarkEnd w:id="112"/>
    </w:p>
    <w:p>
      <w:pPr>
        <w:pStyle w:val="4"/>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本公司营业周期为</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个月。</w:t>
      </w:r>
    </w:p>
    <w:p>
      <w:pPr>
        <w:keepNext/>
        <w:keepLines/>
        <w:spacing w:before="300" w:after="300" w:line="280" w:lineRule="exact"/>
        <w:jc w:val="left"/>
        <w:outlineLvl w:val="2"/>
        <w:rPr>
          <w:rFonts w:ascii="宋体" w:hAnsi="宋体" w:eastAsia="宋体" w:cs="宋体"/>
          <w:b/>
          <w:bCs/>
          <w:sz w:val="21"/>
          <w:szCs w:val="21"/>
        </w:rPr>
      </w:pPr>
      <w:bookmarkStart w:id="113" w:name="_Toc988995"/>
      <w:r>
        <w:rPr>
          <w:rFonts w:hint="eastAsia" w:ascii="宋体" w:hAnsi="宋体" w:cs="宋体"/>
          <w:b/>
          <w:bCs/>
          <w:sz w:val="21"/>
          <w:szCs w:val="21"/>
          <w:lang w:eastAsia="zh-CN"/>
        </w:rPr>
        <w:t>（四）</w:t>
      </w:r>
      <w:r>
        <w:rPr>
          <w:rFonts w:ascii="宋体" w:hAnsi="宋体" w:eastAsia="宋体" w:cs="宋体"/>
          <w:b/>
          <w:bCs/>
          <w:sz w:val="21"/>
          <w:szCs w:val="21"/>
        </w:rPr>
        <w:t>记账本位币</w:t>
      </w:r>
      <w:bookmarkEnd w:id="113"/>
    </w:p>
    <w:p>
      <w:pPr>
        <w:pStyle w:val="4"/>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本公司采用人民币为记账本位币。</w:t>
      </w:r>
    </w:p>
    <w:p>
      <w:pPr>
        <w:keepNext/>
        <w:keepLines/>
        <w:spacing w:before="300" w:after="300" w:line="280" w:lineRule="exact"/>
        <w:jc w:val="left"/>
        <w:outlineLvl w:val="2"/>
        <w:rPr>
          <w:rFonts w:ascii="宋体" w:hAnsi="宋体" w:eastAsia="宋体" w:cs="宋体"/>
          <w:b/>
          <w:bCs/>
          <w:sz w:val="21"/>
          <w:szCs w:val="21"/>
        </w:rPr>
      </w:pPr>
      <w:bookmarkStart w:id="114" w:name="_Toc988996"/>
      <w:r>
        <w:rPr>
          <w:rFonts w:hint="eastAsia" w:ascii="宋体" w:hAnsi="宋体" w:cs="宋体"/>
          <w:b/>
          <w:bCs/>
          <w:sz w:val="21"/>
          <w:szCs w:val="21"/>
          <w:lang w:eastAsia="zh-CN"/>
        </w:rPr>
        <w:t>（五）</w:t>
      </w:r>
      <w:r>
        <w:rPr>
          <w:rFonts w:ascii="宋体" w:hAnsi="宋体" w:eastAsia="宋体" w:cs="宋体"/>
          <w:b/>
          <w:bCs/>
          <w:sz w:val="21"/>
          <w:szCs w:val="21"/>
        </w:rPr>
        <w:t>重要性标准确定方法和选择依据</w:t>
      </w:r>
      <w:bookmarkEnd w:id="11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15" w:name="_Toc988997"/>
      <w:r>
        <w:rPr>
          <w:rFonts w:hint="eastAsia" w:ascii="宋体" w:hAnsi="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cs="宋体"/>
          <w:b/>
          <w:bCs/>
          <w:sz w:val="21"/>
          <w:szCs w:val="21"/>
          <w:lang w:eastAsia="zh-CN"/>
        </w:rPr>
        <w:t>）</w:t>
      </w:r>
      <w:r>
        <w:rPr>
          <w:rFonts w:ascii="宋体" w:hAnsi="宋体" w:eastAsia="宋体" w:cs="宋体"/>
          <w:b/>
          <w:bCs/>
          <w:sz w:val="21"/>
          <w:szCs w:val="21"/>
        </w:rPr>
        <w:t>同一控制下和非同一控制下企业合并的会计处理方法</w:t>
      </w:r>
      <w:bookmarkEnd w:id="115"/>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为企业合并发生的直接相关费用于发生时计入当期损益；为企业合并而发行权益性证券或债务性证券的交易费用，计入权益性证券或债务性证券的初始确认金额。</w:t>
      </w:r>
      <w:r>
        <w:rPr>
          <w:rFonts w:hint="default" w:ascii="Times New Roman" w:hAnsi="Times New Roman" w:eastAsia="宋体" w:cs="Times New Roman"/>
          <w:color w:val="000000"/>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116" w:name="_Toc988998"/>
      <w:r>
        <w:rPr>
          <w:rFonts w:hint="eastAsia" w:ascii="宋体" w:hAnsi="宋体" w:cs="宋体"/>
          <w:b/>
          <w:bCs/>
          <w:sz w:val="21"/>
          <w:szCs w:val="21"/>
          <w:lang w:eastAsia="zh-CN"/>
        </w:rPr>
        <w:t>（七）</w:t>
      </w:r>
      <w:r>
        <w:rPr>
          <w:rFonts w:ascii="宋体" w:hAnsi="宋体" w:eastAsia="宋体" w:cs="宋体"/>
          <w:b/>
          <w:bCs/>
          <w:sz w:val="21"/>
          <w:szCs w:val="21"/>
        </w:rPr>
        <w:t>控制的判断标准和合并财务报表的编制方法</w:t>
      </w:r>
      <w:bookmarkEnd w:id="11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控制的判断标准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2. </w:t>
      </w:r>
      <w:r>
        <w:rPr>
          <w:rFonts w:hint="eastAsia" w:ascii="Times New Roman" w:hAnsi="Times New Roman" w:eastAsia="宋体" w:cs="Times New Roman"/>
          <w:color w:val="000000"/>
          <w:sz w:val="21"/>
          <w:szCs w:val="21"/>
        </w:rPr>
        <w:t>合并程序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）增加子公司或业务</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在报告期内，因非同一控制下企业合并增加子公司或业务的，以购买日确定的各项可辨认资产、负债及或有负债的公允价值为基础自购买日起纳入合并财务报表。</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）处置子公司</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）一般处理方法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）分步处置子公司</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通过多次交易分步处置对子公司股权投资直至丧失控制权的，处置对子公司股权投资的各项交易的条款、条件以及经济影响符合以下一种或多种情况，通常表明该多次交易事项为一揽子交易：</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ⅰ．这些交易是同时或者在考虑了彼此影响的情况下订立的；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ⅱ．这些交易整体才能达成一项完整的商业结果；</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ⅲ．一项交易的发生取决于其他至少一项交易的发生；</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ⅳ．一项交易单独看是不经济的，但是和其他交易一并考虑时是经济的。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各项交易不属于一揽子交易的，在丧失控制权之前，按不丧失控制权的情况下部分处置对子公司的股权投资进行会计处理；在丧失控制权时，按处置子公司一般处理方法进行会计处理。</w:t>
      </w:r>
    </w:p>
    <w:p>
      <w:pPr>
        <w:pStyle w:val="4"/>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购买子公司少数股权</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420" w:firstLineChars="200"/>
        <w:jc w:val="left"/>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rPr>
        <w:t>4</w:t>
      </w:r>
      <w:r>
        <w:rPr>
          <w:rFonts w:hint="eastAsia" w:ascii="Times New Roman" w:hAnsi="Times New Roman" w:eastAsia="宋体" w:cs="Times New Roman"/>
          <w:color w:val="000000"/>
          <w:sz w:val="21"/>
          <w:szCs w:val="21"/>
        </w:rPr>
        <w:t>）不丧失控制权的情况下部分处置对子公司的股权投资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280" w:lineRule="exact"/>
        <w:jc w:val="left"/>
        <w:outlineLvl w:val="2"/>
        <w:rPr>
          <w:rFonts w:ascii="宋体" w:hAnsi="宋体" w:eastAsia="宋体" w:cs="宋体"/>
          <w:b/>
          <w:bCs/>
          <w:sz w:val="21"/>
          <w:szCs w:val="21"/>
        </w:rPr>
      </w:pPr>
      <w:bookmarkStart w:id="117" w:name="_Toc988999"/>
      <w:r>
        <w:rPr>
          <w:rFonts w:hint="eastAsia" w:ascii="宋体" w:hAnsi="宋体" w:cs="宋体"/>
          <w:b/>
          <w:bCs/>
          <w:sz w:val="21"/>
          <w:szCs w:val="21"/>
          <w:lang w:eastAsia="zh-CN"/>
        </w:rPr>
        <w:t>（</w:t>
      </w:r>
      <w:r>
        <w:rPr>
          <w:rFonts w:hint="eastAsia" w:ascii="宋体" w:hAnsi="宋体" w:cs="宋体"/>
          <w:b/>
          <w:bCs/>
          <w:sz w:val="21"/>
          <w:szCs w:val="21"/>
          <w:lang w:val="en-US" w:eastAsia="zh-CN"/>
        </w:rPr>
        <w:t>八</w:t>
      </w:r>
      <w:r>
        <w:rPr>
          <w:rFonts w:hint="eastAsia" w:ascii="宋体" w:hAnsi="宋体" w:cs="宋体"/>
          <w:b/>
          <w:bCs/>
          <w:sz w:val="21"/>
          <w:szCs w:val="21"/>
          <w:lang w:eastAsia="zh-CN"/>
        </w:rPr>
        <w:t>）</w:t>
      </w:r>
      <w:r>
        <w:rPr>
          <w:rFonts w:ascii="宋体" w:hAnsi="宋体" w:eastAsia="宋体" w:cs="宋体"/>
          <w:b/>
          <w:bCs/>
          <w:sz w:val="21"/>
          <w:szCs w:val="21"/>
        </w:rPr>
        <w:t>合营安排分类及共同经营会计处理方法</w:t>
      </w:r>
      <w:bookmarkEnd w:id="117"/>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合营安排分为共同经营和合营企业。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共同经营，是指合营方享有该安排相关资产且承担该安排相关负债的合营安排。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本公司确认与共同经营中利益份额相关的下列项目：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①确认本公司单独所持有的资产，以及按本公司份额确认共同持有的资产；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②确认本公司单独所承担的负债，以及按本公司份额确认共同承担的负债；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③确认出售本公司享有的共同经营产出份额所产生的收入；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④按本公司份额确认共同经营因出售产出所产生的收入；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⑤确认单独所发生的费用，以及按本公司份额确认共同经营发生的费用。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本公司对合营企业的投资采用权益法核算，详见本附注“七、</w:t>
      </w:r>
      <w:r>
        <w:rPr>
          <w:rFonts w:hint="default" w:ascii="Times New Roman" w:hAnsi="Times New Roman" w:eastAsia="宋体" w:cs="Times New Roman"/>
          <w:color w:val="000000"/>
          <w:sz w:val="21"/>
          <w:szCs w:val="21"/>
        </w:rPr>
        <w:t>12.</w:t>
      </w:r>
      <w:r>
        <w:rPr>
          <w:rFonts w:hint="eastAsia" w:ascii="Times New Roman" w:hAnsi="Times New Roman" w:eastAsia="宋体" w:cs="Times New Roman"/>
          <w:color w:val="000000"/>
          <w:sz w:val="21"/>
          <w:szCs w:val="21"/>
        </w:rPr>
        <w:t>长期股权投资”。</w:t>
      </w:r>
      <w:r>
        <w:rPr>
          <w:rFonts w:hint="default" w:ascii="Times New Roman" w:hAnsi="Times New Roman" w:eastAsia="宋体" w:cs="Times New Roman"/>
          <w:color w:val="000000"/>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118" w:name="_Toc989000"/>
      <w:r>
        <w:rPr>
          <w:rFonts w:hint="eastAsia" w:ascii="宋体" w:hAnsi="宋体" w:cs="宋体"/>
          <w:b/>
          <w:bCs/>
          <w:sz w:val="21"/>
          <w:szCs w:val="21"/>
          <w:lang w:eastAsia="zh-CN"/>
        </w:rPr>
        <w:t>（</w:t>
      </w:r>
      <w:r>
        <w:rPr>
          <w:rFonts w:hint="eastAsia" w:ascii="宋体" w:hAnsi="宋体" w:cs="宋体"/>
          <w:b/>
          <w:bCs/>
          <w:sz w:val="21"/>
          <w:szCs w:val="21"/>
          <w:lang w:val="en-US" w:eastAsia="zh-CN"/>
        </w:rPr>
        <w:t>九</w:t>
      </w:r>
      <w:r>
        <w:rPr>
          <w:rFonts w:hint="eastAsia" w:ascii="宋体" w:hAnsi="宋体" w:cs="宋体"/>
          <w:b/>
          <w:bCs/>
          <w:sz w:val="21"/>
          <w:szCs w:val="21"/>
          <w:lang w:eastAsia="zh-CN"/>
        </w:rPr>
        <w:t>）</w:t>
      </w:r>
      <w:r>
        <w:rPr>
          <w:rFonts w:ascii="宋体" w:hAnsi="宋体" w:eastAsia="宋体" w:cs="宋体"/>
          <w:b/>
          <w:bCs/>
          <w:sz w:val="21"/>
          <w:szCs w:val="21"/>
        </w:rPr>
        <w:t>现金及现金等价物的确定标准</w:t>
      </w:r>
      <w:bookmarkEnd w:id="118"/>
    </w:p>
    <w:p>
      <w:pPr>
        <w:pStyle w:val="4"/>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现金，是指本公司的库存现金以及可以随时用于支付的存款。现金等价物，是指本公司持有的期限短、流动性强、易于转换为已知金额的现金、价值变动风险很小的投资。</w:t>
      </w:r>
    </w:p>
    <w:p>
      <w:pPr>
        <w:keepNext/>
        <w:keepLines/>
        <w:spacing w:before="300" w:after="300" w:line="280" w:lineRule="exact"/>
        <w:jc w:val="left"/>
        <w:outlineLvl w:val="2"/>
        <w:rPr>
          <w:rFonts w:ascii="宋体" w:hAnsi="宋体" w:eastAsia="宋体" w:cs="宋体"/>
          <w:b/>
          <w:bCs/>
          <w:sz w:val="21"/>
          <w:szCs w:val="21"/>
        </w:rPr>
      </w:pPr>
      <w:bookmarkStart w:id="119" w:name="_Toc989001"/>
      <w:r>
        <w:rPr>
          <w:rFonts w:hint="eastAsia" w:ascii="宋体" w:hAnsi="宋体" w:cs="宋体"/>
          <w:b/>
          <w:bCs/>
          <w:sz w:val="21"/>
          <w:szCs w:val="21"/>
          <w:lang w:eastAsia="zh-CN"/>
        </w:rPr>
        <w:t>（</w:t>
      </w:r>
      <w:r>
        <w:rPr>
          <w:rFonts w:hint="eastAsia" w:ascii="宋体" w:hAnsi="宋体" w:cs="宋体"/>
          <w:b/>
          <w:bCs/>
          <w:sz w:val="21"/>
          <w:szCs w:val="21"/>
          <w:lang w:val="en-US" w:eastAsia="zh-CN"/>
        </w:rPr>
        <w:t>十</w:t>
      </w:r>
      <w:r>
        <w:rPr>
          <w:rFonts w:hint="eastAsia" w:ascii="宋体" w:hAnsi="宋体" w:cs="宋体"/>
          <w:b/>
          <w:bCs/>
          <w:sz w:val="21"/>
          <w:szCs w:val="21"/>
          <w:lang w:eastAsia="zh-CN"/>
        </w:rPr>
        <w:t>）</w:t>
      </w:r>
      <w:r>
        <w:rPr>
          <w:rFonts w:ascii="宋体" w:hAnsi="宋体" w:eastAsia="宋体" w:cs="宋体"/>
          <w:b/>
          <w:bCs/>
          <w:sz w:val="21"/>
          <w:szCs w:val="21"/>
        </w:rPr>
        <w:t>外币业务和外币报表折算</w:t>
      </w:r>
      <w:bookmarkEnd w:id="119"/>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外币业务采用交易发生日的即期汇率作为折算汇率将外币金额折合成人民币记账。</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r>
        <w:rPr>
          <w:rFonts w:hint="default" w:ascii="Times New Roman" w:hAnsi="Times New Roman" w:eastAsia="宋体" w:cs="Times New Roman"/>
          <w:color w:val="000000"/>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120" w:name="_Toc989002"/>
      <w:r>
        <w:rPr>
          <w:rFonts w:hint="eastAsia" w:ascii="宋体" w:hAnsi="宋体" w:cs="宋体"/>
          <w:b/>
          <w:bCs/>
          <w:sz w:val="21"/>
          <w:szCs w:val="21"/>
          <w:lang w:eastAsia="zh-CN"/>
        </w:rPr>
        <w:t>（</w:t>
      </w:r>
      <w:r>
        <w:rPr>
          <w:rFonts w:hint="eastAsia" w:ascii="宋体" w:hAnsi="宋体" w:cs="宋体"/>
          <w:b/>
          <w:bCs/>
          <w:sz w:val="21"/>
          <w:szCs w:val="21"/>
          <w:lang w:val="en-US" w:eastAsia="zh-CN"/>
        </w:rPr>
        <w:t>十一</w:t>
      </w:r>
      <w:r>
        <w:rPr>
          <w:rFonts w:hint="eastAsia" w:ascii="宋体" w:hAnsi="宋体" w:cs="宋体"/>
          <w:b/>
          <w:bCs/>
          <w:sz w:val="21"/>
          <w:szCs w:val="21"/>
          <w:lang w:eastAsia="zh-CN"/>
        </w:rPr>
        <w:t>）</w:t>
      </w:r>
      <w:r>
        <w:rPr>
          <w:rFonts w:ascii="宋体" w:hAnsi="宋体" w:eastAsia="宋体" w:cs="宋体"/>
          <w:b/>
          <w:bCs/>
          <w:sz w:val="21"/>
          <w:szCs w:val="21"/>
        </w:rPr>
        <w:t>金融工具</w:t>
      </w:r>
      <w:bookmarkEnd w:id="120"/>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本公司在成为金融工具合同的一方时，确认一项金融资产、金融负债或权益工具。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1. </w:t>
      </w:r>
      <w:r>
        <w:rPr>
          <w:rFonts w:hint="eastAsia" w:ascii="Times New Roman" w:hAnsi="Times New Roman" w:eastAsia="宋体" w:cs="Times New Roman"/>
          <w:color w:val="000000"/>
          <w:sz w:val="21"/>
          <w:szCs w:val="21"/>
        </w:rPr>
        <w:t>金融工具的分类</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本公司将同时符合下列条件且未被指定为以公允价值计量且其变动计入当期损益的金融资产，分类为以摊余成本计量的金融资产：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①</w:t>
      </w:r>
      <w:r>
        <w:rPr>
          <w:rFonts w:hint="eastAsia" w:ascii="宋体" w:hAnsi="宋体" w:eastAsia="宋体" w:cs="宋体"/>
          <w:color w:val="000000"/>
          <w:sz w:val="21"/>
          <w:szCs w:val="21"/>
        </w:rPr>
        <w:t>业务模式是以收取合同现金流量为目标；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②</w:t>
      </w:r>
      <w:r>
        <w:rPr>
          <w:rFonts w:hint="eastAsia" w:ascii="宋体" w:hAnsi="宋体" w:eastAsia="宋体" w:cs="宋体"/>
          <w:color w:val="000000"/>
          <w:sz w:val="21"/>
          <w:szCs w:val="21"/>
        </w:rPr>
        <w:t>合同现金流量仅为对本金和以未偿付本金金额为基础的利息的支付。</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本公司将同时符合下列条件且未被指定为以公允价值计量且其变动计入当期损益的金融资产，分类为以公允价值计量且其变动计入其他综合收益的金融资产（债务工具）：</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①</w:t>
      </w:r>
      <w:r>
        <w:rPr>
          <w:rFonts w:hint="eastAsia" w:ascii="宋体" w:hAnsi="宋体" w:eastAsia="宋体" w:cs="宋体"/>
          <w:color w:val="000000"/>
          <w:sz w:val="21"/>
          <w:szCs w:val="21"/>
        </w:rPr>
        <w:t>业务模式既以收取合同现金流量又以出售该金融资产为目标；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② </w:t>
      </w:r>
      <w:r>
        <w:rPr>
          <w:rFonts w:hint="eastAsia" w:ascii="宋体" w:hAnsi="宋体" w:eastAsia="宋体" w:cs="宋体"/>
          <w:color w:val="000000"/>
          <w:sz w:val="21"/>
          <w:szCs w:val="21"/>
        </w:rPr>
        <w:t>合同现金流量仅为对本金和以未偿付本金金额为基础的利息的支付。</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余成本计量或以公允价值计量且其变动计入其他综合收益的金融资产不可撤销地指定为以公允价值计量且其变动计入当期损益的金融资产。</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金融负债于初始确认时分类为：以公允价值计量且其变动计入当期损益的金融负债和以摊余成本计量的金融负债。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2. </w:t>
      </w:r>
      <w:r>
        <w:rPr>
          <w:rFonts w:hint="eastAsia" w:ascii="Times New Roman" w:hAnsi="Times New Roman" w:eastAsia="宋体" w:cs="Times New Roman"/>
          <w:color w:val="000000"/>
          <w:sz w:val="21"/>
          <w:szCs w:val="21"/>
        </w:rPr>
        <w:t>金融工具的确认依据和计量方法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）以摊余成本计量的金融资产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持有期间采用实际利率法计算的利息计入当期损益。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收回或处置时，将取得的价款与该金融资产账面价值之间的差额计入当期损益。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）以公允价值计量且其变动计入其他综合收益的金融资产（债务工具）</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终止确认时，之前计入其他综合收益的累计利得或损失从其他综合收益中转出，计入当期损益。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）以公允价值计量且其变动计入其他综合收益的金融资产（权益工具）</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终止确认时，之前计入其他综合收益的累计利得或损失从其他综合收益中转出，计入留存收益。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4</w:t>
      </w:r>
      <w:r>
        <w:rPr>
          <w:rFonts w:hint="eastAsia" w:ascii="宋体" w:hAnsi="宋体" w:eastAsia="宋体" w:cs="宋体"/>
          <w:color w:val="000000"/>
          <w:sz w:val="21"/>
          <w:szCs w:val="21"/>
        </w:rPr>
        <w:t>）以公允价值计量且其变动计入当期损益的金融资产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r>
        <w:rPr>
          <w:rFonts w:hint="default" w:ascii="Times New Roman" w:hAnsi="Times New Roman" w:eastAsia="宋体" w:cs="Times New Roman"/>
          <w:color w:val="000000"/>
          <w:sz w:val="21"/>
          <w:szCs w:val="21"/>
        </w:rPr>
        <w:t>   </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420" w:leftChars="0" w:right="0" w:rightChars="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5</w:t>
      </w:r>
      <w:r>
        <w:rPr>
          <w:rFonts w:hint="eastAsia" w:ascii="宋体" w:hAnsi="宋体" w:cs="宋体"/>
          <w:color w:val="000000"/>
          <w:sz w:val="21"/>
          <w:szCs w:val="21"/>
          <w:lang w:eastAsia="zh-CN"/>
        </w:rPr>
        <w:t>）</w:t>
      </w:r>
      <w:r>
        <w:rPr>
          <w:rFonts w:hint="eastAsia" w:ascii="宋体" w:hAnsi="宋体" w:eastAsia="宋体" w:cs="宋体"/>
          <w:color w:val="000000"/>
          <w:sz w:val="21"/>
          <w:szCs w:val="21"/>
        </w:rPr>
        <w:t>以公允价值计量且其变动计入当期损益的金融负债</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left"/>
        <w:textAlignment w:val="auto"/>
        <w:rPr>
          <w:rFonts w:hint="default" w:ascii="Times New Roman" w:hAnsi="Times New Roman" w:cs="Times New Roman"/>
          <w:sz w:val="24"/>
          <w:szCs w:val="24"/>
        </w:rPr>
      </w:pPr>
      <w:r>
        <w:rPr>
          <w:rFonts w:hint="eastAsia" w:ascii="宋体" w:hAnsi="宋体" w:eastAsia="宋体" w:cs="宋体"/>
          <w:color w:val="000000"/>
          <w:sz w:val="21"/>
          <w:szCs w:val="21"/>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终止确认时，其账面价值与支付的对价之间的差额计入当期损益。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）以摊余成本计量的金融负债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以摊余成本计量的金融负债包括短期借款、应付票据、应付账款、其他应付款、长期借款、应付债券、长期应付款，按公允价值进行初始计量，相关交易费用计入初始确认金额。</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持有期间采用实际利率法计算的利息计入当期损益。</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终止确认时，将支付的对价与该金融负债账面价值之间的差额计入当期损益。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3. </w:t>
      </w:r>
      <w:r>
        <w:rPr>
          <w:rFonts w:hint="eastAsia" w:ascii="Times New Roman" w:hAnsi="Times New Roman" w:eastAsia="宋体" w:cs="Times New Roman"/>
          <w:color w:val="000000"/>
          <w:sz w:val="21"/>
          <w:szCs w:val="21"/>
        </w:rPr>
        <w:t>金融资产终止确认和金融资产转移的确认依据和计量方法</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满足下列条件之一时，本公司终止确认金融资产：</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 </w:t>
      </w:r>
      <w:r>
        <w:rPr>
          <w:rFonts w:hint="eastAsia" w:ascii="Times New Roman" w:hAnsi="Times New Roman" w:eastAsia="宋体" w:cs="Times New Roman"/>
          <w:color w:val="auto"/>
          <w:sz w:val="21"/>
          <w:szCs w:val="21"/>
          <w:highlight w:val="none"/>
        </w:rPr>
        <w:t>收取金融资产现金流量的合同权利终止；</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 </w:t>
      </w:r>
      <w:r>
        <w:rPr>
          <w:rFonts w:hint="eastAsia" w:ascii="Times New Roman" w:hAnsi="Times New Roman" w:eastAsia="宋体" w:cs="Times New Roman"/>
          <w:color w:val="auto"/>
          <w:sz w:val="21"/>
          <w:szCs w:val="21"/>
          <w:highlight w:val="none"/>
        </w:rPr>
        <w:t>金融资产已转移，且已将金融资产所有权上几乎所有的风险和报酬转移给转入方；</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③ </w:t>
      </w:r>
      <w:r>
        <w:rPr>
          <w:rFonts w:hint="eastAsia" w:ascii="Times New Roman" w:hAnsi="Times New Roman" w:eastAsia="宋体" w:cs="Times New Roman"/>
          <w:color w:val="auto"/>
          <w:sz w:val="21"/>
          <w:szCs w:val="21"/>
          <w:highlight w:val="none"/>
        </w:rPr>
        <w:t>金融资产已转移，虽然本公司既没有转移也没有保留金融资产所有权上几乎所有的风险和报酬，但是未保留对金融资产的控制。</w:t>
      </w:r>
    </w:p>
    <w:p>
      <w:pPr>
        <w:pStyle w:val="4"/>
        <w:widowControl/>
        <w:spacing w:beforeAutospacing="0" w:afterAutospacing="0" w:line="360" w:lineRule="exact"/>
        <w:ind w:firstLine="420" w:firstLineChars="200"/>
        <w:rPr>
          <w:rFonts w:hint="default" w:ascii="Times New Roman" w:hAnsi="Times New Roman" w:cs="Times New Roman"/>
          <w:sz w:val="24"/>
          <w:szCs w:val="24"/>
        </w:rPr>
      </w:pPr>
      <w:r>
        <w:rPr>
          <w:rFonts w:hint="eastAsia" w:ascii="Times New Roman" w:hAnsi="Times New Roman" w:eastAsia="宋体" w:cs="Times New Roman"/>
          <w:color w:val="auto"/>
          <w:sz w:val="21"/>
          <w:szCs w:val="21"/>
          <w:highlight w:val="none"/>
        </w:rPr>
        <w:t>本公司与交易对手方修改或者重新</w:t>
      </w:r>
      <w:r>
        <w:rPr>
          <w:rFonts w:hint="eastAsia" w:ascii="宋体" w:hAnsi="宋体" w:eastAsia="宋体" w:cs="宋体"/>
          <w:color w:val="000000"/>
          <w:sz w:val="21"/>
          <w:szCs w:val="21"/>
        </w:rPr>
        <w:t>议定合同而且构成实质性修改的，则终止确认原金融资产，同时按照修改后的条款确认一项新金融资产。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发生金融资产转移时，如保留了金融资产所有权上几乎所有的风险和报酬的，则不终止确认该金融资产。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在判断金融资产转移是否满足上述金融资产终止确认条件时，采用实质重于形式的原则。</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公司将金融资产转移区分为金融资产整体转移和部分转移。金融资产整体转移满足终止确认条件的，将下列两项金额的差额计入当期损益：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①</w:t>
      </w:r>
      <w:r>
        <w:rPr>
          <w:rFonts w:hint="eastAsia" w:ascii="宋体" w:hAnsi="宋体" w:eastAsia="宋体" w:cs="宋体"/>
          <w:color w:val="000000"/>
          <w:sz w:val="21"/>
          <w:szCs w:val="21"/>
        </w:rPr>
        <w:t>所转移金融资产的账面价值；</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color w:val="000000"/>
          <w:sz w:val="21"/>
          <w:szCs w:val="21"/>
        </w:rPr>
        <w:t>②</w:t>
      </w:r>
      <w:r>
        <w:rPr>
          <w:rFonts w:hint="eastAsia" w:ascii="宋体" w:hAnsi="宋体" w:eastAsia="宋体" w:cs="宋体"/>
          <w:color w:val="000000"/>
          <w:sz w:val="21"/>
          <w:szCs w:val="21"/>
        </w:rPr>
        <w:t>因转移而收到的对价，与原直接计入所有者权益的公允价值变动累计额（涉及转移的金融资产为以公允价值</w:t>
      </w:r>
      <w:r>
        <w:rPr>
          <w:rFonts w:hint="eastAsia" w:ascii="宋体" w:hAnsi="宋体" w:eastAsia="宋体" w:cs="宋体"/>
          <w:sz w:val="21"/>
          <w:szCs w:val="21"/>
        </w:rPr>
        <w:t>计量且其变动计入其他综合收益的金融资产（债务工具）的情形）之和。</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default" w:ascii="宋体" w:hAnsi="宋体" w:eastAsia="宋体" w:cs="宋体"/>
          <w:color w:val="000000"/>
          <w:sz w:val="21"/>
          <w:szCs w:val="21"/>
        </w:rPr>
        <w:t>①</w:t>
      </w:r>
      <w:r>
        <w:rPr>
          <w:rFonts w:hint="eastAsia" w:ascii="宋体" w:hAnsi="宋体" w:eastAsia="宋体" w:cs="宋体"/>
          <w:color w:val="000000"/>
          <w:sz w:val="21"/>
          <w:szCs w:val="21"/>
        </w:rPr>
        <w:t>终止确认部分的账面价值；</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default" w:ascii="宋体" w:hAnsi="宋体" w:eastAsia="宋体" w:cs="宋体"/>
          <w:color w:val="000000"/>
          <w:sz w:val="21"/>
          <w:szCs w:val="21"/>
        </w:rPr>
        <w:t>②</w:t>
      </w:r>
      <w:r>
        <w:rPr>
          <w:rFonts w:hint="eastAsia" w:ascii="宋体" w:hAnsi="宋体" w:eastAsia="宋体" w:cs="宋体"/>
          <w:color w:val="000000"/>
          <w:sz w:val="21"/>
          <w:szCs w:val="21"/>
        </w:rPr>
        <w:t>终止确认部分的对价，与原直接计入所有者权益的公允价值变动累计额中对应终止确认部分的金额（涉及转移的金融资产为以公允价值计量且其变动计入其他综合收益的金融资产（债务工具）的情形）之和。</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000000"/>
          <w:sz w:val="21"/>
          <w:szCs w:val="21"/>
        </w:rPr>
        <w:t>金融资产转移不</w:t>
      </w:r>
      <w:r>
        <w:rPr>
          <w:rFonts w:hint="eastAsia" w:ascii="Times New Roman" w:hAnsi="Times New Roman" w:eastAsia="宋体" w:cs="Times New Roman"/>
          <w:color w:val="auto"/>
          <w:sz w:val="21"/>
          <w:szCs w:val="21"/>
          <w:highlight w:val="none"/>
        </w:rPr>
        <w:t>满足终止确认条件的，继续确认该金融资产，所收到的对价确认为一项金融负债。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4. </w:t>
      </w:r>
      <w:r>
        <w:rPr>
          <w:rFonts w:hint="eastAsia" w:ascii="Times New Roman" w:hAnsi="Times New Roman" w:eastAsia="宋体" w:cs="Times New Roman"/>
          <w:color w:val="000000"/>
          <w:sz w:val="21"/>
          <w:szCs w:val="21"/>
        </w:rPr>
        <w:t>金融负债终止确认</w:t>
      </w:r>
    </w:p>
    <w:p>
      <w:pPr>
        <w:pStyle w:val="4"/>
        <w:widowControl/>
        <w:spacing w:beforeAutospacing="0" w:afterAutospacing="0" w:line="360" w:lineRule="exact"/>
        <w:ind w:firstLine="420" w:firstLineChars="200"/>
        <w:rPr>
          <w:rFonts w:hint="default" w:ascii="Times New Roman" w:hAnsi="Times New Roman" w:cs="Times New Roman"/>
          <w:sz w:val="24"/>
          <w:szCs w:val="24"/>
        </w:rPr>
      </w:pPr>
      <w:r>
        <w:rPr>
          <w:rFonts w:hint="eastAsia" w:ascii="Times New Roman" w:hAnsi="Times New Roman" w:eastAsia="宋体" w:cs="Times New Roman"/>
          <w:color w:val="auto"/>
          <w:sz w:val="21"/>
          <w:szCs w:val="21"/>
          <w:highlight w:val="none"/>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w:t>
      </w:r>
      <w:r>
        <w:rPr>
          <w:rFonts w:hint="eastAsia" w:ascii="宋体" w:hAnsi="宋体" w:eastAsia="宋体" w:cs="宋体"/>
          <w:color w:val="000000"/>
          <w:sz w:val="21"/>
          <w:szCs w:val="21"/>
        </w:rPr>
        <w:t>债，并同时确认新金融负债。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对现存金融负债全部或部分合同条款作出实质性修改的，则终止确认现存金融负债或其一部分，同时将修改条款后的金融负债确认为一项新金融负债。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金融负债全部或部分终止确认时，终止确认的金融负债账面价值与支付对价（包括转出的非现金资产或承担的新金融负债）之间的差额，计入当期损益。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5. </w:t>
      </w:r>
      <w:r>
        <w:rPr>
          <w:rFonts w:hint="eastAsia" w:ascii="Times New Roman" w:hAnsi="Times New Roman" w:eastAsia="宋体" w:cs="Times New Roman"/>
          <w:color w:val="000000"/>
          <w:sz w:val="21"/>
          <w:szCs w:val="21"/>
        </w:rPr>
        <w:t>金融资产和金融负债的公允价值的确定方法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6. </w:t>
      </w:r>
      <w:r>
        <w:rPr>
          <w:rFonts w:hint="eastAsia" w:ascii="Times New Roman" w:hAnsi="Times New Roman" w:eastAsia="宋体" w:cs="Times New Roman"/>
          <w:color w:val="000000"/>
          <w:sz w:val="21"/>
          <w:szCs w:val="21"/>
        </w:rPr>
        <w:t>金融工具减值的测试方法及会计处理方法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本公司对以摊余成本计量的金融资产、以公允价值计量且其变动计入其他综合收益的金融资产（债务工具）和财务担保合同等以预期信用损失为基础进行减值会计处理。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对于由《企业会计准则第</w:t>
      </w:r>
      <w:r>
        <w:rPr>
          <w:rFonts w:hint="default" w:ascii="Times New Roman" w:hAnsi="Times New Roman" w:eastAsia="宋体" w:cs="Times New Roman"/>
          <w:color w:val="000000"/>
          <w:sz w:val="21"/>
          <w:szCs w:val="21"/>
        </w:rPr>
        <w:t>14</w:t>
      </w:r>
      <w:r>
        <w:rPr>
          <w:rFonts w:hint="eastAsia" w:ascii="宋体" w:hAnsi="宋体" w:eastAsia="宋体" w:cs="宋体"/>
          <w:color w:val="000000"/>
          <w:sz w:val="21"/>
          <w:szCs w:val="21"/>
        </w:rPr>
        <w:t>号——收入》规范的交易形成的应收款项和合同资产，无论是否包含重大融资成分，本公司始终按照相当于整个存续期内预期信用损失的金额计量其损失准备。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对于由《企业会计准则第</w:t>
      </w:r>
      <w:r>
        <w:rPr>
          <w:rFonts w:hint="default" w:ascii="Times New Roman" w:hAnsi="Times New Roman" w:eastAsia="宋体" w:cs="Times New Roman"/>
          <w:color w:val="000000"/>
          <w:sz w:val="21"/>
          <w:szCs w:val="21"/>
        </w:rPr>
        <w:t>21</w:t>
      </w:r>
      <w:r>
        <w:rPr>
          <w:rFonts w:hint="eastAsia" w:ascii="宋体" w:hAnsi="宋体" w:eastAsia="宋体" w:cs="宋体"/>
          <w:color w:val="000000"/>
          <w:sz w:val="21"/>
          <w:szCs w:val="21"/>
        </w:rPr>
        <w:t>号——租赁》规范的交易形成的租赁应收款，本公司选择始终按照相当于整个存续期内预期信用损失的金额计量其损失准备。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对于其他金融工具，本公司在每个资产负债表日评估相关金融工具的信用风险自初始确认后的变动情况。</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日，本公司即认为该金融工具的信用风险已显著增加，除非有确凿证据证明该金融工具的信用风险自初始确认后并未显著增加。</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如果金融工具于资产负债表日的信用风险较低，本公司即认为该金融工具的信用风险自初始确认后并未显著增加。</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个月内预期信用损失的金额计量其损失准备。由此形成的损失准备的增加或转回金额，作为减值损失或利得计入当期损益。对于以公允价值计量且其变动计入其他综合收益的金融资产（债务工具），在其他综合收益中确认其损失准备，并将减值损失或利得计入当期损益，且不减少该金融资产在资产负债表中列示的账面价值。</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本公司不再合理预期金融资产合同现金流量能够全部或部分收回的，直接减记该金融资产的账面余额。</w:t>
      </w:r>
      <w:r>
        <w:rPr>
          <w:rFonts w:hint="default" w:ascii="Times New Roman" w:hAnsi="Times New Roman" w:eastAsia="宋体" w:cs="Times New Roman"/>
          <w:color w:val="000000"/>
          <w:sz w:val="21"/>
          <w:szCs w:val="21"/>
        </w:rPr>
        <w:t> </w:t>
      </w:r>
    </w:p>
    <w:p>
      <w:pPr>
        <w:keepNext/>
        <w:keepLines/>
        <w:spacing w:before="300" w:after="300" w:line="280" w:lineRule="exact"/>
        <w:jc w:val="left"/>
        <w:outlineLvl w:val="2"/>
        <w:rPr>
          <w:rFonts w:ascii="宋体" w:hAnsi="宋体" w:eastAsia="宋体" w:cs="宋体"/>
          <w:b/>
          <w:bCs/>
          <w:sz w:val="21"/>
          <w:szCs w:val="21"/>
        </w:rPr>
      </w:pPr>
      <w:bookmarkStart w:id="121" w:name="_Toc989003"/>
      <w:r>
        <w:rPr>
          <w:rFonts w:hint="eastAsia" w:ascii="宋体" w:hAnsi="宋体" w:cs="宋体"/>
          <w:b/>
          <w:bCs/>
          <w:sz w:val="21"/>
          <w:szCs w:val="21"/>
          <w:lang w:eastAsia="zh-CN"/>
        </w:rPr>
        <w:t>（</w:t>
      </w:r>
      <w:r>
        <w:rPr>
          <w:rFonts w:hint="eastAsia" w:ascii="宋体" w:hAnsi="宋体" w:cs="宋体"/>
          <w:b/>
          <w:bCs/>
          <w:sz w:val="21"/>
          <w:szCs w:val="21"/>
          <w:lang w:val="en-US" w:eastAsia="zh-CN"/>
        </w:rPr>
        <w:t>十二</w:t>
      </w:r>
      <w:r>
        <w:rPr>
          <w:rFonts w:hint="eastAsia" w:ascii="宋体" w:hAnsi="宋体" w:cs="宋体"/>
          <w:b/>
          <w:bCs/>
          <w:sz w:val="21"/>
          <w:szCs w:val="21"/>
          <w:lang w:eastAsia="zh-CN"/>
        </w:rPr>
        <w:t>）</w:t>
      </w:r>
      <w:r>
        <w:rPr>
          <w:rFonts w:ascii="宋体" w:hAnsi="宋体" w:eastAsia="宋体" w:cs="宋体"/>
          <w:b/>
          <w:bCs/>
          <w:sz w:val="21"/>
          <w:szCs w:val="21"/>
        </w:rPr>
        <w:t>合同资产</w:t>
      </w:r>
      <w:bookmarkEnd w:id="12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1. </w:t>
      </w:r>
      <w:r>
        <w:rPr>
          <w:rFonts w:hint="eastAsia" w:ascii="Times New Roman" w:hAnsi="Times New Roman" w:eastAsia="宋体" w:cs="Times New Roman"/>
          <w:color w:val="000000"/>
          <w:sz w:val="21"/>
          <w:szCs w:val="21"/>
        </w:rPr>
        <w:t>合同资产的确认方法及标准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2.</w:t>
      </w:r>
      <w:r>
        <w:rPr>
          <w:rFonts w:hint="eastAsia" w:ascii="Times New Roman" w:hAnsi="Times New Roman" w:eastAsia="宋体" w:cs="Times New Roman"/>
          <w:color w:val="000000"/>
          <w:sz w:val="21"/>
          <w:szCs w:val="21"/>
        </w:rPr>
        <w:t>合同资产预期信用损失的确定方法及会计处理方法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合同资产的预期信用损失的确定方法及会计处理方法详见本附注“（十一）</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、金融工具减值的测试方法及会计处理方法”。</w:t>
      </w:r>
    </w:p>
    <w:p>
      <w:pPr>
        <w:keepNext/>
        <w:keepLines/>
        <w:spacing w:before="300" w:after="300" w:line="280" w:lineRule="exact"/>
        <w:jc w:val="left"/>
        <w:outlineLvl w:val="2"/>
        <w:rPr>
          <w:rFonts w:ascii="宋体" w:hAnsi="宋体" w:eastAsia="宋体" w:cs="宋体"/>
          <w:b/>
          <w:bCs/>
          <w:sz w:val="21"/>
          <w:szCs w:val="21"/>
        </w:rPr>
      </w:pPr>
      <w:bookmarkStart w:id="122" w:name="_Toc989004"/>
      <w:r>
        <w:rPr>
          <w:rFonts w:hint="eastAsia" w:ascii="宋体" w:hAnsi="宋体" w:cs="宋体"/>
          <w:b/>
          <w:bCs/>
          <w:sz w:val="21"/>
          <w:szCs w:val="21"/>
          <w:lang w:eastAsia="zh-CN"/>
        </w:rPr>
        <w:t>（</w:t>
      </w:r>
      <w:r>
        <w:rPr>
          <w:rFonts w:hint="eastAsia" w:ascii="宋体" w:hAnsi="宋体" w:cs="宋体"/>
          <w:b/>
          <w:bCs/>
          <w:sz w:val="21"/>
          <w:szCs w:val="21"/>
          <w:lang w:val="en-US" w:eastAsia="zh-CN"/>
        </w:rPr>
        <w:t>十三</w:t>
      </w:r>
      <w:r>
        <w:rPr>
          <w:rFonts w:hint="eastAsia" w:ascii="宋体" w:hAnsi="宋体" w:cs="宋体"/>
          <w:b/>
          <w:bCs/>
          <w:sz w:val="21"/>
          <w:szCs w:val="21"/>
          <w:lang w:eastAsia="zh-CN"/>
        </w:rPr>
        <w:t>）</w:t>
      </w:r>
      <w:r>
        <w:rPr>
          <w:rFonts w:ascii="宋体" w:hAnsi="宋体" w:eastAsia="宋体" w:cs="宋体"/>
          <w:b/>
          <w:bCs/>
          <w:sz w:val="21"/>
          <w:szCs w:val="21"/>
        </w:rPr>
        <w:t>存货</w:t>
      </w:r>
      <w:bookmarkEnd w:id="122"/>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bookmarkStart w:id="123" w:name="OLE_LINK32"/>
      <w:bookmarkEnd w:id="123"/>
      <w:r>
        <w:rPr>
          <w:rFonts w:hint="default"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rPr>
        <w:t>存货的分类和成本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存货分类为：原材料、周转材料、库存商品、在产品、发出商品、委托加工物资等。</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存货按成本进行初始计量，存货成本包括采购成本、加工成本和其他使存货达到目前场所和状态所发生的支出。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r>
        <w:rPr>
          <w:rFonts w:hint="eastAsia" w:ascii="Times New Roman" w:hAnsi="Times New Roman" w:eastAsia="宋体" w:cs="Times New Roman"/>
          <w:color w:val="000000"/>
          <w:sz w:val="21"/>
          <w:szCs w:val="21"/>
        </w:rPr>
        <w:t>发出存货的计价方法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存货发出时按加权平均法计价。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3. </w:t>
      </w:r>
      <w:r>
        <w:rPr>
          <w:rFonts w:hint="eastAsia" w:ascii="Times New Roman" w:hAnsi="Times New Roman" w:eastAsia="宋体" w:cs="Times New Roman"/>
          <w:color w:val="000000"/>
          <w:sz w:val="21"/>
          <w:szCs w:val="21"/>
        </w:rPr>
        <w:t>存货的盘存制度</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采用永续盘存制。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4. </w:t>
      </w:r>
      <w:r>
        <w:rPr>
          <w:rFonts w:hint="eastAsia" w:ascii="Times New Roman" w:hAnsi="Times New Roman" w:eastAsia="宋体" w:cs="Times New Roman"/>
          <w:color w:val="000000"/>
          <w:sz w:val="21"/>
          <w:szCs w:val="21"/>
        </w:rPr>
        <w:t>低值易耗品和包装物的摊销方法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①</w:t>
      </w:r>
      <w:r>
        <w:rPr>
          <w:rFonts w:hint="eastAsia" w:ascii="宋体" w:hAnsi="宋体" w:eastAsia="宋体" w:cs="宋体"/>
          <w:color w:val="000000"/>
          <w:sz w:val="21"/>
          <w:szCs w:val="21"/>
        </w:rPr>
        <w:t>低值易耗品采用一次转销法；</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default" w:ascii="Times New Roman" w:hAnsi="Times New Roman" w:eastAsia="宋体" w:cs="Times New Roman"/>
          <w:sz w:val="24"/>
          <w:szCs w:val="24"/>
        </w:rPr>
        <w:t>②</w:t>
      </w:r>
      <w:r>
        <w:rPr>
          <w:rFonts w:hint="eastAsia" w:ascii="宋体" w:hAnsi="宋体" w:eastAsia="宋体" w:cs="宋体"/>
          <w:color w:val="000000"/>
          <w:sz w:val="21"/>
          <w:szCs w:val="21"/>
        </w:rPr>
        <w:t>包装物采用一次转销法。</w:t>
      </w:r>
      <w:r>
        <w:rPr>
          <w:rFonts w:hint="default" w:ascii="Times New Roman" w:hAnsi="Times New Roman" w:eastAsia="宋体" w:cs="Times New Roman"/>
          <w:color w:val="000000"/>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5. </w:t>
      </w:r>
      <w:r>
        <w:rPr>
          <w:rFonts w:hint="eastAsia" w:ascii="Times New Roman" w:hAnsi="Times New Roman" w:eastAsia="宋体" w:cs="Times New Roman"/>
          <w:color w:val="000000"/>
          <w:sz w:val="21"/>
          <w:szCs w:val="21"/>
        </w:rPr>
        <w:t>存货跌价准备的确认标准和计提方法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按照组合计提存货跌价准备的，组合类别及确定依据以及不同类别存货。计提存货跌价准备后，如果以前减记存货价值的影响因素已经消失，导致存货的可变现净值高于其账面价值的，在原已计提的存货跌价准备金额内予以转回，转回的金额计入当期损益。</w:t>
      </w:r>
    </w:p>
    <w:p>
      <w:pPr>
        <w:keepNext/>
        <w:keepLines/>
        <w:spacing w:before="300" w:after="300" w:line="280" w:lineRule="exact"/>
        <w:jc w:val="left"/>
        <w:outlineLvl w:val="2"/>
        <w:rPr>
          <w:rFonts w:ascii="宋体" w:hAnsi="宋体" w:eastAsia="宋体" w:cs="宋体"/>
          <w:b/>
          <w:bCs/>
          <w:sz w:val="21"/>
          <w:szCs w:val="21"/>
        </w:rPr>
      </w:pPr>
      <w:bookmarkStart w:id="124" w:name="_Toc989005"/>
      <w:r>
        <w:rPr>
          <w:rFonts w:hint="eastAsia" w:ascii="宋体" w:hAnsi="宋体" w:cs="宋体"/>
          <w:b/>
          <w:bCs/>
          <w:sz w:val="21"/>
          <w:szCs w:val="21"/>
          <w:lang w:eastAsia="zh-CN"/>
        </w:rPr>
        <w:t>（</w:t>
      </w:r>
      <w:r>
        <w:rPr>
          <w:rFonts w:hint="eastAsia" w:ascii="宋体" w:hAnsi="宋体" w:cs="宋体"/>
          <w:b/>
          <w:bCs/>
          <w:sz w:val="21"/>
          <w:szCs w:val="21"/>
          <w:lang w:val="en-US" w:eastAsia="zh-CN"/>
        </w:rPr>
        <w:t>十四</w:t>
      </w:r>
      <w:r>
        <w:rPr>
          <w:rFonts w:hint="eastAsia" w:ascii="宋体" w:hAnsi="宋体" w:cs="宋体"/>
          <w:b/>
          <w:bCs/>
          <w:sz w:val="21"/>
          <w:szCs w:val="21"/>
          <w:lang w:eastAsia="zh-CN"/>
        </w:rPr>
        <w:t>）</w:t>
      </w:r>
      <w:r>
        <w:rPr>
          <w:rFonts w:ascii="宋体" w:hAnsi="宋体" w:eastAsia="宋体" w:cs="宋体"/>
          <w:b/>
          <w:bCs/>
          <w:sz w:val="21"/>
          <w:szCs w:val="21"/>
        </w:rPr>
        <w:t>持有待售资产</w:t>
      </w:r>
      <w:bookmarkEnd w:id="124"/>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主要通过出售（包括具有商业实质的非货币性资产交换）而非持续使用一项非流动资产或处置组收回其账面价值的，划分为持有待售类别。</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本公司将同时满足下列条件的非流动资产或处置组划分为持有待售类别：</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①根据类似交易中出售此类资产或处置组的惯例，在当前状况下即可立即出售；</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②出售极可能发生，即本公司已经就一项出售计划作出决议且获得确定的购买承诺，预计出售将在一年内完成。有关规定要求本公司相关权力机构或者监管部门批准后方可出售的，已经获得批准。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pPr>
        <w:keepNext/>
        <w:keepLines/>
        <w:spacing w:before="300" w:after="300" w:line="280" w:lineRule="exact"/>
        <w:jc w:val="left"/>
        <w:outlineLvl w:val="2"/>
        <w:rPr>
          <w:rFonts w:ascii="宋体" w:hAnsi="宋体" w:eastAsia="宋体" w:cs="宋体"/>
          <w:b/>
          <w:bCs/>
          <w:sz w:val="21"/>
          <w:szCs w:val="21"/>
        </w:rPr>
      </w:pPr>
      <w:bookmarkStart w:id="125" w:name="_Toc989006"/>
      <w:r>
        <w:rPr>
          <w:rFonts w:hint="eastAsia" w:ascii="宋体" w:hAnsi="宋体" w:cs="宋体"/>
          <w:b/>
          <w:bCs/>
          <w:sz w:val="21"/>
          <w:szCs w:val="21"/>
          <w:lang w:eastAsia="zh-CN"/>
        </w:rPr>
        <w:t>（</w:t>
      </w:r>
      <w:r>
        <w:rPr>
          <w:rFonts w:hint="eastAsia" w:ascii="宋体" w:hAnsi="宋体" w:cs="宋体"/>
          <w:b/>
          <w:bCs/>
          <w:sz w:val="21"/>
          <w:szCs w:val="21"/>
          <w:lang w:val="en-US" w:eastAsia="zh-CN"/>
        </w:rPr>
        <w:t>十五</w:t>
      </w:r>
      <w:r>
        <w:rPr>
          <w:rFonts w:hint="eastAsia" w:ascii="宋体" w:hAnsi="宋体" w:cs="宋体"/>
          <w:b/>
          <w:bCs/>
          <w:sz w:val="21"/>
          <w:szCs w:val="21"/>
          <w:lang w:eastAsia="zh-CN"/>
        </w:rPr>
        <w:t>）</w:t>
      </w:r>
      <w:r>
        <w:rPr>
          <w:rFonts w:ascii="宋体" w:hAnsi="宋体" w:eastAsia="宋体" w:cs="宋体"/>
          <w:b/>
          <w:bCs/>
          <w:sz w:val="21"/>
          <w:szCs w:val="21"/>
        </w:rPr>
        <w:t>长期股权投资</w:t>
      </w:r>
      <w:bookmarkEnd w:id="12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rPr>
        <w:t>共同控制、重大影响的判断标准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重大影响，是指对被投资单位的财务和经营决策有参与决策的权力，但并不能够控制或者与其他方一起共同控制这些政策的制定。本公司能够对被投资单位施加重大影响的，被投资单位为本公司联营企业。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2. </w:t>
      </w:r>
      <w:r>
        <w:rPr>
          <w:rFonts w:hint="eastAsia" w:ascii="Times New Roman" w:hAnsi="Times New Roman" w:eastAsia="宋体" w:cs="Times New Roman"/>
          <w:color w:val="000000"/>
          <w:sz w:val="21"/>
          <w:szCs w:val="21"/>
        </w:rPr>
        <w:t>初始投资成本的确定</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）企业合并形成的长期股权投资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）通过企业合并以外的其他方式取得的长期股权投资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以支付现金方式取得的长期股权投资，按照实际支付的购买价款作为初始投资成本。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以发行权益性证券取得的长期股权投资，按照发行权益性证券的公允价值作为初始投资成本。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w:t>
      </w:r>
      <w:r>
        <w:rPr>
          <w:rFonts w:hint="eastAsia" w:ascii="Times New Roman" w:hAnsi="Times New Roman" w:eastAsia="宋体" w:cs="Times New Roman"/>
          <w:color w:val="000000"/>
          <w:sz w:val="21"/>
          <w:szCs w:val="21"/>
        </w:rPr>
        <w:t>后续计量及损益确认方法</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）成本法核算的长期股权投资</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Times New Roman" w:hAnsi="Times New Roman" w:cs="Times New Roman"/>
          <w:sz w:val="24"/>
          <w:szCs w:val="24"/>
        </w:rPr>
      </w:pPr>
      <w:r>
        <w:rPr>
          <w:rFonts w:hint="eastAsia" w:ascii="宋体" w:hAnsi="宋体" w:eastAsia="宋体" w:cs="宋体"/>
          <w:color w:val="000000"/>
          <w:sz w:val="21"/>
          <w:szCs w:val="21"/>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42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sz w:val="21"/>
          <w:szCs w:val="21"/>
        </w:rPr>
        <w:t>权益法核算的长期股权投资</w:t>
      </w:r>
    </w:p>
    <w:p>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right="0" w:rightChars="0" w:firstLine="420" w:firstLineChars="200"/>
        <w:jc w:val="left"/>
        <w:textAlignment w:val="auto"/>
        <w:rPr>
          <w:rFonts w:hint="default" w:ascii="Times New Roman" w:hAnsi="Times New Roman" w:cs="Times New Roman"/>
          <w:sz w:val="24"/>
          <w:szCs w:val="24"/>
        </w:rPr>
      </w:pPr>
      <w:r>
        <w:rPr>
          <w:rFonts w:hint="eastAsia" w:ascii="宋体" w:hAnsi="宋体" w:eastAsia="宋体" w:cs="宋体"/>
          <w:color w:val="000000"/>
          <w:sz w:val="21"/>
          <w:szCs w:val="21"/>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）长期股权投资的处置</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处置长期股权投资，其账面价值与实际取得价款的差额，计入当期损益。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r>
        <w:rPr>
          <w:rFonts w:hint="default" w:ascii="Times New Roman" w:hAnsi="Times New Roman" w:eastAsia="宋体" w:cs="Times New Roman"/>
          <w:color w:val="000000"/>
          <w:sz w:val="21"/>
          <w:szCs w:val="21"/>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tLeast"/>
        <w:ind w:left="0" w:right="0" w:firstLine="420"/>
        <w:jc w:val="left"/>
        <w:textAlignment w:val="auto"/>
        <w:rPr>
          <w:rFonts w:hint="default" w:ascii="Times New Roman" w:hAnsi="Times New Roman" w:cs="Times New Roman"/>
          <w:sz w:val="24"/>
          <w:szCs w:val="24"/>
        </w:rPr>
      </w:pPr>
      <w:r>
        <w:rPr>
          <w:rFonts w:hint="eastAsia" w:ascii="宋体" w:hAnsi="宋体" w:eastAsia="宋体" w:cs="宋体"/>
          <w:color w:val="000000"/>
          <w:sz w:val="21"/>
          <w:szCs w:val="21"/>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p>
      <w:pPr>
        <w:keepNext/>
        <w:keepLines/>
        <w:spacing w:before="300" w:after="300" w:line="280" w:lineRule="exact"/>
        <w:jc w:val="left"/>
        <w:outlineLvl w:val="2"/>
        <w:rPr>
          <w:rFonts w:ascii="宋体" w:hAnsi="宋体" w:eastAsia="宋体" w:cs="宋体"/>
          <w:b/>
          <w:bCs/>
          <w:sz w:val="21"/>
          <w:szCs w:val="21"/>
        </w:rPr>
      </w:pPr>
      <w:bookmarkStart w:id="126" w:name="_Toc989007"/>
      <w:r>
        <w:rPr>
          <w:rFonts w:hint="eastAsia" w:ascii="宋体" w:hAnsi="宋体" w:cs="宋体"/>
          <w:b/>
          <w:bCs/>
          <w:sz w:val="21"/>
          <w:szCs w:val="21"/>
          <w:lang w:eastAsia="zh-CN"/>
        </w:rPr>
        <w:t>（</w:t>
      </w:r>
      <w:r>
        <w:rPr>
          <w:rFonts w:hint="eastAsia" w:ascii="宋体" w:hAnsi="宋体" w:cs="宋体"/>
          <w:b/>
          <w:bCs/>
          <w:sz w:val="21"/>
          <w:szCs w:val="21"/>
          <w:lang w:val="en-US" w:eastAsia="zh-CN"/>
        </w:rPr>
        <w:t>十六</w:t>
      </w:r>
      <w:r>
        <w:rPr>
          <w:rFonts w:hint="eastAsia" w:ascii="宋体" w:hAnsi="宋体" w:cs="宋体"/>
          <w:b/>
          <w:bCs/>
          <w:sz w:val="21"/>
          <w:szCs w:val="21"/>
          <w:lang w:eastAsia="zh-CN"/>
        </w:rPr>
        <w:t>）</w:t>
      </w:r>
      <w:r>
        <w:rPr>
          <w:rFonts w:ascii="宋体" w:hAnsi="宋体" w:eastAsia="宋体" w:cs="宋体"/>
          <w:b/>
          <w:bCs/>
          <w:sz w:val="21"/>
          <w:szCs w:val="21"/>
        </w:rPr>
        <w:t>固定资产</w:t>
      </w:r>
      <w:bookmarkEnd w:id="126"/>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27" w:name="_Toc989008"/>
      <w:r>
        <w:rPr>
          <w:rFonts w:hint="eastAsia" w:ascii="Times New Roman" w:hAnsi="Times New Roman" w:eastAsia="宋体" w:cs="Times New Roman"/>
          <w:color w:val="000000"/>
          <w:sz w:val="21"/>
          <w:szCs w:val="21"/>
          <w:lang w:val="en-US" w:eastAsia="zh-CN"/>
        </w:rPr>
        <w:t>1.确认条件</w:t>
      </w:r>
      <w:bookmarkEnd w:id="127"/>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固定资产指为生产商品、提供劳务、出租或经营管理而持有，并且使用寿命超过一个会计年度的有形资产。固定资产在同时满足下列条件时予以确认：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①与该固定资产有关的经济利益很可能流入企业；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②该固定资产的成本能够可靠地计量。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固定资产按成本（并考虑预计弃置费用因素的影响）进行初始计量。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与固定资产有关的后续支出，在与其有关的经济利益很可能流入且其成本能够可靠计量时，计入固定资产成本；对于被替换的部分，终止确认其账面价值；所有其他后续支出于发生时计入当期损益。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2.折旧方法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9"/>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9"/>
      </w:pPr>
      <w:r>
        <w:rPr>
          <w:rFonts w:hint="eastAsia" w:ascii="Times New Roman" w:hAnsi="Times New Roman" w:eastAsia="宋体" w:cs="Times New Roman"/>
          <w:color w:val="000000"/>
          <w:sz w:val="21"/>
          <w:szCs w:val="21"/>
          <w:lang w:val="en-US" w:eastAsia="zh-CN"/>
        </w:rPr>
        <w:t>各类固定资产折旧方法、折旧年限、残值率和年折旧率如下：</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pageBreakBefore w:val="0"/>
              <w:kinsoku/>
              <w:wordWrap/>
              <w:overflowPunct/>
              <w:topLinePunct w:val="0"/>
              <w:autoSpaceDE/>
              <w:autoSpaceDN/>
              <w:bidi w:val="0"/>
              <w:adjustRightInd/>
              <w:snapToGrid/>
              <w:spacing w:before="40" w:after="40" w:line="240" w:lineRule="exact"/>
              <w:jc w:val="center"/>
              <w:textAlignment w:val="auto"/>
              <w:outlineLvl w:val="9"/>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pageBreakBefore w:val="0"/>
              <w:kinsoku/>
              <w:wordWrap/>
              <w:overflowPunct/>
              <w:topLinePunct w:val="0"/>
              <w:autoSpaceDE/>
              <w:autoSpaceDN/>
              <w:bidi w:val="0"/>
              <w:adjustRightInd/>
              <w:snapToGrid/>
              <w:spacing w:before="40" w:after="40" w:line="240" w:lineRule="exact"/>
              <w:jc w:val="center"/>
              <w:textAlignment w:val="auto"/>
              <w:outlineLvl w:val="9"/>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pageBreakBefore w:val="0"/>
              <w:kinsoku/>
              <w:wordWrap/>
              <w:overflowPunct/>
              <w:topLinePunct w:val="0"/>
              <w:autoSpaceDE/>
              <w:autoSpaceDN/>
              <w:bidi w:val="0"/>
              <w:adjustRightInd/>
              <w:snapToGrid/>
              <w:spacing w:before="40" w:after="40" w:line="240" w:lineRule="exact"/>
              <w:jc w:val="center"/>
              <w:textAlignment w:val="auto"/>
              <w:outlineLvl w:val="9"/>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pageBreakBefore w:val="0"/>
              <w:kinsoku/>
              <w:wordWrap/>
              <w:overflowPunct/>
              <w:topLinePunct w:val="0"/>
              <w:autoSpaceDE/>
              <w:autoSpaceDN/>
              <w:bidi w:val="0"/>
              <w:adjustRightInd/>
              <w:snapToGrid/>
              <w:spacing w:before="40" w:after="40" w:line="240" w:lineRule="exact"/>
              <w:jc w:val="center"/>
              <w:textAlignment w:val="auto"/>
              <w:outlineLvl w:val="9"/>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pageBreakBefore w:val="0"/>
              <w:kinsoku/>
              <w:wordWrap/>
              <w:overflowPunct/>
              <w:topLinePunct w:val="0"/>
              <w:autoSpaceDE/>
              <w:autoSpaceDN/>
              <w:bidi w:val="0"/>
              <w:adjustRightInd/>
              <w:snapToGrid/>
              <w:spacing w:before="40" w:after="40" w:line="240" w:lineRule="exact"/>
              <w:jc w:val="center"/>
              <w:textAlignment w:val="auto"/>
              <w:outlineLvl w:val="9"/>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10-40</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2.38-9.50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3-10</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9.50-31.67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5-10</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9.50-19.00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办公设备及其他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pageBreakBefore w:val="0"/>
              <w:kinsoku/>
              <w:wordWrap/>
              <w:overflowPunct/>
              <w:topLinePunct w:val="0"/>
              <w:autoSpaceDE/>
              <w:autoSpaceDN/>
              <w:bidi w:val="0"/>
              <w:adjustRightInd/>
              <w:snapToGrid/>
              <w:spacing w:before="0" w:after="0" w:line="240" w:lineRule="exact"/>
              <w:jc w:val="left"/>
              <w:textAlignment w:val="auto"/>
              <w:outlineLvl w:val="9"/>
              <w:rPr>
                <w:rFonts w:ascii="宋体" w:hAnsi="宋体" w:eastAsia="宋体" w:cs="宋体"/>
                <w:sz w:val="18"/>
                <w:szCs w:val="18"/>
              </w:rPr>
            </w:pPr>
            <w:r>
              <w:rPr>
                <w:rFonts w:ascii="宋体" w:hAnsi="宋体" w:eastAsia="宋体" w:cs="宋体"/>
                <w:sz w:val="18"/>
                <w:szCs w:val="18"/>
              </w:rPr>
              <w:t>19.00-31.67</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28" w:name="OLE_LINK38"/>
      <w:r>
        <w:rPr>
          <w:rFonts w:hint="eastAsia" w:ascii="Times New Roman" w:hAnsi="Times New Roman" w:eastAsia="宋体" w:cs="Times New Roman"/>
          <w:color w:val="000000"/>
          <w:sz w:val="21"/>
          <w:szCs w:val="21"/>
          <w:lang w:val="en-US" w:eastAsia="zh-CN"/>
        </w:rPr>
        <w:t>3.固定资产处置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cs="Times New Roman"/>
          <w:color w:val="000000"/>
          <w:sz w:val="21"/>
          <w:szCs w:val="21"/>
          <w:lang w:val="en-US" w:eastAsia="zh-CN"/>
        </w:rPr>
      </w:pPr>
      <w:r>
        <w:rPr>
          <w:rFonts w:hint="eastAsia" w:cs="Times New Roman"/>
          <w:color w:val="000000"/>
          <w:sz w:val="21"/>
          <w:szCs w:val="21"/>
          <w:lang w:val="en-US" w:eastAsia="zh-CN"/>
        </w:rPr>
        <w:t>当固定资产被处置、或者预期通过使用或处置不能产生经济利益时，终止确认该固定资产。固定资产出售、转让、报废或毁损的处置收入扣除其账面价值和相关税费后的金额计入当期损益。</w:t>
      </w:r>
    </w:p>
    <w:bookmarkEnd w:id="128"/>
    <w:p>
      <w:pPr>
        <w:keepNext/>
        <w:keepLines/>
        <w:spacing w:before="300" w:after="300" w:line="280" w:lineRule="exact"/>
        <w:jc w:val="left"/>
        <w:outlineLvl w:val="2"/>
        <w:rPr>
          <w:rFonts w:ascii="宋体" w:hAnsi="宋体" w:eastAsia="宋体" w:cs="宋体"/>
          <w:b/>
          <w:bCs/>
          <w:sz w:val="21"/>
          <w:szCs w:val="21"/>
        </w:rPr>
      </w:pPr>
      <w:bookmarkStart w:id="129" w:name="_Toc989010"/>
      <w:r>
        <w:rPr>
          <w:rFonts w:hint="eastAsia" w:ascii="宋体" w:hAnsi="宋体" w:cs="宋体"/>
          <w:b/>
          <w:bCs/>
          <w:sz w:val="21"/>
          <w:szCs w:val="21"/>
          <w:lang w:eastAsia="zh-CN"/>
        </w:rPr>
        <w:t>（</w:t>
      </w:r>
      <w:r>
        <w:rPr>
          <w:rFonts w:hint="eastAsia" w:ascii="宋体" w:hAnsi="宋体" w:cs="宋体"/>
          <w:b/>
          <w:bCs/>
          <w:sz w:val="21"/>
          <w:szCs w:val="21"/>
          <w:lang w:val="en-US" w:eastAsia="zh-CN"/>
        </w:rPr>
        <w:t>十七</w:t>
      </w:r>
      <w:r>
        <w:rPr>
          <w:rFonts w:hint="eastAsia" w:ascii="宋体" w:hAnsi="宋体" w:cs="宋体"/>
          <w:b/>
          <w:bCs/>
          <w:sz w:val="21"/>
          <w:szCs w:val="21"/>
          <w:lang w:eastAsia="zh-CN"/>
        </w:rPr>
        <w:t>）</w:t>
      </w:r>
      <w:r>
        <w:rPr>
          <w:rFonts w:ascii="宋体" w:hAnsi="宋体" w:eastAsia="宋体" w:cs="宋体"/>
          <w:b/>
          <w:bCs/>
          <w:sz w:val="21"/>
          <w:szCs w:val="21"/>
        </w:rPr>
        <w:t>在建工程</w:t>
      </w:r>
      <w:bookmarkEnd w:id="129"/>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p>
    <w:p>
      <w:pPr>
        <w:keepNext/>
        <w:keepLines/>
        <w:spacing w:before="300" w:after="300" w:line="280" w:lineRule="exact"/>
        <w:jc w:val="left"/>
        <w:outlineLvl w:val="2"/>
        <w:rPr>
          <w:rFonts w:ascii="宋体" w:hAnsi="宋体" w:eastAsia="宋体" w:cs="宋体"/>
          <w:b/>
          <w:bCs/>
          <w:sz w:val="21"/>
          <w:szCs w:val="21"/>
        </w:rPr>
      </w:pPr>
      <w:bookmarkStart w:id="130" w:name="_Toc989011"/>
      <w:r>
        <w:rPr>
          <w:rFonts w:hint="eastAsia" w:ascii="宋体" w:hAnsi="宋体" w:cs="宋体"/>
          <w:b/>
          <w:bCs/>
          <w:sz w:val="21"/>
          <w:szCs w:val="21"/>
          <w:lang w:eastAsia="zh-CN"/>
        </w:rPr>
        <w:t>（</w:t>
      </w:r>
      <w:r>
        <w:rPr>
          <w:rFonts w:hint="eastAsia" w:ascii="宋体" w:hAnsi="宋体" w:cs="宋体"/>
          <w:b/>
          <w:bCs/>
          <w:sz w:val="21"/>
          <w:szCs w:val="21"/>
          <w:lang w:val="en-US" w:eastAsia="zh-CN"/>
        </w:rPr>
        <w:t>十八</w:t>
      </w:r>
      <w:r>
        <w:rPr>
          <w:rFonts w:hint="eastAsia" w:ascii="宋体" w:hAnsi="宋体" w:cs="宋体"/>
          <w:b/>
          <w:bCs/>
          <w:sz w:val="21"/>
          <w:szCs w:val="21"/>
          <w:lang w:eastAsia="zh-CN"/>
        </w:rPr>
        <w:t>）</w:t>
      </w:r>
      <w:r>
        <w:rPr>
          <w:rFonts w:ascii="宋体" w:hAnsi="宋体" w:eastAsia="宋体" w:cs="宋体"/>
          <w:b/>
          <w:bCs/>
          <w:sz w:val="21"/>
          <w:szCs w:val="21"/>
        </w:rPr>
        <w:t>借款费用</w:t>
      </w:r>
      <w:bookmarkEnd w:id="13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sz w:val="21"/>
          <w:szCs w:val="21"/>
          <w:lang w:val="en-US" w:eastAsia="zh-CN"/>
        </w:rPr>
        <w:t>借款费用资本化的确认原则</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公司发生的借款费用，可直接归属于符合资本化条件的资产的购建或者生产的，予以资本化，计入相关资产成本；其他借款费用，在发生时根据其发生额确认为费用，计入当期损益。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符合资本化条件的资产，是指需要经过相当长时间的购建或者生产活动才能达到预定可使用或者可销售状态的固定资产、投资性房地产和存货等资产。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2. </w:t>
      </w:r>
      <w:r>
        <w:rPr>
          <w:rFonts w:hint="eastAsia" w:ascii="Times New Roman" w:hAnsi="Times New Roman" w:eastAsia="宋体" w:cs="Times New Roman"/>
          <w:color w:val="000000"/>
          <w:sz w:val="21"/>
          <w:szCs w:val="21"/>
          <w:lang w:val="en-US" w:eastAsia="zh-CN"/>
        </w:rPr>
        <w:t>借款费用资本化期间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资本化期间，指从借款费用开始资本化时点到停止资本化时点的期间，借款费用暂停资本化的期间不包括在内。</w:t>
      </w:r>
    </w:p>
    <w:p>
      <w:pPr>
        <w:pStyle w:val="4"/>
        <w:keepNext w:val="0"/>
        <w:keepLines w:val="0"/>
        <w:widowControl/>
        <w:suppressLineNumbers w:val="0"/>
        <w:spacing w:before="100" w:beforeAutospacing="0" w:after="10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 xml:space="preserve">借款费用同时满足下列条件时开始资本化：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 xml:space="preserve">①资产支出已经发生，资产支出包括为购建或者生产符合资本化条件的资产而以支付现金、转移非现金资产或者承担带息债务形式发生的支出；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 xml:space="preserve">②借款费用已经发生；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③为使资产达到预定可使用或者可销售状态所必要的购建或者生产活动已经开始。</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当购建或者生产符合资本化条件的资产达到预定可使用或者可销售状态时，借款费用停止资本化。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3. </w:t>
      </w:r>
      <w:r>
        <w:rPr>
          <w:rFonts w:hint="eastAsia" w:ascii="Times New Roman" w:hAnsi="Times New Roman" w:eastAsia="宋体" w:cs="Times New Roman"/>
          <w:color w:val="000000"/>
          <w:sz w:val="21"/>
          <w:szCs w:val="21"/>
          <w:lang w:val="en-US" w:eastAsia="zh-CN"/>
        </w:rPr>
        <w:t>暂停资本化期间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符合资本化条件的资产在购建或生产过程中发生的非正常中断、且中断时间连续超过</w:t>
      </w:r>
      <w:r>
        <w:rPr>
          <w:rFonts w:hint="default" w:ascii="Times New Roman" w:hAnsi="Times New Roman" w:eastAsia="宋体" w:cs="Times New Roman"/>
          <w:color w:val="000000"/>
          <w:sz w:val="21"/>
          <w:szCs w:val="21"/>
        </w:rPr>
        <w:t>3</w:t>
      </w:r>
      <w:r>
        <w:rPr>
          <w:rFonts w:hint="eastAsia" w:ascii="Times New Roman" w:hAnsi="Times New Roman" w:eastAsia="宋体" w:cs="Times New Roman"/>
          <w:color w:val="000000"/>
          <w:sz w:val="21"/>
          <w:szCs w:val="21"/>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r>
        <w:rPr>
          <w:rFonts w:hint="eastAsia" w:ascii="Times New Roman" w:hAnsi="Times New Roman" w:eastAsia="宋体" w:cs="Times New Roman"/>
          <w:color w:val="000000"/>
          <w:sz w:val="21"/>
          <w:szCs w:val="21"/>
          <w:lang w:val="en-US" w:eastAsia="zh-CN"/>
        </w:rPr>
        <w:t>借款费用资本化率、资本化金额的计算方法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Times New Roman" w:hAnsi="Times New Roman" w:eastAsia="宋体" w:cs="Times New Roman"/>
          <w:color w:val="000000"/>
          <w:sz w:val="21"/>
          <w:szCs w:val="21"/>
        </w:rPr>
        <w:t>在资本化期间内，外币专门借款本金及利息的汇兑差额，予以资本化，计入符合资本化条件的资产的成本。除外币专门借</w:t>
      </w:r>
      <w:r>
        <w:rPr>
          <w:rFonts w:hint="eastAsia" w:ascii="宋体" w:hAnsi="宋体" w:eastAsia="宋体" w:cs="宋体"/>
          <w:color w:val="000000"/>
          <w:sz w:val="21"/>
          <w:szCs w:val="21"/>
        </w:rPr>
        <w:t>款之外的其他外币借款本金及其利息所产生的汇兑差额计入当期损益。</w:t>
      </w:r>
    </w:p>
    <w:p>
      <w:pPr>
        <w:keepNext/>
        <w:keepLines/>
        <w:spacing w:before="300" w:after="300" w:line="280" w:lineRule="exact"/>
        <w:jc w:val="left"/>
        <w:outlineLvl w:val="2"/>
        <w:rPr>
          <w:rFonts w:ascii="宋体" w:hAnsi="宋体" w:eastAsia="宋体" w:cs="宋体"/>
          <w:b/>
          <w:bCs/>
          <w:sz w:val="21"/>
          <w:szCs w:val="21"/>
        </w:rPr>
      </w:pPr>
      <w:bookmarkStart w:id="131" w:name="_Toc989012"/>
      <w:r>
        <w:rPr>
          <w:rFonts w:hint="eastAsia" w:ascii="宋体" w:hAnsi="宋体" w:cs="宋体"/>
          <w:b/>
          <w:bCs/>
          <w:sz w:val="21"/>
          <w:szCs w:val="21"/>
          <w:lang w:eastAsia="zh-CN"/>
        </w:rPr>
        <w:t>（</w:t>
      </w:r>
      <w:r>
        <w:rPr>
          <w:rFonts w:hint="eastAsia" w:ascii="宋体" w:hAnsi="宋体" w:cs="宋体"/>
          <w:b/>
          <w:bCs/>
          <w:sz w:val="21"/>
          <w:szCs w:val="21"/>
          <w:lang w:val="en-US" w:eastAsia="zh-CN"/>
        </w:rPr>
        <w:t>十九</w:t>
      </w:r>
      <w:r>
        <w:rPr>
          <w:rFonts w:hint="eastAsia" w:ascii="宋体" w:hAnsi="宋体" w:cs="宋体"/>
          <w:b/>
          <w:bCs/>
          <w:sz w:val="21"/>
          <w:szCs w:val="21"/>
          <w:lang w:eastAsia="zh-CN"/>
        </w:rPr>
        <w:t>）</w:t>
      </w:r>
      <w:r>
        <w:rPr>
          <w:rFonts w:ascii="宋体" w:hAnsi="宋体" w:eastAsia="宋体" w:cs="宋体"/>
          <w:b/>
          <w:bCs/>
          <w:sz w:val="21"/>
          <w:szCs w:val="21"/>
        </w:rPr>
        <w:t>无形资产</w:t>
      </w:r>
      <w:bookmarkEnd w:id="13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bookmarkStart w:id="132" w:name="OLE_LINK39"/>
      <w:bookmarkEnd w:id="132"/>
      <w:r>
        <w:rPr>
          <w:rFonts w:hint="default"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sz w:val="21"/>
          <w:szCs w:val="21"/>
          <w:lang w:val="en-US" w:eastAsia="zh-CN"/>
        </w:rPr>
        <w:t>无形资产的计价方法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）公司取得无形资产时按成本进行初始计量；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外购无形资产的成本，包括购买价款、相关税费以及直接归属于使该项资产达到预定用途所发生的其他支出。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）后续计量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在取得无形资产时分析判断其使用寿命。</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对于使用寿命有限的无形资产，在为企业带来经济利益的期限内摊销；无法预见无形资产为企业带来经济利益期限的，视为使用寿命不确定的无形资产，不予摊销。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w:t>
      </w:r>
      <w:r>
        <w:rPr>
          <w:rFonts w:hint="eastAsia" w:ascii="Times New Roman" w:hAnsi="Times New Roman" w:eastAsia="宋体" w:cs="Times New Roman"/>
          <w:color w:val="000000"/>
          <w:sz w:val="21"/>
          <w:szCs w:val="21"/>
          <w:lang w:val="en-US" w:eastAsia="zh-CN"/>
        </w:rPr>
        <w:t>使用寿命有限的无形资产的使用寿命估计情况</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55"/>
        <w:gridCol w:w="1495"/>
        <w:gridCol w:w="1619"/>
        <w:gridCol w:w="1619"/>
        <w:gridCol w:w="25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72"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828"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预计使用寿命</w:t>
            </w:r>
          </w:p>
        </w:tc>
        <w:tc>
          <w:tcPr>
            <w:tcW w:w="89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摊销方法</w:t>
            </w:r>
          </w:p>
        </w:tc>
        <w:tc>
          <w:tcPr>
            <w:tcW w:w="89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残值率</w:t>
            </w:r>
          </w:p>
        </w:tc>
        <w:tc>
          <w:tcPr>
            <w:tcW w:w="1405"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预计使用寿命的确定依据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土地使用权</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50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土地使用权期限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软件</w:t>
            </w:r>
          </w:p>
        </w:tc>
        <w:tc>
          <w:tcPr>
            <w:tcW w:w="828"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10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预计更新升级期间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972"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专有技术</w:t>
            </w:r>
          </w:p>
        </w:tc>
        <w:tc>
          <w:tcPr>
            <w:tcW w:w="828"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10</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直线法</w:t>
            </w:r>
          </w:p>
        </w:tc>
        <w:tc>
          <w:tcPr>
            <w:tcW w:w="89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sz w:val="18"/>
                <w:szCs w:val="18"/>
              </w:rPr>
              <w:t>0</w:t>
            </w:r>
          </w:p>
        </w:tc>
        <w:tc>
          <w:tcPr>
            <w:tcW w:w="1405"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sz w:val="18"/>
                <w:szCs w:val="18"/>
              </w:rPr>
              <w:t>预计更新升级期间</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w:t>
      </w:r>
      <w:r>
        <w:rPr>
          <w:rFonts w:hint="eastAsia" w:ascii="Times New Roman" w:hAnsi="Times New Roman" w:eastAsia="宋体" w:cs="Times New Roman"/>
          <w:color w:val="000000"/>
          <w:sz w:val="21"/>
          <w:szCs w:val="21"/>
          <w:lang w:val="en-US" w:eastAsia="zh-CN"/>
        </w:rPr>
        <w:t>使用寿命不确定的无形资产的判断依据以及对其使用寿命进行复核的程序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本公司尚不存在使用寿命不确定的无形资产。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4.</w:t>
      </w:r>
      <w:r>
        <w:rPr>
          <w:rFonts w:hint="eastAsia" w:ascii="Times New Roman" w:hAnsi="Times New Roman" w:eastAsia="宋体" w:cs="Times New Roman"/>
          <w:color w:val="000000"/>
          <w:sz w:val="21"/>
          <w:szCs w:val="21"/>
          <w:lang w:val="en-US" w:eastAsia="zh-CN"/>
        </w:rPr>
        <w:t>研发支出的归集范围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公司进行研究与开发过程中发生的支出包括从事研发活动的人员的相关职工薪酬、耗用材料、相关折旧摊销费用、水电燃料等相关支出。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5. </w:t>
      </w:r>
      <w:r>
        <w:rPr>
          <w:rFonts w:hint="eastAsia" w:ascii="Times New Roman" w:hAnsi="Times New Roman" w:eastAsia="宋体" w:cs="Times New Roman"/>
          <w:color w:val="000000"/>
          <w:sz w:val="21"/>
          <w:szCs w:val="21"/>
          <w:lang w:val="en-US" w:eastAsia="zh-CN"/>
        </w:rPr>
        <w:t>划分研究阶段和开发阶段的具体标准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公司内部研究开发项目的支出分为研究阶段支出和开发阶段支出。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研究阶段：为获取并理解新的科学或技术知识等而进行的独创性的有计划调查、研究活动的阶段。</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开发阶段：在进行商业性生产或使用前，将研究成果或其他知识应用于某项计划或设计，以生产出新的或具有实质性改进的材料、装置、产品等活动的阶段。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w:t>
      </w:r>
      <w:r>
        <w:rPr>
          <w:rFonts w:hint="eastAsia" w:ascii="Times New Roman" w:hAnsi="Times New Roman" w:eastAsia="宋体" w:cs="Times New Roman"/>
          <w:color w:val="000000"/>
          <w:sz w:val="21"/>
          <w:szCs w:val="21"/>
          <w:lang w:val="en-US" w:eastAsia="zh-CN"/>
        </w:rPr>
        <w:t>开发阶段支出资本化的具体条件</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研究阶段的支出，于发生时计入当期损益。开发阶段的支出同时满足下列条件的，确认为无形资产，不能满足下述条件的开发阶段的支出计入当期损益：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①完成该无形资产以使其能够使用或出售在技术上具有可行性；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②具有完成该无形资产并使用或出售的意图；</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③</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无形资产产生经济利益的方式，包括能够证明运用该无形资产生产的产品存在市场或无形资产自身存在市场，无形资产将在内部使用的，能够证明其有用性；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④有足够的技术、财务资源和其他资源支持，以完成该无形资产的开发，并有能力使用或出售该无形资产；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bookmarkStart w:id="133" w:name="OLE_LINK1"/>
      <w:bookmarkEnd w:id="133"/>
      <w:r>
        <w:rPr>
          <w:rFonts w:hint="eastAsia" w:ascii="宋体" w:hAnsi="宋体" w:eastAsia="宋体" w:cs="宋体"/>
          <w:color w:val="000000"/>
          <w:sz w:val="21"/>
          <w:szCs w:val="21"/>
        </w:rPr>
        <w:t>⑤</w:t>
      </w:r>
      <w:r>
        <w:rPr>
          <w:rFonts w:hint="default" w:ascii="Times New Roman" w:hAnsi="Times New Roman" w:eastAsia="宋体" w:cs="Times New Roman"/>
          <w:color w:val="000000"/>
          <w:sz w:val="21"/>
          <w:szCs w:val="21"/>
        </w:rPr>
        <w:t> </w:t>
      </w:r>
      <w:r>
        <w:rPr>
          <w:rFonts w:hint="eastAsia" w:ascii="宋体" w:hAnsi="宋体" w:eastAsia="宋体" w:cs="宋体"/>
          <w:color w:val="000000"/>
          <w:sz w:val="21"/>
          <w:szCs w:val="21"/>
        </w:rPr>
        <w:t>归属于该无形资产开发阶段的支出能够可靠地计量。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无法区分研究阶段支出和开发阶段支出的，将发生的研发支出全部计入当期损益。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公司主要研发项目分为航天类新产品研制、新型飞机刹车材料研制、飞机刹车材料改进研制、新型飞机机轮及刹车系统研制、飞机机轮及刹车系统改进研制、高性能硬质合金材料及其部件制备技术研发等，其中：</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①航天类新产品、新型飞机刹车材料研制项目，主要有市场调研、可行性研究、结构设计、材料选择及相关制造技术研究、形成飞机刹车技术规范、试验件的制造、地面试验、飞行试验、产品取证等阶段，本公司认为形成飞机刹车材料技术规范时，下一步研发已具备针对性，且形成成果的可能性较大时，作为资本化时点；</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②飞机刹车材料改进研制项目，是基于在已研制完成项目基础上进行改进，故将实质性研发支出直接资本化；</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③新型飞机机轮及刹车系统研制项目，主要有市场调研、可行性研究；确定功能基线，编制设计和开发计划，编制研制方案以及各类型文件大纲；绘制研发项目产品图样，编制产品规范、工艺规程、检验规程等整套技术文件，形成分配基线；对产品图样、工艺规程等进行工艺评审，满足设计要求及其合理性与经济性、可生产性与可检验性的能力；完成产品样机试制，编写可靠性、维修性、安全性、保障性文件，完成研制产品首件鉴定、研制试验、首飞安全试验、系统匹配性试验以及技术审查（</w:t>
      </w:r>
      <w:r>
        <w:rPr>
          <w:rFonts w:hint="default" w:ascii="Times New Roman" w:hAnsi="Times New Roman" w:eastAsia="宋体" w:cs="Times New Roman"/>
          <w:color w:val="000000"/>
          <w:sz w:val="21"/>
          <w:szCs w:val="21"/>
        </w:rPr>
        <w:t>C</w:t>
      </w:r>
      <w:r>
        <w:rPr>
          <w:rFonts w:hint="eastAsia" w:ascii="宋体" w:hAnsi="宋体" w:eastAsia="宋体" w:cs="宋体"/>
          <w:color w:val="000000"/>
          <w:sz w:val="21"/>
          <w:szCs w:val="21"/>
        </w:rPr>
        <w:t>阶段转</w:t>
      </w:r>
      <w:r>
        <w:rPr>
          <w:rFonts w:hint="default" w:ascii="Times New Roman" w:hAnsi="Times New Roman" w:eastAsia="宋体" w:cs="Times New Roman"/>
          <w:color w:val="000000"/>
          <w:sz w:val="21"/>
          <w:szCs w:val="21"/>
        </w:rPr>
        <w:t>S</w:t>
      </w:r>
      <w:r>
        <w:rPr>
          <w:rFonts w:hint="eastAsia" w:ascii="宋体" w:hAnsi="宋体" w:eastAsia="宋体" w:cs="宋体"/>
          <w:color w:val="000000"/>
          <w:sz w:val="21"/>
          <w:szCs w:val="21"/>
        </w:rPr>
        <w:t>阶段）、首飞准备审查，本公司认为完成可行性研究后，确定功能基线时，研发已具备针对性，且形成成果的可能性较大时，作为资本化时点；</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④飞机机轮及刹车系统改进研制项目，是基于在已研制完成项目基础上进行局部重大升级改进或较大范围的升级改进，故将实质性研发支出直接资本化。</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⑤高性能硬质合金材料研发，以完成配方试验作为资本化时点。</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⑥高性能硬质合金工艺技术研发，以形成工艺标准为资本化时点。</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⑦硬质合金部件研发，以形成产品品号为资本化时点。</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上述研发项目以完成研发成果鉴定、验收或取得</w:t>
      </w:r>
      <w:r>
        <w:rPr>
          <w:rFonts w:hint="default" w:ascii="Times New Roman" w:hAnsi="Times New Roman" w:eastAsia="宋体" w:cs="Times New Roman"/>
          <w:color w:val="000000"/>
          <w:sz w:val="21"/>
          <w:szCs w:val="21"/>
        </w:rPr>
        <w:t>PMA</w:t>
      </w:r>
      <w:r>
        <w:rPr>
          <w:rFonts w:hint="eastAsia" w:ascii="宋体" w:hAnsi="宋体" w:eastAsia="宋体" w:cs="宋体"/>
          <w:color w:val="000000"/>
          <w:sz w:val="21"/>
          <w:szCs w:val="21"/>
        </w:rPr>
        <w:t>证书等作为转入无形资产核算时点。</w:t>
      </w:r>
    </w:p>
    <w:p>
      <w:pPr>
        <w:keepNext/>
        <w:keepLines/>
        <w:spacing w:before="300" w:after="300" w:line="280" w:lineRule="exact"/>
        <w:jc w:val="left"/>
        <w:outlineLvl w:val="2"/>
        <w:rPr>
          <w:rFonts w:ascii="宋体" w:hAnsi="宋体" w:eastAsia="宋体" w:cs="宋体"/>
          <w:b/>
          <w:bCs/>
          <w:sz w:val="21"/>
          <w:szCs w:val="21"/>
        </w:rPr>
      </w:pPr>
      <w:bookmarkStart w:id="134" w:name="_Toc989014"/>
      <w:r>
        <w:rPr>
          <w:rFonts w:hint="eastAsia" w:ascii="宋体" w:hAnsi="宋体" w:cs="宋体"/>
          <w:b/>
          <w:bCs/>
          <w:sz w:val="21"/>
          <w:szCs w:val="21"/>
          <w:lang w:eastAsia="zh-CN"/>
        </w:rPr>
        <w:t>（</w:t>
      </w:r>
      <w:r>
        <w:rPr>
          <w:rFonts w:hint="eastAsia" w:ascii="宋体" w:hAnsi="宋体" w:cs="宋体"/>
          <w:b/>
          <w:bCs/>
          <w:sz w:val="21"/>
          <w:szCs w:val="21"/>
          <w:lang w:val="en-US" w:eastAsia="zh-CN"/>
        </w:rPr>
        <w:t>二十</w:t>
      </w:r>
      <w:r>
        <w:rPr>
          <w:rFonts w:hint="eastAsia" w:ascii="宋体" w:hAnsi="宋体" w:cs="宋体"/>
          <w:b/>
          <w:bCs/>
          <w:sz w:val="21"/>
          <w:szCs w:val="21"/>
          <w:lang w:eastAsia="zh-CN"/>
        </w:rPr>
        <w:t>）</w:t>
      </w:r>
      <w:r>
        <w:rPr>
          <w:rFonts w:ascii="宋体" w:hAnsi="宋体" w:eastAsia="宋体" w:cs="宋体"/>
          <w:b/>
          <w:bCs/>
          <w:sz w:val="21"/>
          <w:szCs w:val="21"/>
        </w:rPr>
        <w:t>长期资产减值</w:t>
      </w:r>
      <w:bookmarkEnd w:id="134"/>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长期股权投资、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对于因企业合并形成的商誉、使用寿命不确定的无形资产、尚未达到可使用状态的无形资产，无论是否存在减值迹象，至少在每年年度终了进行减值测试。</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上述资产减值损失一经确认，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135" w:name="_Toc989015"/>
      <w:r>
        <w:rPr>
          <w:rFonts w:hint="eastAsia" w:ascii="宋体" w:hAnsi="宋体" w:cs="宋体"/>
          <w:b/>
          <w:bCs/>
          <w:sz w:val="21"/>
          <w:szCs w:val="21"/>
          <w:lang w:eastAsia="zh-CN"/>
        </w:rPr>
        <w:t>（</w:t>
      </w:r>
      <w:r>
        <w:rPr>
          <w:rFonts w:hint="eastAsia" w:ascii="宋体" w:hAnsi="宋体" w:cs="宋体"/>
          <w:b/>
          <w:bCs/>
          <w:sz w:val="21"/>
          <w:szCs w:val="21"/>
          <w:lang w:val="en-US" w:eastAsia="zh-CN"/>
        </w:rPr>
        <w:t>二十一</w:t>
      </w:r>
      <w:r>
        <w:rPr>
          <w:rFonts w:hint="eastAsia" w:ascii="宋体" w:hAnsi="宋体" w:cs="宋体"/>
          <w:b/>
          <w:bCs/>
          <w:sz w:val="21"/>
          <w:szCs w:val="21"/>
          <w:lang w:eastAsia="zh-CN"/>
        </w:rPr>
        <w:t>）</w:t>
      </w:r>
      <w:r>
        <w:rPr>
          <w:rFonts w:ascii="宋体" w:hAnsi="宋体" w:eastAsia="宋体" w:cs="宋体"/>
          <w:b/>
          <w:bCs/>
          <w:sz w:val="21"/>
          <w:szCs w:val="21"/>
        </w:rPr>
        <w:t>长期待摊费用</w:t>
      </w:r>
      <w:bookmarkEnd w:id="135"/>
    </w:p>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长期待摊费用为已经发生但应由本期和以后各期负担的分摊期限在一年以上的各项费用。</w:t>
      </w:r>
    </w:p>
    <w:p>
      <w:pPr>
        <w:keepNext/>
        <w:keepLines/>
        <w:spacing w:before="300" w:after="300" w:line="280" w:lineRule="exact"/>
        <w:jc w:val="left"/>
        <w:outlineLvl w:val="2"/>
        <w:rPr>
          <w:rFonts w:ascii="宋体" w:hAnsi="宋体" w:eastAsia="宋体" w:cs="宋体"/>
          <w:b/>
          <w:bCs/>
          <w:sz w:val="21"/>
          <w:szCs w:val="21"/>
        </w:rPr>
      </w:pPr>
      <w:bookmarkStart w:id="136" w:name="_Toc989016"/>
      <w:r>
        <w:rPr>
          <w:rFonts w:hint="eastAsia" w:ascii="宋体" w:hAnsi="宋体" w:cs="宋体"/>
          <w:b/>
          <w:bCs/>
          <w:sz w:val="21"/>
          <w:szCs w:val="21"/>
          <w:lang w:eastAsia="zh-CN"/>
        </w:rPr>
        <w:t>（</w:t>
      </w:r>
      <w:r>
        <w:rPr>
          <w:rFonts w:hint="eastAsia" w:ascii="宋体" w:hAnsi="宋体" w:cs="宋体"/>
          <w:b/>
          <w:bCs/>
          <w:sz w:val="21"/>
          <w:szCs w:val="21"/>
          <w:lang w:val="en-US" w:eastAsia="zh-CN"/>
        </w:rPr>
        <w:t>二十二</w:t>
      </w:r>
      <w:r>
        <w:rPr>
          <w:rFonts w:hint="eastAsia" w:ascii="宋体" w:hAnsi="宋体" w:cs="宋体"/>
          <w:b/>
          <w:bCs/>
          <w:sz w:val="21"/>
          <w:szCs w:val="21"/>
          <w:lang w:eastAsia="zh-CN"/>
        </w:rPr>
        <w:t>）</w:t>
      </w:r>
      <w:r>
        <w:rPr>
          <w:rFonts w:ascii="宋体" w:hAnsi="宋体" w:eastAsia="宋体" w:cs="宋体"/>
          <w:b/>
          <w:bCs/>
          <w:sz w:val="21"/>
          <w:szCs w:val="21"/>
        </w:rPr>
        <w:t>合同负债</w:t>
      </w:r>
      <w:bookmarkEnd w:id="136"/>
    </w:p>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r>
        <w:rPr>
          <w:rFonts w:ascii="Arial" w:hAnsi="Arial" w:eastAsia="宋体" w:cs="Arial"/>
          <w:color w:val="0000FF"/>
          <w:sz w:val="16"/>
          <w:szCs w:val="16"/>
        </w:rPr>
        <w:t>  </w:t>
      </w:r>
    </w:p>
    <w:p>
      <w:pPr>
        <w:keepNext/>
        <w:keepLines/>
        <w:spacing w:before="300" w:after="300" w:line="280" w:lineRule="exact"/>
        <w:jc w:val="left"/>
        <w:outlineLvl w:val="2"/>
        <w:rPr>
          <w:rFonts w:ascii="宋体" w:hAnsi="宋体" w:eastAsia="宋体" w:cs="宋体"/>
          <w:b/>
          <w:bCs/>
          <w:sz w:val="21"/>
          <w:szCs w:val="21"/>
        </w:rPr>
      </w:pPr>
      <w:bookmarkStart w:id="137" w:name="_Toc989017"/>
      <w:r>
        <w:rPr>
          <w:rFonts w:hint="eastAsia" w:ascii="宋体" w:hAnsi="宋体" w:cs="宋体"/>
          <w:b/>
          <w:bCs/>
          <w:sz w:val="21"/>
          <w:szCs w:val="21"/>
          <w:lang w:eastAsia="zh-CN"/>
        </w:rPr>
        <w:t>（</w:t>
      </w:r>
      <w:r>
        <w:rPr>
          <w:rFonts w:hint="eastAsia" w:ascii="宋体" w:hAnsi="宋体" w:cs="宋体"/>
          <w:b/>
          <w:bCs/>
          <w:sz w:val="21"/>
          <w:szCs w:val="21"/>
          <w:lang w:val="en-US" w:eastAsia="zh-CN"/>
        </w:rPr>
        <w:t>二十三</w:t>
      </w:r>
      <w:r>
        <w:rPr>
          <w:rFonts w:hint="eastAsia" w:ascii="宋体" w:hAnsi="宋体" w:cs="宋体"/>
          <w:b/>
          <w:bCs/>
          <w:sz w:val="21"/>
          <w:szCs w:val="21"/>
          <w:lang w:eastAsia="zh-CN"/>
        </w:rPr>
        <w:t>）</w:t>
      </w:r>
      <w:r>
        <w:rPr>
          <w:rFonts w:ascii="宋体" w:hAnsi="宋体" w:eastAsia="宋体" w:cs="宋体"/>
          <w:b/>
          <w:bCs/>
          <w:sz w:val="21"/>
          <w:szCs w:val="21"/>
        </w:rPr>
        <w:t>职工薪酬</w:t>
      </w:r>
      <w:bookmarkEnd w:id="137"/>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38" w:name="_Toc989018"/>
      <w:r>
        <w:rPr>
          <w:rFonts w:hint="eastAsia" w:ascii="Times New Roman" w:hAnsi="Times New Roman" w:eastAsia="宋体" w:cs="Times New Roman"/>
          <w:color w:val="000000"/>
          <w:sz w:val="21"/>
          <w:szCs w:val="21"/>
          <w:lang w:val="en-US" w:eastAsia="zh-CN"/>
        </w:rPr>
        <w:t>1.短期薪酬的会计处理方法</w:t>
      </w:r>
      <w:bookmarkEnd w:id="138"/>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本公司在职工为本公司提供服务的会计期间，将实际发生的短期薪酬确认为负债，并计入当期损益或相关资产成本。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本公司发生的职工福利费，在实际发生时根据实际发生额计入当期损益或相关资产成本，其中，非货币性福利按照公允价值计量。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39" w:name="_Toc989019"/>
      <w:r>
        <w:rPr>
          <w:rFonts w:hint="eastAsia" w:ascii="Times New Roman" w:hAnsi="Times New Roman" w:eastAsia="宋体" w:cs="Times New Roman"/>
          <w:color w:val="000000"/>
          <w:sz w:val="21"/>
          <w:szCs w:val="21"/>
          <w:lang w:val="en-US" w:eastAsia="zh-CN"/>
        </w:rPr>
        <w:t>2.离职后福利的会计处理方法</w:t>
      </w:r>
      <w:bookmarkEnd w:id="139"/>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w:t>
      </w:r>
      <w:r>
        <w:rPr>
          <w:rFonts w:hint="default" w:ascii="宋体" w:hAnsi="宋体" w:eastAsia="宋体" w:cs="宋体"/>
          <w:color w:val="000000"/>
          <w:sz w:val="21"/>
          <w:szCs w:val="21"/>
        </w:rPr>
        <w:t>1</w:t>
      </w:r>
      <w:r>
        <w:rPr>
          <w:rFonts w:hint="eastAsia" w:ascii="宋体" w:hAnsi="宋体" w:eastAsia="宋体" w:cs="宋体"/>
          <w:color w:val="000000"/>
          <w:sz w:val="21"/>
          <w:szCs w:val="21"/>
        </w:rPr>
        <w:t>）设定提存计划</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w:t>
      </w:r>
      <w:r>
        <w:rPr>
          <w:rFonts w:hint="default" w:ascii="宋体" w:hAnsi="宋体" w:eastAsia="宋体" w:cs="宋体"/>
          <w:color w:val="000000"/>
          <w:sz w:val="21"/>
          <w:szCs w:val="21"/>
        </w:rPr>
        <w:t>/</w:t>
      </w:r>
      <w:r>
        <w:rPr>
          <w:rFonts w:hint="eastAsia" w:ascii="宋体" w:hAnsi="宋体" w:eastAsia="宋体" w:cs="宋体"/>
          <w:color w:val="000000"/>
          <w:sz w:val="21"/>
          <w:szCs w:val="21"/>
        </w:rPr>
        <w:t>补充养老保险基金。本公司按职工工资总额的一定比例向年金计划</w:t>
      </w:r>
      <w:r>
        <w:rPr>
          <w:rFonts w:hint="default" w:ascii="宋体" w:hAnsi="宋体" w:eastAsia="宋体" w:cs="宋体"/>
          <w:color w:val="000000"/>
          <w:sz w:val="21"/>
          <w:szCs w:val="21"/>
        </w:rPr>
        <w:t>/</w:t>
      </w:r>
      <w:r>
        <w:rPr>
          <w:rFonts w:hint="eastAsia" w:ascii="宋体" w:hAnsi="宋体" w:eastAsia="宋体" w:cs="宋体"/>
          <w:color w:val="000000"/>
          <w:sz w:val="21"/>
          <w:szCs w:val="21"/>
        </w:rPr>
        <w:t>当地社会保险机构缴费，相应支出计入当期损益或相关资产成本。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w:t>
      </w:r>
      <w:r>
        <w:rPr>
          <w:rFonts w:hint="default" w:ascii="宋体" w:hAnsi="宋体" w:eastAsia="宋体" w:cs="宋体"/>
          <w:color w:val="000000"/>
          <w:sz w:val="21"/>
          <w:szCs w:val="21"/>
        </w:rPr>
        <w:t>2</w:t>
      </w:r>
      <w:r>
        <w:rPr>
          <w:rFonts w:hint="eastAsia" w:ascii="宋体" w:hAnsi="宋体" w:eastAsia="宋体" w:cs="宋体"/>
          <w:color w:val="000000"/>
          <w:sz w:val="21"/>
          <w:szCs w:val="21"/>
        </w:rPr>
        <w:t>）设定受益计划</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本公司根据预期累计福利单位法确定的公式将设定受益计划产生的福利义务归属于职工提供服务的期间，并计入当期损益或相关资产成本。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在设定受益计划结算时，按在结算日确定的设定受益计划义务现值和结算价格两者的差额，确认结算利得或损失。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40" w:name="_Toc989020"/>
      <w:r>
        <w:rPr>
          <w:rFonts w:hint="eastAsia" w:ascii="Times New Roman" w:hAnsi="Times New Roman" w:eastAsia="宋体" w:cs="Times New Roman"/>
          <w:color w:val="000000"/>
          <w:sz w:val="21"/>
          <w:szCs w:val="21"/>
          <w:lang w:val="en-US" w:eastAsia="zh-CN"/>
        </w:rPr>
        <w:t>3.辞退福利的会计处理方法</w:t>
      </w:r>
      <w:bookmarkEnd w:id="140"/>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p>
      <w:pPr>
        <w:keepNext/>
        <w:keepLines/>
        <w:spacing w:before="300" w:after="300" w:line="280" w:lineRule="exact"/>
        <w:jc w:val="left"/>
        <w:outlineLvl w:val="2"/>
        <w:rPr>
          <w:rFonts w:ascii="宋体" w:hAnsi="宋体" w:eastAsia="宋体" w:cs="宋体"/>
          <w:b/>
          <w:bCs/>
          <w:sz w:val="21"/>
          <w:szCs w:val="21"/>
        </w:rPr>
      </w:pPr>
      <w:bookmarkStart w:id="141" w:name="_Toc989021"/>
      <w:r>
        <w:rPr>
          <w:rFonts w:hint="eastAsia" w:ascii="宋体" w:hAnsi="宋体" w:cs="宋体"/>
          <w:b/>
          <w:bCs/>
          <w:sz w:val="21"/>
          <w:szCs w:val="21"/>
          <w:lang w:eastAsia="zh-CN"/>
        </w:rPr>
        <w:t>（</w:t>
      </w:r>
      <w:r>
        <w:rPr>
          <w:rFonts w:hint="eastAsia" w:ascii="宋体" w:hAnsi="宋体" w:cs="宋体"/>
          <w:b/>
          <w:bCs/>
          <w:sz w:val="21"/>
          <w:szCs w:val="21"/>
          <w:lang w:val="en-US" w:eastAsia="zh-CN"/>
        </w:rPr>
        <w:t>二十四</w:t>
      </w:r>
      <w:r>
        <w:rPr>
          <w:rFonts w:hint="eastAsia" w:ascii="宋体" w:hAnsi="宋体" w:cs="宋体"/>
          <w:b/>
          <w:bCs/>
          <w:sz w:val="21"/>
          <w:szCs w:val="21"/>
          <w:lang w:eastAsia="zh-CN"/>
        </w:rPr>
        <w:t>）</w:t>
      </w:r>
      <w:r>
        <w:rPr>
          <w:rFonts w:ascii="宋体" w:hAnsi="宋体" w:eastAsia="宋体" w:cs="宋体"/>
          <w:b/>
          <w:bCs/>
          <w:sz w:val="21"/>
          <w:szCs w:val="21"/>
        </w:rPr>
        <w:t>预计负债</w:t>
      </w:r>
      <w:bookmarkEnd w:id="141"/>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与或有事项相关的义务同时满足下列条件时，本公司将其确认为预计负债：</w:t>
      </w:r>
      <w:r>
        <w:rPr>
          <w:rFonts w:hint="default" w:ascii="宋体" w:hAnsi="宋体" w:eastAsia="宋体" w:cs="宋体"/>
          <w:color w:val="auto"/>
          <w:sz w:val="21"/>
          <w:szCs w:val="21"/>
          <w:highlight w:val="none"/>
        </w:rPr>
        <w:t>  </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①该义务是本公司承担的现时义务；</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②履行该义务很可能导致经济利益流出本公司；</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③该义务的金额能够可靠地计量。</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预计负债按履行相关现时义务所需的支出的最佳估计数进行初始计量。</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在确定最佳估计数时，综合考虑与或有事项有关的风险、不确定性和货币时间价值等因素。对于货币时间价值影响重大的，通过对相关未来现金流出进行折现后确定最佳估计数。</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所需支出存在一个连续范围，且该范围内各种结果发生的可能性相同的，最佳估计数按照该范围内的中间值确定；在其他情况下，最佳估计数分别下列情况处理：</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①或有事项涉及单个项目的，按照最可能发生金额确定。</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②或有事项涉及多个项目的，按照各种可能结果及相关概率计算确定。  </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清偿预计负债所需支出全部或部分预期由第三方补偿的，补偿金额在基本确定能够收到时，作为资产单独确认，确认的补偿金额不超过预计负债的账面价值。</w:t>
      </w:r>
    </w:p>
    <w:p>
      <w:pPr>
        <w:pStyle w:val="4"/>
        <w:widowControl/>
        <w:spacing w:beforeAutospacing="0" w:afterAutospacing="0" w:line="360" w:lineRule="exact"/>
        <w:ind w:firstLine="420" w:firstLineChars="200"/>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280" w:lineRule="exact"/>
        <w:jc w:val="left"/>
        <w:outlineLvl w:val="2"/>
        <w:rPr>
          <w:rFonts w:ascii="宋体" w:hAnsi="宋体" w:eastAsia="宋体" w:cs="宋体"/>
          <w:b/>
          <w:bCs/>
          <w:sz w:val="21"/>
          <w:szCs w:val="21"/>
        </w:rPr>
      </w:pPr>
      <w:bookmarkStart w:id="142" w:name="_Toc989022"/>
      <w:r>
        <w:rPr>
          <w:rFonts w:hint="eastAsia" w:ascii="宋体" w:hAnsi="宋体" w:cs="宋体"/>
          <w:b/>
          <w:bCs/>
          <w:sz w:val="21"/>
          <w:szCs w:val="21"/>
          <w:lang w:eastAsia="zh-CN"/>
        </w:rPr>
        <w:t>（</w:t>
      </w:r>
      <w:r>
        <w:rPr>
          <w:rFonts w:hint="eastAsia" w:ascii="宋体" w:hAnsi="宋体" w:cs="宋体"/>
          <w:b/>
          <w:bCs/>
          <w:sz w:val="21"/>
          <w:szCs w:val="21"/>
          <w:lang w:val="en-US" w:eastAsia="zh-CN"/>
        </w:rPr>
        <w:t>二十五</w:t>
      </w:r>
      <w:r>
        <w:rPr>
          <w:rFonts w:hint="eastAsia" w:ascii="宋体" w:hAnsi="宋体" w:cs="宋体"/>
          <w:b/>
          <w:bCs/>
          <w:sz w:val="21"/>
          <w:szCs w:val="21"/>
          <w:lang w:eastAsia="zh-CN"/>
        </w:rPr>
        <w:t>）</w:t>
      </w:r>
      <w:r>
        <w:rPr>
          <w:rFonts w:ascii="宋体" w:hAnsi="宋体" w:eastAsia="宋体" w:cs="宋体"/>
          <w:b/>
          <w:bCs/>
          <w:sz w:val="21"/>
          <w:szCs w:val="21"/>
        </w:rPr>
        <w:t>收入</w:t>
      </w:r>
      <w:bookmarkEnd w:id="142"/>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按照业务类型披露收入确认和计量所采用的会计政策</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收入确认和计量所采用的会计政策</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本公司在履行了合同中的履约义务，即在客户取得相关商品或服务控制权时确认收入。取得相关商品或服务控制权，是指能够主导该商品或服务的使用并从中获得几乎全部的经济利益。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满足下列条件之一的，属于在某一时段内履行履约义务，否则，属于在某一时点履行履约义务：</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① 客户在本公司履约的同时即取得并消耗本公司履约所带来的经济利益。</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②客户能够控制本公司履约过程中在建的商品。</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③本公司履约过程中所产出的商品具有不可替代用途，且本公司在整个合同期内有权就累计至今已完成的履约部分收取款项。</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对于在某一时点履行的履约义务，本公司在客户取得相关商品或服务控制权时点确认收入。在判断客户是否已取得商品或服务控制权时，本公司考虑下列迹象：</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① 本公司就该商品或服务享有现时收款权利，即客户就该商品或服务负有现时付款义务。</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②本公司已将该商品的法定所有权转移给客户，即客户已拥有该商品的法定所有权。</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③本公司已将该商品实物转移给客户，即客户已实物占有该商品。</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本公司已将该商品所有权上的主要风险和报酬转移给客户，即客户已取得该商品所有权上的主要风险和报酬。</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④客户已接受该商品或服务等。</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本公司主要产品为飞机刹车材料、航天及民用碳</w:t>
      </w:r>
      <w:r>
        <w:rPr>
          <w:rFonts w:hint="default" w:ascii="宋体" w:hAnsi="宋体" w:eastAsia="宋体" w:cs="宋体"/>
          <w:color w:val="000000"/>
          <w:sz w:val="21"/>
          <w:szCs w:val="21"/>
        </w:rPr>
        <w:t>\</w:t>
      </w:r>
      <w:r>
        <w:rPr>
          <w:rFonts w:hint="eastAsia" w:ascii="宋体" w:hAnsi="宋体" w:eastAsia="宋体" w:cs="宋体"/>
          <w:color w:val="000000"/>
          <w:sz w:val="21"/>
          <w:szCs w:val="21"/>
        </w:rPr>
        <w:t>碳复合材料、高性能模具材料。</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本公司主要产品内销收入具体政策如下：</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飞机刹车材料：飞机刹车副，一般为客户收货后，公司开具发票，故公司主要以客户收货作为产品风险及报酬转移时点确认收入，若为寄售销售，公司向客户发出货物，由客户代为保管，客户使用后，统计当月消耗数量，于次月向公司提供结算单，公司复核无误后开具发票，故公司在寄售销售模式下以收到客户的结算单作为收入确认时点；飞机刹车系统，以客户验收作为收入确认时点。</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航天及民用碳</w:t>
      </w:r>
      <w:r>
        <w:rPr>
          <w:rFonts w:hint="default" w:ascii="宋体" w:hAnsi="宋体" w:eastAsia="宋体" w:cs="宋体"/>
          <w:color w:val="000000"/>
          <w:sz w:val="21"/>
          <w:szCs w:val="21"/>
        </w:rPr>
        <w:t>\</w:t>
      </w:r>
      <w:r>
        <w:rPr>
          <w:rFonts w:hint="eastAsia" w:ascii="宋体" w:hAnsi="宋体" w:eastAsia="宋体" w:cs="宋体"/>
          <w:color w:val="000000"/>
          <w:sz w:val="21"/>
          <w:szCs w:val="21"/>
        </w:rPr>
        <w:t>碳复合材料：根据合同是否约定验收合格条款而分别以客户确认收货或客户验收合格作为收入确认时点。</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高性能硬质合金材料：主要采取快递的运输方式，待客户确认收货后公司开具发票，故公司以客户确认收货作为收入确认时点。</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稀有金属粉体新材料：公司将产品交付客户，经客户验收合格后确认收入。</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出口销售：主要为</w:t>
      </w:r>
      <w:r>
        <w:rPr>
          <w:rFonts w:hint="default" w:ascii="宋体" w:hAnsi="宋体" w:eastAsia="宋体" w:cs="宋体"/>
          <w:color w:val="000000"/>
          <w:sz w:val="21"/>
          <w:szCs w:val="21"/>
        </w:rPr>
        <w:t>FCA</w:t>
      </w:r>
      <w:r>
        <w:rPr>
          <w:rFonts w:hint="eastAsia" w:ascii="宋体" w:hAnsi="宋体" w:eastAsia="宋体" w:cs="宋体"/>
          <w:color w:val="000000"/>
          <w:sz w:val="21"/>
          <w:szCs w:val="21"/>
        </w:rPr>
        <w:t>、</w:t>
      </w:r>
      <w:r>
        <w:rPr>
          <w:rFonts w:hint="default" w:ascii="宋体" w:hAnsi="宋体" w:eastAsia="宋体" w:cs="宋体"/>
          <w:color w:val="000000"/>
          <w:sz w:val="21"/>
          <w:szCs w:val="21"/>
        </w:rPr>
        <w:t>FOB</w:t>
      </w:r>
      <w:r>
        <w:rPr>
          <w:rFonts w:hint="eastAsia" w:ascii="宋体" w:hAnsi="宋体" w:eastAsia="宋体" w:cs="宋体"/>
          <w:color w:val="000000"/>
          <w:sz w:val="21"/>
          <w:szCs w:val="21"/>
        </w:rPr>
        <w:t>两种模式，出口报关后凭报关单、装箱单、运输发票等原始凭证确认收入。</w:t>
      </w:r>
    </w:p>
    <w:p>
      <w:pPr>
        <w:keepNext/>
        <w:keepLines/>
        <w:spacing w:before="300" w:after="300" w:line="280" w:lineRule="exact"/>
        <w:jc w:val="left"/>
        <w:outlineLvl w:val="2"/>
        <w:rPr>
          <w:rFonts w:ascii="宋体" w:hAnsi="宋体" w:eastAsia="宋体" w:cs="宋体"/>
          <w:b/>
          <w:bCs/>
          <w:sz w:val="21"/>
          <w:szCs w:val="21"/>
        </w:rPr>
      </w:pPr>
      <w:bookmarkStart w:id="143" w:name="_Toc989023"/>
      <w:r>
        <w:rPr>
          <w:rFonts w:hint="eastAsia" w:ascii="宋体" w:hAnsi="宋体" w:cs="宋体"/>
          <w:b/>
          <w:bCs/>
          <w:sz w:val="21"/>
          <w:szCs w:val="21"/>
          <w:lang w:eastAsia="zh-CN"/>
        </w:rPr>
        <w:t>（</w:t>
      </w:r>
      <w:r>
        <w:rPr>
          <w:rFonts w:hint="eastAsia" w:ascii="宋体" w:hAnsi="宋体" w:cs="宋体"/>
          <w:b/>
          <w:bCs/>
          <w:sz w:val="21"/>
          <w:szCs w:val="21"/>
          <w:lang w:val="en-US" w:eastAsia="zh-CN"/>
        </w:rPr>
        <w:t>二十六</w:t>
      </w:r>
      <w:r>
        <w:rPr>
          <w:rFonts w:hint="eastAsia" w:ascii="宋体" w:hAnsi="宋体" w:cs="宋体"/>
          <w:b/>
          <w:bCs/>
          <w:sz w:val="21"/>
          <w:szCs w:val="21"/>
          <w:lang w:eastAsia="zh-CN"/>
        </w:rPr>
        <w:t>）</w:t>
      </w:r>
      <w:r>
        <w:rPr>
          <w:rFonts w:ascii="宋体" w:hAnsi="宋体" w:eastAsia="宋体" w:cs="宋体"/>
          <w:b/>
          <w:bCs/>
          <w:sz w:val="21"/>
          <w:szCs w:val="21"/>
        </w:rPr>
        <w:t>合同成本</w:t>
      </w:r>
      <w:bookmarkEnd w:id="143"/>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合同成本包括合同履约成本与合同取得成本。</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本公司为履行合同而发生的成本，不属于存货、固定资产或无形资产等相关准则规范范围的，在满足下列条件时作为合同履约成本确认为一项资产：</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①该成本与一份当前或预期取得的合同直接相关。</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②该成本增加了本公司未来用于履行履约义务的资源。</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③该成本预期能够收回。</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本公司为取得合同发生的增量成本预期能够收回的，作为合同取得成本确认为一项资产。</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与合同成本有关的资产采用与该资产相关的商品或服务收入确认相同的基础进行摊销；但是对于合同取得成本摊销期限未超过一年的，本公司在发生时将其计入当期损益。 </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与合同成本有关的资产，其账面价值高于下列两项的差额的，本公司对超出部分计提减值准备，并确认为资产减值损失：</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①因转让与该资产相关的商品或服务预期能够取得的剩余对价；</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②为转让该相关商品或服务估计将要发生的成本。</w:t>
      </w:r>
    </w:p>
    <w:p>
      <w:pPr>
        <w:pStyle w:val="4"/>
        <w:widowControl/>
        <w:spacing w:beforeAutospacing="0" w:afterAutospacing="0" w:line="360" w:lineRule="exact"/>
        <w:ind w:firstLine="420" w:firstLineChars="200"/>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r>
        <w:rPr>
          <w:rFonts w:hint="default" w:ascii="Times New Roman" w:hAnsi="Times New Roman" w:eastAsia="宋体" w:cs="Times New Roman"/>
          <w:color w:val="auto"/>
          <w:sz w:val="21"/>
          <w:szCs w:val="21"/>
          <w:highlight w:val="none"/>
        </w:rPr>
        <w:t> </w:t>
      </w:r>
    </w:p>
    <w:p>
      <w:pPr>
        <w:keepNext/>
        <w:keepLines/>
        <w:spacing w:before="300" w:after="300" w:line="280" w:lineRule="exact"/>
        <w:jc w:val="left"/>
        <w:outlineLvl w:val="2"/>
        <w:rPr>
          <w:rFonts w:ascii="宋体" w:hAnsi="宋体" w:eastAsia="宋体" w:cs="宋体"/>
          <w:b/>
          <w:bCs/>
          <w:sz w:val="21"/>
          <w:szCs w:val="21"/>
        </w:rPr>
      </w:pPr>
      <w:bookmarkStart w:id="144" w:name="_Toc989024"/>
      <w:r>
        <w:rPr>
          <w:rFonts w:hint="eastAsia" w:ascii="宋体" w:hAnsi="宋体" w:cs="宋体"/>
          <w:b/>
          <w:bCs/>
          <w:sz w:val="21"/>
          <w:szCs w:val="21"/>
          <w:lang w:eastAsia="zh-CN"/>
        </w:rPr>
        <w:t>（</w:t>
      </w:r>
      <w:r>
        <w:rPr>
          <w:rFonts w:hint="eastAsia" w:ascii="宋体" w:hAnsi="宋体" w:cs="宋体"/>
          <w:b/>
          <w:bCs/>
          <w:sz w:val="21"/>
          <w:szCs w:val="21"/>
          <w:lang w:val="en-US" w:eastAsia="zh-CN"/>
        </w:rPr>
        <w:t>二十七</w:t>
      </w:r>
      <w:r>
        <w:rPr>
          <w:rFonts w:hint="eastAsia" w:ascii="宋体" w:hAnsi="宋体" w:cs="宋体"/>
          <w:b/>
          <w:bCs/>
          <w:sz w:val="21"/>
          <w:szCs w:val="21"/>
          <w:lang w:eastAsia="zh-CN"/>
        </w:rPr>
        <w:t>）</w:t>
      </w:r>
      <w:r>
        <w:rPr>
          <w:rFonts w:ascii="宋体" w:hAnsi="宋体" w:eastAsia="宋体" w:cs="宋体"/>
          <w:b/>
          <w:bCs/>
          <w:sz w:val="21"/>
          <w:szCs w:val="21"/>
        </w:rPr>
        <w:t>政府补助</w:t>
      </w:r>
      <w:bookmarkEnd w:id="14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sz w:val="21"/>
          <w:szCs w:val="21"/>
          <w:lang w:val="en-US" w:eastAsia="zh-CN"/>
        </w:rPr>
        <w:t>类型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政府补助，是本公司从政府无偿取得的货币性资产或非货币性资产，分为与资产相关的政府补助和与收益相关的政府补助。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与资产相关的政府补助，是指本公司取得的、用于购建或以其他方式形成长期资产的政府补助。与收益相关的政府补助，是指除与资产相关的政府补助之外的政府补助。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2. </w:t>
      </w:r>
      <w:r>
        <w:rPr>
          <w:rFonts w:hint="eastAsia" w:ascii="Times New Roman" w:hAnsi="Times New Roman" w:eastAsia="宋体" w:cs="Times New Roman"/>
          <w:color w:val="000000"/>
          <w:sz w:val="21"/>
          <w:szCs w:val="21"/>
          <w:lang w:val="en-US" w:eastAsia="zh-CN"/>
        </w:rPr>
        <w:t>确认时点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政府补助在本公司能够满足其所附的条件并且能够收到时，予以确认。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3. </w:t>
      </w:r>
      <w:r>
        <w:rPr>
          <w:rFonts w:hint="eastAsia" w:ascii="Times New Roman" w:hAnsi="Times New Roman" w:eastAsia="宋体" w:cs="Times New Roman"/>
          <w:color w:val="000000"/>
          <w:sz w:val="21"/>
          <w:szCs w:val="21"/>
          <w:lang w:val="en-US" w:eastAsia="zh-CN"/>
        </w:rPr>
        <w:t>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r>
        <w:rPr>
          <w:rFonts w:hint="default" w:ascii="Times New Roman" w:hAnsi="Times New Roman" w:eastAsia="宋体" w:cs="Times New Roman"/>
          <w:color w:val="000000"/>
          <w:sz w:val="21"/>
          <w:szCs w:val="21"/>
          <w:lang w:val="en-US" w:eastAsia="zh-CN"/>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本公司取得的政策性优惠贷款贴息，区分以下两种情况，分别进行会计处理：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①财政将贴息资金拨付给贷款银行，由贷款银行以政策性优惠利率向本公司提供贷款的，本公司以实际收到的借款金额作为借款的入账价值，按照借款本金和该政策性优惠利率计算相关借款费用。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②财政将贴息资金直接拨付给本公司的，本公司将对应的贴息冲减相关借款费用。</w:t>
      </w:r>
    </w:p>
    <w:p>
      <w:pPr>
        <w:keepNext/>
        <w:keepLines/>
        <w:spacing w:before="300" w:after="300" w:line="280" w:lineRule="exact"/>
        <w:jc w:val="left"/>
        <w:outlineLvl w:val="2"/>
        <w:rPr>
          <w:rFonts w:ascii="宋体" w:hAnsi="宋体" w:eastAsia="宋体" w:cs="宋体"/>
          <w:b/>
          <w:bCs/>
          <w:sz w:val="21"/>
          <w:szCs w:val="21"/>
        </w:rPr>
      </w:pPr>
      <w:bookmarkStart w:id="145" w:name="_Toc989025"/>
      <w:r>
        <w:rPr>
          <w:rFonts w:hint="eastAsia" w:ascii="宋体" w:hAnsi="宋体" w:cs="宋体"/>
          <w:b/>
          <w:bCs/>
          <w:sz w:val="21"/>
          <w:szCs w:val="21"/>
          <w:lang w:eastAsia="zh-CN"/>
        </w:rPr>
        <w:t>（</w:t>
      </w:r>
      <w:r>
        <w:rPr>
          <w:rFonts w:hint="eastAsia" w:ascii="宋体" w:hAnsi="宋体" w:cs="宋体"/>
          <w:b/>
          <w:bCs/>
          <w:sz w:val="21"/>
          <w:szCs w:val="21"/>
          <w:lang w:val="en-US" w:eastAsia="zh-CN"/>
        </w:rPr>
        <w:t>二十八</w:t>
      </w:r>
      <w:r>
        <w:rPr>
          <w:rFonts w:hint="eastAsia" w:ascii="宋体" w:hAnsi="宋体" w:cs="宋体"/>
          <w:b/>
          <w:bCs/>
          <w:sz w:val="21"/>
          <w:szCs w:val="21"/>
          <w:lang w:eastAsia="zh-CN"/>
        </w:rPr>
        <w:t>）</w:t>
      </w:r>
      <w:r>
        <w:rPr>
          <w:rFonts w:ascii="宋体" w:hAnsi="宋体" w:eastAsia="宋体" w:cs="宋体"/>
          <w:b/>
          <w:bCs/>
          <w:sz w:val="21"/>
          <w:szCs w:val="21"/>
        </w:rPr>
        <w:t>递延所得税资产/递延所得税负债</w:t>
      </w:r>
      <w:bookmarkEnd w:id="145"/>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所得税包括当期所得税和递延所得税。除因企业合并和直接计入所有者权益</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包括其他综合收益</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的交易或者事项产生的所得税外，本公司将当期所得税和递延所得税计入当期损益。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递延所得税资产和递延所得税负债根据资产和负债的计税基础与其账面价值的差额</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暂时性差异</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计算确认。</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对于应纳税暂时性差异，除特殊情况外，确认递延所得税负债。</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不确认递延所得税资产或递延所得税负债的特殊情况包括：</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①商誉的初始确认；</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②既不是企业合并、发生时也不影响会计利润和应纳税所得额</w:t>
      </w:r>
      <w:r>
        <w:rPr>
          <w:rFonts w:hint="default" w:ascii="宋体" w:hAnsi="宋体" w:eastAsia="宋体" w:cs="宋体"/>
          <w:color w:val="000000"/>
          <w:sz w:val="21"/>
          <w:szCs w:val="21"/>
        </w:rPr>
        <w:t>(</w:t>
      </w:r>
      <w:r>
        <w:rPr>
          <w:rFonts w:hint="eastAsia" w:ascii="宋体" w:hAnsi="宋体" w:eastAsia="宋体" w:cs="宋体"/>
          <w:color w:val="000000"/>
          <w:sz w:val="21"/>
          <w:szCs w:val="21"/>
        </w:rPr>
        <w:t>或可抵扣亏损</w:t>
      </w:r>
      <w:r>
        <w:rPr>
          <w:rFonts w:hint="default" w:ascii="宋体" w:hAnsi="宋体" w:eastAsia="宋体" w:cs="宋体"/>
          <w:color w:val="000000"/>
          <w:sz w:val="21"/>
          <w:szCs w:val="21"/>
        </w:rPr>
        <w:t>)</w:t>
      </w:r>
      <w:r>
        <w:rPr>
          <w:rFonts w:hint="eastAsia" w:ascii="宋体" w:hAnsi="宋体" w:eastAsia="宋体" w:cs="宋体"/>
          <w:color w:val="000000"/>
          <w:sz w:val="21"/>
          <w:szCs w:val="21"/>
        </w:rPr>
        <w:t>，且初始确认的资产和负债未导致产生等额应纳税暂时性差异和可抵扣暂时性差异的交易或事项。</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对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资产负债表日，对于递延所得税资产和递延所得税负债，根据税法规定，按照预期收回相关资产或清偿相关负债期间的适用税率计量。</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当拥有以净额结算的法定权利，且意图以净额结算或取得资产、清偿负债同时进行时，当期所得税资产及当期所得税负债以抵销后的净额列报。</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资产负债表日，递延所得税资产及递延所得税负债在同时满足以下条件时以抵销后的净额列示：</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①纳税主体拥有以净额结算当期所得税资产及当期所得税负债的法定权利；</w:t>
      </w:r>
    </w:p>
    <w:p>
      <w:pPr>
        <w:pStyle w:val="4"/>
        <w:keepNext w:val="0"/>
        <w:keepLines w:val="0"/>
        <w:widowControl/>
        <w:suppressLineNumbers w:val="0"/>
        <w:spacing w:before="0" w:beforeAutospacing="0" w:after="0" w:afterAutospacing="0" w:line="360" w:lineRule="atLeast"/>
        <w:ind w:left="0" w:right="0" w:firstLine="420"/>
        <w:jc w:val="left"/>
        <w:rPr>
          <w:rFonts w:hint="default" w:ascii="宋体" w:hAnsi="宋体" w:eastAsia="宋体" w:cs="宋体"/>
          <w:color w:val="000000"/>
          <w:sz w:val="21"/>
          <w:szCs w:val="21"/>
        </w:rPr>
      </w:pPr>
      <w:r>
        <w:rPr>
          <w:rFonts w:hint="eastAsia" w:ascii="宋体" w:hAnsi="宋体" w:eastAsia="宋体" w:cs="宋体"/>
          <w:color w:val="000000"/>
          <w:sz w:val="21"/>
          <w:szCs w:val="21"/>
        </w:rPr>
        <w:t>②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pPr>
        <w:keepNext/>
        <w:keepLines/>
        <w:spacing w:before="300" w:after="300" w:line="280" w:lineRule="exact"/>
        <w:jc w:val="left"/>
        <w:outlineLvl w:val="2"/>
        <w:rPr>
          <w:rFonts w:ascii="宋体" w:hAnsi="宋体" w:eastAsia="宋体" w:cs="宋体"/>
          <w:b/>
          <w:bCs/>
          <w:sz w:val="21"/>
          <w:szCs w:val="21"/>
        </w:rPr>
      </w:pPr>
      <w:bookmarkStart w:id="146" w:name="_Toc989026"/>
      <w:r>
        <w:rPr>
          <w:rFonts w:hint="eastAsia" w:ascii="宋体" w:hAnsi="宋体" w:cs="宋体"/>
          <w:b/>
          <w:bCs/>
          <w:sz w:val="21"/>
          <w:szCs w:val="21"/>
          <w:lang w:eastAsia="zh-CN"/>
        </w:rPr>
        <w:t>（</w:t>
      </w:r>
      <w:r>
        <w:rPr>
          <w:rFonts w:hint="eastAsia" w:ascii="宋体" w:hAnsi="宋体" w:cs="宋体"/>
          <w:b/>
          <w:bCs/>
          <w:sz w:val="21"/>
          <w:szCs w:val="21"/>
          <w:lang w:val="en-US" w:eastAsia="zh-CN"/>
        </w:rPr>
        <w:t>二十九</w:t>
      </w:r>
      <w:r>
        <w:rPr>
          <w:rFonts w:hint="eastAsia" w:ascii="宋体" w:hAnsi="宋体" w:cs="宋体"/>
          <w:b/>
          <w:bCs/>
          <w:sz w:val="21"/>
          <w:szCs w:val="21"/>
          <w:lang w:eastAsia="zh-CN"/>
        </w:rPr>
        <w:t>）</w:t>
      </w:r>
      <w:r>
        <w:rPr>
          <w:rFonts w:ascii="宋体" w:hAnsi="宋体" w:eastAsia="宋体" w:cs="宋体"/>
          <w:b/>
          <w:bCs/>
          <w:sz w:val="21"/>
          <w:szCs w:val="21"/>
        </w:rPr>
        <w:t>租赁</w:t>
      </w:r>
      <w:bookmarkEnd w:id="146"/>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bookmarkStart w:id="147" w:name="OLE_LINK45"/>
      <w:bookmarkEnd w:id="147"/>
      <w:r>
        <w:rPr>
          <w:rFonts w:hint="eastAsia" w:ascii="宋体" w:hAnsi="宋体" w:eastAsia="宋体" w:cs="宋体"/>
          <w:color w:val="000000"/>
          <w:sz w:val="21"/>
          <w:szCs w:val="21"/>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合同中同时包含多项单独租赁的，本公司将合同予以分拆，并分别各项单独租赁进行会计处理。合同中同时包含租赁和非租赁部分的，承租人和出租人将租赁和非租赁部分进行分拆。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bookmarkStart w:id="148" w:name="_Toc989087"/>
      <w:bookmarkEnd w:id="148"/>
      <w:r>
        <w:rPr>
          <w:rFonts w:hint="default" w:ascii="Times New Roman" w:hAnsi="Times New Roman" w:eastAsia="宋体" w:cs="Times New Roman"/>
          <w:color w:val="000000"/>
          <w:sz w:val="21"/>
          <w:szCs w:val="21"/>
          <w:lang w:val="en-US" w:eastAsia="zh-CN"/>
        </w:rPr>
        <w:t>1.</w:t>
      </w:r>
      <w:r>
        <w:rPr>
          <w:rFonts w:hint="eastAsia" w:ascii="Times New Roman" w:hAnsi="Times New Roman" w:eastAsia="宋体" w:cs="Times New Roman"/>
          <w:color w:val="000000"/>
          <w:sz w:val="21"/>
          <w:szCs w:val="21"/>
          <w:lang w:val="en-US" w:eastAsia="zh-CN"/>
        </w:rPr>
        <w:t>作为承租方租赁的会计处理方法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本公司作为承租人：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）使用权资产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在租赁期开始日，本公司对除短期租赁和低价值资产租赁以外的租赁确认使用权资产。使用权资产按照成本进行初始计量。该成本包括：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租赁负债的初始计量金额；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在租赁期开始日或之前支付的租赁付款额，存在租赁激励的，扣除已享受的租赁激励相关金额；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本公司发生的初始直接费用；</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本公司为拆卸及移除租赁资产、复原租赁资产所在场地或将租赁资产恢复至租赁条款约定状态预计将发生的成本，但不包括属于为生产存货而发生的成本。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后续采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本公司按照本附注“五、</w:t>
      </w:r>
      <w:r>
        <w:rPr>
          <w:rFonts w:hint="default" w:ascii="Times New Roman" w:hAnsi="Times New Roman" w:eastAsia="宋体" w:cs="Times New Roman"/>
          <w:color w:val="000000"/>
          <w:sz w:val="21"/>
          <w:szCs w:val="21"/>
        </w:rPr>
        <w:t>20.</w:t>
      </w:r>
      <w:r>
        <w:rPr>
          <w:rFonts w:hint="eastAsia" w:ascii="宋体" w:hAnsi="宋体" w:eastAsia="宋体" w:cs="宋体"/>
          <w:color w:val="000000"/>
          <w:sz w:val="21"/>
          <w:szCs w:val="21"/>
        </w:rPr>
        <w:t>长期资产减值”所述原则来确定使用权资产是否已发生减值，并对已识别的减值损失进行会计处理。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）租赁负债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在租赁期开始日，本公司对除短期租赁和低价值资产租赁以外的租赁确认租赁负债。租赁负债按照尚未支付的租赁付款额的现值进行初始计量。租赁付款额包括：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固定付款额（包括实质固定付款额），存在租赁激励的，扣除租赁激励相关金额；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取决于指数或比率的可变租赁付款额；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根据公司提供的担保余值预计应支付的款项；</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购买选择权的行权价格，前提是公司合理确定将行使该选择权；</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行使终止租赁选择权需支付的款项，前提是租赁期反映出公司将行使终止租赁选择权。</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本公司采用租赁内含利率作为折现率，但如果无法合理确定租赁内含利率的，则采用本公司的增量借款利率作为折现率。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本公司按照固定的周期性利率计算租赁负债在租赁期内各期间的利息费用，并计入当期损益或相关资产成本。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未纳入租赁负债计量的可变租赁付款额在实际发生时计入当期损益或相关资产成本。</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在租赁期开始日后，发生下列情形的，本公司重新计量租赁负债，并调整相应的使用权资产，若使用权资产的账面价值已调减至零，但租赁负债仍需进一步调减的，将差额计入当期损益：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）短期租赁和低价值资产租赁</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本公司选择对短期租赁和低价值资产租赁不确认使用权资产和租赁负债的，将相关的租赁付款额在租赁期内各个期间按照直线法计入当期损益或相关资产成本。短期租赁，是指在租赁期开始日，租赁期不超过</w:t>
      </w:r>
      <w:r>
        <w:rPr>
          <w:rFonts w:hint="default" w:ascii="Times New Roman" w:hAnsi="Times New Roman" w:eastAsia="宋体" w:cs="Times New Roman"/>
          <w:color w:val="000000"/>
          <w:sz w:val="21"/>
          <w:szCs w:val="21"/>
        </w:rPr>
        <w:t>12</w:t>
      </w:r>
      <w:r>
        <w:rPr>
          <w:rFonts w:hint="eastAsia" w:ascii="宋体" w:hAnsi="宋体" w:eastAsia="宋体" w:cs="宋体"/>
          <w:color w:val="000000"/>
          <w:sz w:val="21"/>
          <w:szCs w:val="21"/>
        </w:rPr>
        <w:t>个月且不包含购买选择权的租赁。低价值资产租赁，是指单项租赁资产为全新资产时价值较低的租赁。公司转租或预期转租租赁资产的，原租赁不属于低价值资产租赁。</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4</w:t>
      </w:r>
      <w:r>
        <w:rPr>
          <w:rFonts w:hint="eastAsia" w:ascii="宋体" w:hAnsi="宋体" w:eastAsia="宋体" w:cs="宋体"/>
          <w:color w:val="000000"/>
          <w:sz w:val="21"/>
          <w:szCs w:val="21"/>
        </w:rPr>
        <w:t>）租赁变更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租赁发生变更且同时符合下列条件的，公司将该租赁变更作为一项单独租赁进行会计处理：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该租赁变更通过增加一项或多项租赁资产的使用权而扩大了租赁范围；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增加的对价与租赁范围扩大部分的单独价格按该合同情况调整后的金额相当。</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default" w:ascii="Times New Roman" w:hAnsi="Times New Roman" w:eastAsia="宋体" w:cs="Times New Roman"/>
          <w:color w:val="000000"/>
          <w:sz w:val="21"/>
          <w:szCs w:val="21"/>
          <w:lang w:val="en-US" w:eastAsia="zh-CN"/>
        </w:rPr>
      </w:pPr>
      <w:bookmarkStart w:id="149" w:name="_Toc989088"/>
      <w:bookmarkEnd w:id="149"/>
      <w:r>
        <w:rPr>
          <w:rFonts w:hint="default" w:ascii="Times New Roman" w:hAnsi="Times New Roman" w:eastAsia="宋体" w:cs="Times New Roman"/>
          <w:color w:val="000000"/>
          <w:sz w:val="21"/>
          <w:szCs w:val="21"/>
          <w:lang w:val="en-US" w:eastAsia="zh-CN"/>
        </w:rPr>
        <w:t>2.</w:t>
      </w:r>
      <w:r>
        <w:rPr>
          <w:rFonts w:hint="eastAsia" w:ascii="Times New Roman" w:hAnsi="Times New Roman" w:eastAsia="宋体" w:cs="Times New Roman"/>
          <w:color w:val="000000"/>
          <w:sz w:val="21"/>
          <w:szCs w:val="21"/>
          <w:lang w:val="en-US" w:eastAsia="zh-CN"/>
        </w:rPr>
        <w:t>作为出租方租赁的会计处理方法</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bookmarkStart w:id="150" w:name="OLE_LINK46"/>
      <w:bookmarkEnd w:id="150"/>
      <w:r>
        <w:rPr>
          <w:rFonts w:hint="eastAsia" w:ascii="宋体" w:hAnsi="宋体" w:eastAsia="宋体" w:cs="宋体"/>
          <w:color w:val="000000"/>
          <w:sz w:val="21"/>
          <w:szCs w:val="21"/>
        </w:rPr>
        <w:t>本公司作为出租人：</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1</w:t>
      </w:r>
      <w:r>
        <w:rPr>
          <w:rFonts w:hint="eastAsia" w:ascii="宋体" w:hAnsi="宋体" w:eastAsia="宋体" w:cs="宋体"/>
          <w:color w:val="000000"/>
          <w:sz w:val="21"/>
          <w:szCs w:val="21"/>
        </w:rPr>
        <w:t>）经营租赁会计处理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r>
        <w:rPr>
          <w:rFonts w:hint="default" w:ascii="Times New Roman" w:hAnsi="Times New Roman" w:eastAsia="宋体" w:cs="Times New Roman"/>
          <w:color w:val="000000"/>
          <w:sz w:val="21"/>
          <w:szCs w:val="21"/>
        </w:rPr>
        <w:t>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2</w:t>
      </w:r>
      <w:r>
        <w:rPr>
          <w:rFonts w:hint="eastAsia" w:ascii="宋体" w:hAnsi="宋体" w:eastAsia="宋体" w:cs="宋体"/>
          <w:color w:val="000000"/>
          <w:sz w:val="21"/>
          <w:szCs w:val="21"/>
        </w:rPr>
        <w:t>）融资租赁会计处理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本公司按照固定的周期性利率计算并确认租赁期内各个期间的利息收入。应收融资租赁款的终止确认和减值按照本附注“五、</w:t>
      </w:r>
      <w:r>
        <w:rPr>
          <w:rFonts w:hint="default" w:ascii="Times New Roman" w:hAnsi="Times New Roman" w:eastAsia="宋体" w:cs="Times New Roman"/>
          <w:color w:val="000000"/>
          <w:sz w:val="21"/>
          <w:szCs w:val="21"/>
        </w:rPr>
        <w:t>11.</w:t>
      </w:r>
      <w:r>
        <w:rPr>
          <w:rFonts w:hint="eastAsia" w:ascii="宋体" w:hAnsi="宋体" w:eastAsia="宋体" w:cs="宋体"/>
          <w:color w:val="000000"/>
          <w:sz w:val="21"/>
          <w:szCs w:val="21"/>
        </w:rPr>
        <w:t>金融工具”进行会计处理。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未纳入租赁投资净额计量的可变租赁付款额在实际发生时计入当期损益。</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融资租赁发生变更且同时符合下列条件的，本公司将该变更作为一项单独租赁进行会计处理：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4"/>
          <w:szCs w:val="24"/>
        </w:rPr>
        <w:t>①</w:t>
      </w:r>
      <w:r>
        <w:rPr>
          <w:rFonts w:hint="eastAsia" w:ascii="宋体" w:hAnsi="宋体" w:eastAsia="宋体" w:cs="宋体"/>
          <w:color w:val="000000"/>
          <w:sz w:val="21"/>
          <w:szCs w:val="21"/>
        </w:rPr>
        <w:t>该变更通过增加一项或多项租赁资产的使用权而扩大了租赁范围；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4"/>
          <w:szCs w:val="24"/>
        </w:rPr>
        <w:t>②</w:t>
      </w:r>
      <w:r>
        <w:rPr>
          <w:rFonts w:hint="eastAsia" w:ascii="宋体" w:hAnsi="宋体" w:eastAsia="宋体" w:cs="宋体"/>
          <w:color w:val="000000"/>
          <w:sz w:val="21"/>
          <w:szCs w:val="21"/>
        </w:rPr>
        <w:t>增加的对价与租赁范围扩大部分的单独价格按该合同情况调整后的金额相当。</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融资租赁的变更未作为一项单独租赁进行会计处理的，本公司分别下列情形对变更后的租赁进行处理：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4"/>
          <w:szCs w:val="24"/>
        </w:rPr>
        <w:t>①</w:t>
      </w:r>
      <w:r>
        <w:rPr>
          <w:rFonts w:hint="eastAsia" w:ascii="宋体" w:hAnsi="宋体" w:eastAsia="宋体" w:cs="宋体"/>
          <w:color w:val="000000"/>
          <w:sz w:val="21"/>
          <w:szCs w:val="21"/>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sz w:val="24"/>
          <w:szCs w:val="24"/>
        </w:rPr>
        <w:t>②</w:t>
      </w:r>
      <w:r>
        <w:rPr>
          <w:rFonts w:hint="eastAsia" w:ascii="宋体" w:hAnsi="宋体" w:eastAsia="宋体" w:cs="宋体"/>
          <w:color w:val="000000"/>
          <w:sz w:val="21"/>
          <w:szCs w:val="21"/>
        </w:rPr>
        <w:t>假如变更在租赁开始日生效，该租赁会被分类为融资租赁的，本公司按照本附注“五、</w:t>
      </w:r>
      <w:r>
        <w:rPr>
          <w:rFonts w:hint="default" w:ascii="Times New Roman" w:hAnsi="Times New Roman" w:eastAsia="宋体" w:cs="Times New Roman"/>
          <w:color w:val="000000"/>
          <w:sz w:val="21"/>
          <w:szCs w:val="21"/>
        </w:rPr>
        <w:t>11.</w:t>
      </w:r>
      <w:r>
        <w:rPr>
          <w:rFonts w:hint="eastAsia" w:ascii="宋体" w:hAnsi="宋体" w:eastAsia="宋体" w:cs="宋体"/>
          <w:color w:val="000000"/>
          <w:sz w:val="21"/>
          <w:szCs w:val="21"/>
        </w:rPr>
        <w:t>金融工具”关于修改或重新议定合同的政策进行会计处理。</w:t>
      </w:r>
    </w:p>
    <w:p>
      <w:pPr>
        <w:keepNext/>
        <w:keepLines/>
        <w:spacing w:before="300" w:after="300" w:line="280" w:lineRule="exact"/>
        <w:jc w:val="left"/>
        <w:outlineLvl w:val="2"/>
        <w:rPr>
          <w:rFonts w:ascii="宋体" w:hAnsi="宋体" w:eastAsia="宋体" w:cs="宋体"/>
          <w:b/>
          <w:bCs/>
          <w:sz w:val="21"/>
          <w:szCs w:val="21"/>
        </w:rPr>
      </w:pPr>
      <w:bookmarkStart w:id="151" w:name="_Toc989029"/>
      <w:r>
        <w:rPr>
          <w:rFonts w:hint="eastAsia" w:ascii="宋体" w:hAnsi="宋体" w:cs="宋体"/>
          <w:b/>
          <w:bCs/>
          <w:sz w:val="21"/>
          <w:szCs w:val="21"/>
          <w:lang w:eastAsia="zh-CN"/>
        </w:rPr>
        <w:t>（</w:t>
      </w:r>
      <w:r>
        <w:rPr>
          <w:rFonts w:hint="eastAsia" w:ascii="宋体" w:hAnsi="宋体" w:cs="宋体"/>
          <w:b/>
          <w:bCs/>
          <w:sz w:val="21"/>
          <w:szCs w:val="21"/>
          <w:lang w:val="en-US" w:eastAsia="zh-CN"/>
        </w:rPr>
        <w:t>三十</w:t>
      </w:r>
      <w:r>
        <w:rPr>
          <w:rFonts w:hint="eastAsia" w:ascii="宋体" w:hAnsi="宋体" w:cs="宋体"/>
          <w:b/>
          <w:bCs/>
          <w:sz w:val="21"/>
          <w:szCs w:val="21"/>
          <w:lang w:eastAsia="zh-CN"/>
        </w:rPr>
        <w:t>）</w:t>
      </w:r>
      <w:r>
        <w:rPr>
          <w:rFonts w:ascii="宋体" w:hAnsi="宋体" w:eastAsia="宋体" w:cs="宋体"/>
          <w:b/>
          <w:bCs/>
          <w:sz w:val="21"/>
          <w:szCs w:val="21"/>
        </w:rPr>
        <w:t>分部报告</w:t>
      </w:r>
      <w:bookmarkEnd w:id="151"/>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本公司以内部组织结构、管理要求、内部报告制度为依据确定经营分部，以经营分部为基础确定报告分部并披露分部信息。</w:t>
      </w:r>
    </w:p>
    <w:p>
      <w:pPr>
        <w:pStyle w:val="4"/>
        <w:keepNext w:val="0"/>
        <w:keepLines w:val="0"/>
        <w:widowControl/>
        <w:suppressLineNumbers w:val="0"/>
        <w:spacing w:before="100" w:beforeAutospacing="0" w:after="10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经营分部是指本公司内同时</w:t>
      </w:r>
      <w:r>
        <w:rPr>
          <w:rFonts w:hint="eastAsia" w:ascii="宋体" w:hAnsi="宋体" w:eastAsia="宋体" w:cs="宋体"/>
          <w:sz w:val="21"/>
          <w:szCs w:val="21"/>
        </w:rPr>
        <w:t>满足下列条件的组成部分：</w:t>
      </w:r>
      <w:r>
        <w:rPr>
          <w:rFonts w:hint="default" w:ascii="Times New Roman" w:hAnsi="Times New Roman" w:eastAsia="仿宋" w:cs="Times New Roman"/>
          <w:color w:val="000000"/>
          <w:sz w:val="21"/>
          <w:szCs w:val="21"/>
        </w:rPr>
        <w:t>①</w:t>
      </w:r>
      <w:r>
        <w:rPr>
          <w:rFonts w:hint="eastAsia" w:ascii="宋体" w:hAnsi="宋体" w:eastAsia="宋体" w:cs="宋体"/>
          <w:color w:val="000000"/>
          <w:sz w:val="21"/>
          <w:szCs w:val="21"/>
        </w:rPr>
        <w:t>该组成部分能够在日常活动中产生收入、发生费用；</w:t>
      </w:r>
      <w:r>
        <w:rPr>
          <w:rFonts w:hint="default" w:ascii="Times New Roman" w:hAnsi="Times New Roman" w:eastAsia="仿宋" w:cs="Times New Roman"/>
          <w:color w:val="000000"/>
          <w:sz w:val="21"/>
          <w:szCs w:val="21"/>
        </w:rPr>
        <w:t>②</w:t>
      </w:r>
      <w:r>
        <w:rPr>
          <w:rFonts w:hint="eastAsia" w:ascii="宋体" w:hAnsi="宋体" w:eastAsia="宋体" w:cs="宋体"/>
          <w:color w:val="000000"/>
          <w:sz w:val="21"/>
          <w:szCs w:val="21"/>
        </w:rPr>
        <w:t>本公司管理层能够定期评价该组成部分的经营成果，以决定向其配置资源、评价其业绩；</w:t>
      </w:r>
      <w:r>
        <w:rPr>
          <w:rFonts w:hint="default" w:ascii="Times New Roman" w:hAnsi="Times New Roman" w:eastAsia="仿宋" w:cs="Times New Roman"/>
          <w:color w:val="000000"/>
          <w:sz w:val="21"/>
          <w:szCs w:val="21"/>
        </w:rPr>
        <w:t>③</w:t>
      </w:r>
      <w:r>
        <w:rPr>
          <w:rFonts w:hint="eastAsia" w:ascii="宋体" w:hAnsi="宋体" w:eastAsia="宋体" w:cs="宋体"/>
          <w:color w:val="000000"/>
          <w:sz w:val="21"/>
          <w:szCs w:val="21"/>
        </w:rPr>
        <w:t>本公司能够取得该组成部分的财务状况、经营成果和现金流量等有关会计信息。两个或多个经营分部具有相似的经济特征，并且满足一定条件的，则可合并为一个经营分部。</w:t>
      </w:r>
    </w:p>
    <w:p>
      <w:pPr>
        <w:keepNext/>
        <w:keepLines/>
        <w:spacing w:before="300" w:after="300" w:line="280" w:lineRule="exact"/>
        <w:jc w:val="left"/>
        <w:outlineLvl w:val="2"/>
        <w:rPr>
          <w:rFonts w:ascii="宋体" w:hAnsi="宋体" w:eastAsia="宋体" w:cs="宋体"/>
          <w:b/>
          <w:bCs/>
          <w:sz w:val="21"/>
          <w:szCs w:val="21"/>
        </w:rPr>
      </w:pPr>
      <w:bookmarkStart w:id="152" w:name="_Toc989030"/>
      <w:r>
        <w:rPr>
          <w:rFonts w:hint="eastAsia" w:ascii="宋体" w:hAnsi="宋体" w:cs="宋体"/>
          <w:b/>
          <w:bCs/>
          <w:sz w:val="21"/>
          <w:szCs w:val="21"/>
          <w:lang w:eastAsia="zh-CN"/>
        </w:rPr>
        <w:t>（</w:t>
      </w:r>
      <w:r>
        <w:rPr>
          <w:rFonts w:hint="eastAsia" w:ascii="宋体" w:hAnsi="宋体" w:cs="宋体"/>
          <w:b/>
          <w:bCs/>
          <w:sz w:val="21"/>
          <w:szCs w:val="21"/>
          <w:lang w:val="en-US" w:eastAsia="zh-CN"/>
        </w:rPr>
        <w:t>三十一</w:t>
      </w:r>
      <w:r>
        <w:rPr>
          <w:rFonts w:hint="eastAsia" w:ascii="宋体" w:hAnsi="宋体" w:cs="宋体"/>
          <w:b/>
          <w:bCs/>
          <w:sz w:val="21"/>
          <w:szCs w:val="21"/>
          <w:lang w:eastAsia="zh-CN"/>
        </w:rPr>
        <w:t>）</w:t>
      </w:r>
      <w:r>
        <w:rPr>
          <w:rFonts w:ascii="宋体" w:hAnsi="宋体" w:eastAsia="宋体" w:cs="宋体"/>
          <w:b/>
          <w:bCs/>
          <w:sz w:val="21"/>
          <w:szCs w:val="21"/>
        </w:rPr>
        <w:t>重要性标准确定方法和选择依据</w:t>
      </w:r>
      <w:bookmarkEnd w:id="152"/>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25"/>
        <w:gridCol w:w="49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2714"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重要性标准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重要的单项计提坏账准备的应收账款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w:t>
            </w:r>
            <w:r>
              <w:rPr>
                <w:rFonts w:hint="default" w:ascii="Times New Roman" w:hAnsi="Times New Roman" w:cs="Times New Roman"/>
                <w:color w:val="000000"/>
                <w:sz w:val="18"/>
                <w:szCs w:val="18"/>
              </w:rPr>
              <w:t>500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重要的单项计提坏账准备的其他应收款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w:t>
            </w:r>
            <w:r>
              <w:rPr>
                <w:rFonts w:hint="default" w:ascii="Times New Roman" w:hAnsi="Times New Roman" w:cs="Times New Roman"/>
                <w:color w:val="000000"/>
                <w:sz w:val="18"/>
                <w:szCs w:val="18"/>
              </w:rPr>
              <w:t>80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重要的应收账款坏账准备转回或核销</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w:t>
            </w:r>
            <w:r>
              <w:rPr>
                <w:rFonts w:hint="default" w:ascii="Times New Roman" w:hAnsi="Times New Roman" w:cs="Times New Roman"/>
                <w:color w:val="000000"/>
                <w:sz w:val="18"/>
                <w:szCs w:val="18"/>
              </w:rPr>
              <w:t>500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重要的其他应收款坏账准备转回或核销</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w:t>
            </w:r>
            <w:r>
              <w:rPr>
                <w:rFonts w:hint="default" w:ascii="Times New Roman" w:hAnsi="Times New Roman" w:cs="Times New Roman"/>
                <w:color w:val="000000"/>
                <w:sz w:val="18"/>
                <w:szCs w:val="18"/>
              </w:rPr>
              <w:t>80</w:t>
            </w:r>
            <w:r>
              <w:rPr>
                <w:rFonts w:hint="eastAsia" w:ascii="宋体" w:hAnsi="宋体" w:eastAsia="宋体" w:cs="宋体"/>
                <w:color w:val="000000"/>
                <w:sz w:val="18"/>
                <w:szCs w:val="18"/>
              </w:rPr>
              <w:t>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账龄超过</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年的重要预付账款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单项余额大于或等于预付账款余额的</w:t>
            </w:r>
            <w:r>
              <w:rPr>
                <w:rFonts w:hint="default" w:ascii="Times New Roman" w:hAnsi="Times New Roman"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账龄超过</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年的重要应付账款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单项余额大于或等于应付账款余额的</w:t>
            </w:r>
            <w:r>
              <w:rPr>
                <w:rFonts w:hint="default" w:ascii="Times New Roman" w:hAnsi="Times New Roman"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账龄超过</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年的重要其他应付款</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单项余额大于或等于其他应付款余额的</w:t>
            </w:r>
            <w:r>
              <w:rPr>
                <w:rFonts w:hint="default" w:ascii="Times New Roman" w:hAnsi="Times New Roman"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账龄超过</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年的重要合同负债</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单项余额大于或等于合同负债余额的</w:t>
            </w:r>
            <w:r>
              <w:rPr>
                <w:rFonts w:hint="default" w:ascii="Times New Roman" w:hAnsi="Times New Roman" w:cs="Times New Roman"/>
                <w:color w:val="000000"/>
                <w:sz w:val="18"/>
                <w:szCs w:val="18"/>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重要的在建工程</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期末余额、本期变动金额大于或等于1000万元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收到的重要投资活动有关的现金</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单项投资活动收到的金额大于或等于1000万元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支付的重要投资活动有关的现金</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单项投资活动支付的金额大于或等于1000万元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重要的非全资子公司</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少数股东损益或权益金额大于或等于合并财务报表相应项目</w:t>
            </w:r>
            <w:r>
              <w:rPr>
                <w:rFonts w:ascii="TimesNewRomanPSMT" w:hAnsi="TimesNewRomanPSMT" w:eastAsia="TimesNewRomanPSMT" w:cs="TimesNewRomanPSMT"/>
                <w:color w:val="000000"/>
                <w:sz w:val="18"/>
                <w:szCs w:val="18"/>
              </w:rPr>
              <w:t>10%</w:t>
            </w:r>
            <w:r>
              <w:rPr>
                <w:rFonts w:hint="eastAsia" w:ascii="宋体" w:hAnsi="宋体" w:eastAsia="宋体" w:cs="宋体"/>
                <w:color w:val="000000"/>
                <w:sz w:val="18"/>
                <w:szCs w:val="18"/>
              </w:rPr>
              <w:t>以上的子公司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8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重要的合营企业或联营企业</w:t>
            </w:r>
          </w:p>
        </w:tc>
        <w:tc>
          <w:tcPr>
            <w:tcW w:w="2714"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合营企业或联营企业的净利润或净资产对合并财务报表相应项目的影响在</w:t>
            </w:r>
            <w:r>
              <w:rPr>
                <w:rFonts w:hint="default" w:ascii="TimesNewRomanPSMT" w:hAnsi="TimesNewRomanPSMT" w:eastAsia="TimesNewRomanPSMT" w:cs="TimesNewRomanPSMT"/>
                <w:color w:val="000000"/>
                <w:sz w:val="18"/>
                <w:szCs w:val="18"/>
              </w:rPr>
              <w:t>5%</w:t>
            </w:r>
            <w:r>
              <w:rPr>
                <w:rFonts w:hint="eastAsia" w:ascii="宋体" w:hAnsi="宋体" w:eastAsia="宋体" w:cs="宋体"/>
                <w:color w:val="000000"/>
                <w:sz w:val="18"/>
                <w:szCs w:val="18"/>
              </w:rPr>
              <w:t>以上</w:t>
            </w:r>
          </w:p>
        </w:tc>
      </w:tr>
    </w:tbl>
    <w:p>
      <w:pPr>
        <w:keepNext/>
        <w:keepLines/>
        <w:spacing w:before="300" w:after="300" w:line="280" w:lineRule="exact"/>
        <w:jc w:val="left"/>
        <w:outlineLvl w:val="2"/>
        <w:rPr>
          <w:rFonts w:ascii="宋体" w:hAnsi="宋体" w:eastAsia="宋体" w:cs="宋体"/>
          <w:b/>
          <w:bCs/>
          <w:sz w:val="21"/>
          <w:szCs w:val="21"/>
        </w:rPr>
      </w:pPr>
      <w:bookmarkStart w:id="153" w:name="_Toc989031"/>
      <w:r>
        <w:rPr>
          <w:rFonts w:hint="eastAsia" w:ascii="宋体" w:hAnsi="宋体" w:cs="宋体"/>
          <w:b/>
          <w:bCs/>
          <w:sz w:val="21"/>
          <w:szCs w:val="21"/>
          <w:lang w:eastAsia="zh-CN"/>
        </w:rPr>
        <w:t>（</w:t>
      </w:r>
      <w:r>
        <w:rPr>
          <w:rFonts w:hint="eastAsia" w:ascii="宋体" w:hAnsi="宋体" w:cs="宋体"/>
          <w:b/>
          <w:bCs/>
          <w:sz w:val="21"/>
          <w:szCs w:val="21"/>
          <w:lang w:val="en-US" w:eastAsia="zh-CN"/>
        </w:rPr>
        <w:t>三十二</w:t>
      </w:r>
      <w:r>
        <w:rPr>
          <w:rFonts w:hint="eastAsia" w:ascii="宋体" w:hAnsi="宋体" w:cs="宋体"/>
          <w:b/>
          <w:bCs/>
          <w:sz w:val="21"/>
          <w:szCs w:val="21"/>
          <w:lang w:eastAsia="zh-CN"/>
        </w:rPr>
        <w:t>）</w:t>
      </w:r>
      <w:r>
        <w:rPr>
          <w:rFonts w:ascii="宋体" w:hAnsi="宋体" w:eastAsia="宋体" w:cs="宋体"/>
          <w:b/>
          <w:bCs/>
          <w:sz w:val="21"/>
          <w:szCs w:val="21"/>
        </w:rPr>
        <w:t>其他重要的会计政策和会计估计</w:t>
      </w:r>
      <w:bookmarkEnd w:id="153"/>
    </w:p>
    <w:p>
      <w:pPr>
        <w:pStyle w:val="4"/>
        <w:keepNext w:val="0"/>
        <w:keepLines w:val="0"/>
        <w:widowControl/>
        <w:suppressLineNumbers w:val="0"/>
        <w:spacing w:before="100" w:beforeAutospacing="0" w:after="10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本公司本报告期无需要披露的其他的重要会计估计及判断。</w:t>
      </w:r>
    </w:p>
    <w:p>
      <w:pPr>
        <w:keepNext/>
        <w:keepLines/>
        <w:spacing w:before="300" w:after="300" w:line="280" w:lineRule="exact"/>
        <w:jc w:val="left"/>
        <w:outlineLvl w:val="2"/>
        <w:rPr>
          <w:rFonts w:ascii="宋体" w:hAnsi="宋体" w:eastAsia="宋体" w:cs="宋体"/>
          <w:b/>
          <w:bCs/>
          <w:sz w:val="21"/>
          <w:szCs w:val="21"/>
        </w:rPr>
      </w:pPr>
      <w:bookmarkStart w:id="154" w:name="_Toc989032"/>
      <w:r>
        <w:rPr>
          <w:rFonts w:hint="eastAsia" w:ascii="宋体" w:hAnsi="宋体" w:cs="宋体"/>
          <w:b/>
          <w:bCs/>
          <w:sz w:val="21"/>
          <w:szCs w:val="21"/>
          <w:lang w:eastAsia="zh-CN"/>
        </w:rPr>
        <w:t>（</w:t>
      </w:r>
      <w:r>
        <w:rPr>
          <w:rFonts w:hint="eastAsia" w:ascii="宋体" w:hAnsi="宋体" w:cs="宋体"/>
          <w:b/>
          <w:bCs/>
          <w:sz w:val="21"/>
          <w:szCs w:val="21"/>
          <w:lang w:val="en-US" w:eastAsia="zh-CN"/>
        </w:rPr>
        <w:t>三十三</w:t>
      </w:r>
      <w:r>
        <w:rPr>
          <w:rFonts w:hint="eastAsia" w:ascii="宋体" w:hAnsi="宋体" w:cs="宋体"/>
          <w:b/>
          <w:bCs/>
          <w:sz w:val="21"/>
          <w:szCs w:val="21"/>
          <w:lang w:eastAsia="zh-CN"/>
        </w:rPr>
        <w:t>）</w:t>
      </w:r>
      <w:r>
        <w:rPr>
          <w:rFonts w:ascii="宋体" w:hAnsi="宋体" w:eastAsia="宋体" w:cs="宋体"/>
          <w:b/>
          <w:bCs/>
          <w:sz w:val="21"/>
          <w:szCs w:val="21"/>
        </w:rPr>
        <w:t>重要会计政策和会计估计变更</w:t>
      </w:r>
      <w:bookmarkEnd w:id="154"/>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55" w:name="_Toc989033"/>
      <w:r>
        <w:rPr>
          <w:rFonts w:hint="eastAsia" w:ascii="Times New Roman" w:hAnsi="Times New Roman" w:eastAsia="宋体" w:cs="Times New Roman"/>
          <w:color w:val="000000"/>
          <w:sz w:val="21"/>
          <w:szCs w:val="21"/>
          <w:lang w:val="en-US" w:eastAsia="zh-CN"/>
        </w:rPr>
        <w:t>1.重要会计政策变更</w:t>
      </w:r>
      <w:bookmarkEnd w:id="155"/>
    </w:p>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56" w:name="_Toc989034"/>
      <w:r>
        <w:rPr>
          <w:rFonts w:hint="eastAsia" w:ascii="Times New Roman" w:hAnsi="Times New Roman" w:eastAsia="宋体" w:cs="Times New Roman"/>
          <w:color w:val="000000"/>
          <w:sz w:val="21"/>
          <w:szCs w:val="21"/>
          <w:lang w:val="en-US" w:eastAsia="zh-CN"/>
        </w:rPr>
        <w:t>2.重要会计估计变更</w:t>
      </w:r>
      <w:bookmarkEnd w:id="156"/>
    </w:p>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outlineLvl w:val="3"/>
        <w:rPr>
          <w:rFonts w:hint="eastAsia" w:ascii="Times New Roman" w:hAnsi="Times New Roman" w:eastAsia="宋体" w:cs="Times New Roman"/>
          <w:color w:val="000000"/>
          <w:sz w:val="21"/>
          <w:szCs w:val="21"/>
          <w:lang w:val="en-US" w:eastAsia="zh-CN"/>
        </w:rPr>
      </w:pPr>
      <w:bookmarkStart w:id="157" w:name="_Toc989035"/>
      <w:r>
        <w:rPr>
          <w:rFonts w:hint="eastAsia" w:ascii="Times New Roman" w:hAnsi="Times New Roman" w:eastAsia="宋体" w:cs="Times New Roman"/>
          <w:color w:val="000000"/>
          <w:sz w:val="21"/>
          <w:szCs w:val="21"/>
          <w:lang w:val="en-US" w:eastAsia="zh-CN"/>
        </w:rPr>
        <w:t>3.2025年起首次执行新会计准则调整首次执行当年年初财务报表相关项目情况</w:t>
      </w:r>
      <w:bookmarkEnd w:id="157"/>
    </w:p>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58" w:name="_Toc989036"/>
      <w:r>
        <w:rPr>
          <w:rFonts w:ascii="宋体" w:hAnsi="宋体" w:eastAsia="宋体" w:cs="宋体"/>
          <w:b/>
          <w:bCs/>
          <w:sz w:val="24"/>
          <w:szCs w:val="24"/>
        </w:rPr>
        <w:t>六、税项</w:t>
      </w:r>
      <w:bookmarkEnd w:id="158"/>
    </w:p>
    <w:p>
      <w:pPr>
        <w:keepNext/>
        <w:keepLines/>
        <w:spacing w:before="300" w:after="300" w:line="280" w:lineRule="exact"/>
        <w:jc w:val="left"/>
        <w:outlineLvl w:val="2"/>
        <w:rPr>
          <w:rFonts w:ascii="宋体" w:hAnsi="宋体" w:eastAsia="宋体" w:cs="宋体"/>
          <w:b/>
          <w:bCs/>
          <w:sz w:val="21"/>
          <w:szCs w:val="21"/>
        </w:rPr>
      </w:pPr>
      <w:bookmarkStart w:id="159" w:name="_Toc989037"/>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主要税种及税率</w:t>
      </w:r>
      <w:bookmarkEnd w:id="159"/>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0、6、9、13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按实际缴纳的增值税及消费税计缴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按应纳税所得额计缴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pPr>
        <w:keepNext/>
        <w:keepLines/>
        <w:spacing w:before="300" w:after="300" w:line="280" w:lineRule="exact"/>
        <w:jc w:val="left"/>
        <w:outlineLvl w:val="2"/>
        <w:rPr>
          <w:rFonts w:ascii="宋体" w:hAnsi="宋体" w:eastAsia="宋体" w:cs="宋体"/>
          <w:b/>
          <w:bCs/>
          <w:sz w:val="21"/>
          <w:szCs w:val="21"/>
        </w:rPr>
      </w:pPr>
      <w:bookmarkStart w:id="160" w:name="_Toc989038"/>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税收优惠</w:t>
      </w:r>
      <w:bookmarkEnd w:id="160"/>
    </w:p>
    <w:p>
      <w:pPr>
        <w:pStyle w:val="4"/>
        <w:keepNext w:val="0"/>
        <w:keepLines w:val="0"/>
        <w:widowControl/>
        <w:suppressLineNumbers w:val="0"/>
        <w:spacing w:before="100" w:beforeAutospacing="0" w:after="0" w:afterAutospacing="0"/>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①本公司及子公司湖南博云东方粉末冶金有限公司、长沙伟徽高科技新材料有限公司和长沙鑫航机轮刹车有限公司，均经湖南省科学技术厅、湖南省财政厅、湖南省国家税务局、湖南省地方税务局联合认定为高新技术企业，有效期三年，本期均适用</w:t>
      </w:r>
      <w:r>
        <w:rPr>
          <w:rFonts w:hint="default" w:ascii="Times New Roman" w:hAnsi="Times New Roman" w:eastAsia="宋体" w:cs="Times New Roman"/>
          <w:sz w:val="21"/>
          <w:szCs w:val="21"/>
        </w:rPr>
        <w:t>15%</w:t>
      </w:r>
      <w:r>
        <w:rPr>
          <w:rFonts w:hint="eastAsia" w:ascii="宋体" w:hAnsi="宋体" w:eastAsia="宋体" w:cs="宋体"/>
          <w:sz w:val="21"/>
          <w:szCs w:val="21"/>
        </w:rPr>
        <w:t>的企业所得税优惠税率。各公司获得高新技术证书的具体日期及证书号如下：</w:t>
      </w:r>
    </w:p>
    <w:tbl>
      <w:tblPr>
        <w:tblStyle w:val="5"/>
        <w:tblW w:w="471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827"/>
        <w:gridCol w:w="3266"/>
        <w:gridCol w:w="220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05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b/>
                <w:bCs/>
                <w:color w:val="000000"/>
                <w:sz w:val="18"/>
                <w:szCs w:val="18"/>
              </w:rPr>
              <w:t>公</w:t>
            </w:r>
            <w:r>
              <w:rPr>
                <w:rFonts w:hint="default" w:ascii="Times New Roman" w:hAnsi="Times New Roman" w:cs="Times New Roman"/>
                <w:b/>
                <w:bCs/>
                <w:color w:val="000000"/>
                <w:sz w:val="18"/>
                <w:szCs w:val="18"/>
              </w:rPr>
              <w:t>  </w:t>
            </w:r>
            <w:r>
              <w:rPr>
                <w:rFonts w:hint="eastAsia" w:ascii="宋体" w:hAnsi="宋体" w:eastAsia="宋体" w:cs="宋体"/>
                <w:b/>
                <w:bCs/>
                <w:color w:val="000000"/>
                <w:sz w:val="18"/>
                <w:szCs w:val="18"/>
              </w:rPr>
              <w:t>司</w:t>
            </w:r>
          </w:p>
        </w:tc>
        <w:tc>
          <w:tcPr>
            <w:tcW w:w="1756"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b/>
                <w:bCs/>
                <w:color w:val="000000"/>
                <w:sz w:val="18"/>
                <w:szCs w:val="18"/>
              </w:rPr>
              <w:t>获得高新技术证书的具体日期</w:t>
            </w:r>
          </w:p>
        </w:tc>
        <w:tc>
          <w:tcPr>
            <w:tcW w:w="11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b/>
                <w:bCs/>
                <w:color w:val="000000"/>
                <w:sz w:val="18"/>
                <w:szCs w:val="18"/>
              </w:rPr>
              <w:t>证书号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0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湖南博云新材料股份有限公司</w:t>
            </w:r>
          </w:p>
        </w:tc>
        <w:tc>
          <w:tcPr>
            <w:tcW w:w="175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10</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16</w:t>
            </w:r>
            <w:r>
              <w:rPr>
                <w:rFonts w:hint="eastAsia" w:ascii="宋体" w:hAnsi="宋体" w:eastAsia="宋体" w:cs="宋体"/>
                <w:color w:val="000000"/>
                <w:sz w:val="18"/>
                <w:szCs w:val="18"/>
              </w:rPr>
              <w:t>日</w:t>
            </w:r>
          </w:p>
        </w:tc>
        <w:tc>
          <w:tcPr>
            <w:tcW w:w="11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GR202343000922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0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湖南博云东方粉末冶金有限公司</w:t>
            </w:r>
          </w:p>
        </w:tc>
        <w:tc>
          <w:tcPr>
            <w:tcW w:w="175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10</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16</w:t>
            </w:r>
            <w:r>
              <w:rPr>
                <w:rFonts w:hint="eastAsia" w:ascii="宋体" w:hAnsi="宋体" w:eastAsia="宋体" w:cs="宋体"/>
                <w:color w:val="000000"/>
                <w:sz w:val="18"/>
                <w:szCs w:val="18"/>
              </w:rPr>
              <w:t>日</w:t>
            </w:r>
          </w:p>
        </w:tc>
        <w:tc>
          <w:tcPr>
            <w:tcW w:w="11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GR202343003684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0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长沙伟徽高科技新材料有限公司</w:t>
            </w:r>
          </w:p>
        </w:tc>
        <w:tc>
          <w:tcPr>
            <w:tcW w:w="175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color w:val="000000"/>
                <w:sz w:val="18"/>
                <w:szCs w:val="18"/>
              </w:rPr>
              <w:t>2023</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10</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16</w:t>
            </w:r>
            <w:r>
              <w:rPr>
                <w:rFonts w:hint="eastAsia" w:ascii="宋体" w:hAnsi="宋体" w:eastAsia="宋体" w:cs="宋体"/>
                <w:color w:val="000000"/>
                <w:sz w:val="18"/>
                <w:szCs w:val="18"/>
              </w:rPr>
              <w:t>日</w:t>
            </w:r>
          </w:p>
        </w:tc>
        <w:tc>
          <w:tcPr>
            <w:tcW w:w="11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GR202343003142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05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eastAsia" w:ascii="宋体" w:hAnsi="宋体" w:eastAsia="宋体" w:cs="宋体"/>
                <w:color w:val="000000"/>
                <w:sz w:val="18"/>
                <w:szCs w:val="18"/>
              </w:rPr>
              <w:t>长沙鑫航机轮刹车有限公司</w:t>
            </w:r>
          </w:p>
        </w:tc>
        <w:tc>
          <w:tcPr>
            <w:tcW w:w="175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4"/>
                <w:szCs w:val="24"/>
              </w:rPr>
            </w:pPr>
            <w:r>
              <w:rPr>
                <w:rFonts w:hint="default" w:ascii="Times New Roman" w:hAnsi="Times New Roman" w:cs="Times New Roman"/>
                <w:color w:val="000000"/>
                <w:sz w:val="18"/>
                <w:szCs w:val="18"/>
              </w:rPr>
              <w:t>2024</w:t>
            </w:r>
            <w:r>
              <w:rPr>
                <w:rFonts w:hint="eastAsia" w:ascii="宋体" w:hAnsi="宋体" w:eastAsia="宋体" w:cs="宋体"/>
                <w:color w:val="000000"/>
                <w:sz w:val="18"/>
                <w:szCs w:val="18"/>
              </w:rPr>
              <w:t>年</w:t>
            </w:r>
            <w:r>
              <w:rPr>
                <w:rFonts w:hint="default" w:ascii="Times New Roman" w:hAnsi="Times New Roman" w:cs="Times New Roman"/>
                <w:color w:val="000000"/>
                <w:sz w:val="18"/>
                <w:szCs w:val="18"/>
              </w:rPr>
              <w:t>11</w:t>
            </w:r>
            <w:r>
              <w:rPr>
                <w:rFonts w:hint="eastAsia" w:ascii="宋体" w:hAnsi="宋体" w:eastAsia="宋体" w:cs="宋体"/>
                <w:color w:val="000000"/>
                <w:sz w:val="18"/>
                <w:szCs w:val="18"/>
              </w:rPr>
              <w:t>月</w:t>
            </w: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日</w:t>
            </w:r>
          </w:p>
        </w:tc>
        <w:tc>
          <w:tcPr>
            <w:tcW w:w="11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GR202443001321</w:t>
            </w:r>
          </w:p>
        </w:tc>
      </w:tr>
    </w:tbl>
    <w:p>
      <w:pPr>
        <w:pStyle w:val="4"/>
        <w:keepNext w:val="0"/>
        <w:keepLines w:val="0"/>
        <w:widowControl/>
        <w:suppressLineNumbers w:val="0"/>
        <w:spacing w:before="100" w:beforeAutospacing="0" w:after="0" w:afterAutospacing="0"/>
        <w:ind w:left="0" w:right="0" w:firstLine="420"/>
        <w:jc w:val="left"/>
        <w:rPr>
          <w:rFonts w:hint="default" w:ascii="Times New Roman" w:hAnsi="Times New Roman" w:cs="Times New Roman"/>
          <w:sz w:val="24"/>
          <w:szCs w:val="24"/>
        </w:rPr>
      </w:pPr>
      <w:r>
        <w:rPr>
          <w:rFonts w:hint="eastAsia" w:ascii="宋体" w:hAnsi="宋体" w:eastAsia="宋体" w:cs="宋体"/>
          <w:sz w:val="21"/>
          <w:szCs w:val="21"/>
        </w:rPr>
        <w:t>②根据《财政部、税务总局公告2023年第7号 财政部 税务总局关于进一步完善研发费用税前加计扣除政策的公告》，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p>
      <w:pPr>
        <w:keepNext/>
        <w:keepLines/>
        <w:spacing w:before="300" w:after="300" w:line="320" w:lineRule="exact"/>
        <w:jc w:val="left"/>
        <w:outlineLvl w:val="1"/>
        <w:rPr>
          <w:rFonts w:ascii="宋体" w:hAnsi="宋体" w:eastAsia="宋体" w:cs="宋体"/>
          <w:b/>
          <w:bCs/>
          <w:sz w:val="24"/>
          <w:szCs w:val="24"/>
        </w:rPr>
      </w:pPr>
      <w:bookmarkStart w:id="161" w:name="_Toc989039"/>
      <w:r>
        <w:rPr>
          <w:rFonts w:ascii="宋体" w:hAnsi="宋体" w:eastAsia="宋体" w:cs="宋体"/>
          <w:b/>
          <w:bCs/>
          <w:sz w:val="24"/>
          <w:szCs w:val="24"/>
        </w:rPr>
        <w:t>七、合并财务报表项目注释</w:t>
      </w:r>
      <w:bookmarkEnd w:id="161"/>
    </w:p>
    <w:p>
      <w:pPr>
        <w:keepNext/>
        <w:keepLines/>
        <w:spacing w:before="300" w:after="300" w:line="280" w:lineRule="exact"/>
        <w:jc w:val="left"/>
        <w:outlineLvl w:val="2"/>
        <w:rPr>
          <w:rFonts w:ascii="宋体" w:hAnsi="宋体" w:eastAsia="宋体" w:cs="宋体"/>
          <w:b/>
          <w:bCs/>
          <w:sz w:val="21"/>
          <w:szCs w:val="21"/>
        </w:rPr>
      </w:pPr>
      <w:bookmarkStart w:id="162" w:name="_Toc989040"/>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货币资金</w:t>
      </w:r>
      <w:bookmarkEnd w:id="1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494,192,403.78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22,169,370.70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21,201,154.58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516,361,774.48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560,769,511.15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4"/>
        <w:keepNext w:val="0"/>
        <w:keepLines w:val="0"/>
        <w:widowControl/>
        <w:suppressLineNumbers w:val="0"/>
        <w:spacing w:before="100" w:beforeAutospacing="0" w:after="0" w:afterAutospacing="0"/>
        <w:ind w:left="0" w:right="0"/>
        <w:jc w:val="left"/>
        <w:rPr>
          <w:rFonts w:hint="eastAsia" w:ascii="宋体" w:hAnsi="宋体" w:eastAsia="宋体" w:cs="宋体"/>
          <w:sz w:val="21"/>
          <w:szCs w:val="21"/>
        </w:rPr>
      </w:pPr>
      <w:r>
        <w:rPr>
          <w:rFonts w:hint="eastAsia" w:ascii="宋体" w:hAnsi="宋体" w:eastAsia="宋体" w:cs="宋体"/>
          <w:sz w:val="21"/>
          <w:szCs w:val="21"/>
        </w:rPr>
        <w:t>其中因抵押、质押或冻结等对使用有限制，因资金集中管理支取受限，以及放在境外且资金汇回受到限制的货币资金明细如下：</w:t>
      </w:r>
    </w:p>
    <w:p>
      <w:pPr>
        <w:spacing w:before="40" w:after="40" w:line="240" w:lineRule="exact"/>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单位：元</w:t>
      </w:r>
    </w:p>
    <w:tbl>
      <w:tblPr>
        <w:tblStyle w:val="5"/>
        <w:tblW w:w="95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06"/>
        <w:gridCol w:w="3208"/>
        <w:gridCol w:w="3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3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期末余额</w:t>
            </w:r>
          </w:p>
        </w:tc>
        <w:tc>
          <w:tcPr>
            <w:tcW w:w="3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上年年末余额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银行承兑汇票保证金</w:t>
            </w:r>
          </w:p>
        </w:tc>
        <w:tc>
          <w:tcPr>
            <w:tcW w:w="3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069</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158.58 </w:t>
            </w:r>
          </w:p>
        </w:tc>
        <w:tc>
          <w:tcPr>
            <w:tcW w:w="3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15,244,120.52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信用证保证金</w:t>
            </w:r>
          </w:p>
        </w:tc>
        <w:tc>
          <w:tcPr>
            <w:tcW w:w="3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100</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212.12 </w:t>
            </w:r>
          </w:p>
        </w:tc>
        <w:tc>
          <w:tcPr>
            <w:tcW w:w="3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5,957,034.06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22,169,370.70</w:t>
            </w:r>
          </w:p>
        </w:tc>
        <w:tc>
          <w:tcPr>
            <w:tcW w:w="3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21,201,154.58</w:t>
            </w:r>
          </w:p>
        </w:tc>
      </w:tr>
    </w:tbl>
    <w:p>
      <w:pPr>
        <w:keepNext/>
        <w:keepLines/>
        <w:spacing w:before="300" w:after="300" w:line="280" w:lineRule="exact"/>
        <w:jc w:val="left"/>
        <w:outlineLvl w:val="2"/>
        <w:rPr>
          <w:rFonts w:ascii="宋体" w:hAnsi="宋体" w:eastAsia="宋体" w:cs="宋体"/>
          <w:b/>
          <w:bCs/>
          <w:sz w:val="21"/>
          <w:szCs w:val="21"/>
        </w:rPr>
      </w:pPr>
      <w:bookmarkStart w:id="163" w:name="_Toc989041"/>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应收票据</w:t>
      </w:r>
      <w:bookmarkEnd w:id="163"/>
    </w:p>
    <w:p>
      <w:pPr>
        <w:keepNext/>
        <w:keepLines/>
        <w:spacing w:before="300" w:after="300" w:line="280" w:lineRule="exact"/>
        <w:jc w:val="left"/>
        <w:outlineLvl w:val="3"/>
        <w:rPr>
          <w:rFonts w:ascii="宋体" w:hAnsi="宋体" w:eastAsia="宋体" w:cs="宋体"/>
          <w:b/>
          <w:bCs/>
          <w:sz w:val="21"/>
          <w:szCs w:val="21"/>
        </w:rPr>
      </w:pPr>
      <w:bookmarkStart w:id="164" w:name="_Toc989042"/>
      <w:r>
        <w:rPr>
          <w:rFonts w:hint="eastAsia" w:ascii="宋体" w:hAnsi="宋体" w:cs="宋体"/>
          <w:b/>
          <w:bCs/>
          <w:sz w:val="21"/>
          <w:szCs w:val="21"/>
          <w:lang w:val="en-US" w:eastAsia="zh-CN"/>
        </w:rPr>
        <w:t>1.</w:t>
      </w:r>
      <w:r>
        <w:rPr>
          <w:rFonts w:ascii="宋体" w:hAnsi="宋体" w:eastAsia="宋体" w:cs="宋体"/>
          <w:b/>
          <w:bCs/>
          <w:sz w:val="21"/>
          <w:szCs w:val="21"/>
        </w:rPr>
        <w:t>应收票据分类列示</w:t>
      </w:r>
      <w:bookmarkEnd w:id="1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51,376,290.06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49,876,008.58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14,124,859.37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5,238,636.31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65,501,149.43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r>
    </w:tbl>
    <w:p>
      <w:pPr>
        <w:keepNext/>
        <w:keepLines/>
        <w:spacing w:before="300" w:after="300" w:line="280" w:lineRule="exact"/>
        <w:jc w:val="left"/>
        <w:outlineLvl w:val="3"/>
        <w:rPr>
          <w:rFonts w:ascii="宋体" w:hAnsi="宋体" w:eastAsia="宋体" w:cs="宋体"/>
          <w:b/>
          <w:bCs/>
          <w:sz w:val="21"/>
          <w:szCs w:val="21"/>
        </w:rPr>
      </w:pPr>
      <w:bookmarkStart w:id="165" w:name="_Toc989043"/>
      <w:r>
        <w:rPr>
          <w:rFonts w:hint="eastAsia" w:ascii="宋体" w:hAnsi="宋体" w:cs="宋体"/>
          <w:b/>
          <w:bCs/>
          <w:sz w:val="21"/>
          <w:szCs w:val="21"/>
          <w:lang w:val="en-US" w:eastAsia="zh-CN"/>
        </w:rPr>
        <w:t>2.</w:t>
      </w:r>
      <w:r>
        <w:rPr>
          <w:rFonts w:ascii="宋体" w:hAnsi="宋体" w:eastAsia="宋体" w:cs="宋体"/>
          <w:b/>
          <w:bCs/>
          <w:sz w:val="21"/>
          <w:szCs w:val="21"/>
        </w:rPr>
        <w:t>按坏账计提方法分类披露</w:t>
      </w:r>
      <w:bookmarkEnd w:id="1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66,387,982.06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65,501,149.43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55,624,879.93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其中：银行承兑汇票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51,376,290.06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51,376,290.06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49,876,008.58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49,876,008.58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其中：商业承兑汇票</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15,011,692.00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14,124,859.37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5,748,871.35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5,238,636.31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66,387,982.06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65,501,149.43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55,624,879.93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55,114,644.89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按组合计提坏账准备类别名称：886,832.63元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51,376,290.06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15,011,692.00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66,387,982.06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66" w:name="_Toc989044"/>
      <w:r>
        <w:rPr>
          <w:rFonts w:hint="eastAsia" w:ascii="宋体" w:hAnsi="宋体" w:cs="宋体"/>
          <w:b/>
          <w:bCs/>
          <w:sz w:val="21"/>
          <w:szCs w:val="21"/>
          <w:lang w:val="en-US" w:eastAsia="zh-CN"/>
        </w:rPr>
        <w:t>3.</w:t>
      </w:r>
      <w:r>
        <w:rPr>
          <w:rFonts w:ascii="宋体" w:hAnsi="宋体" w:eastAsia="宋体" w:cs="宋体"/>
          <w:b/>
          <w:bCs/>
          <w:sz w:val="21"/>
          <w:szCs w:val="21"/>
        </w:rPr>
        <w:t>本期计提、收回或转回的坏账准备情况</w:t>
      </w:r>
      <w:bookmarkEnd w:id="166"/>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510,235.04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886,832.63</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67" w:name="_Toc989046"/>
      <w:r>
        <w:rPr>
          <w:rFonts w:hint="eastAsia" w:ascii="宋体" w:hAnsi="宋体" w:cs="宋体"/>
          <w:b/>
          <w:bCs/>
          <w:sz w:val="21"/>
          <w:szCs w:val="21"/>
          <w:lang w:val="en-US" w:eastAsia="zh-CN"/>
        </w:rPr>
        <w:t>4.</w:t>
      </w:r>
      <w:r>
        <w:rPr>
          <w:rFonts w:ascii="宋体" w:hAnsi="宋体" w:eastAsia="宋体" w:cs="宋体"/>
          <w:b/>
          <w:bCs/>
          <w:sz w:val="21"/>
          <w:szCs w:val="21"/>
        </w:rPr>
        <w:t>期末公司已背书或贴现且在资产负债表日尚未到期的应收票据</w:t>
      </w:r>
      <w:bookmarkEnd w:id="1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36,581,757.81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37,581,757.81</w:t>
            </w:r>
          </w:p>
        </w:tc>
      </w:tr>
    </w:tbl>
    <w:p>
      <w:pPr>
        <w:keepNext/>
        <w:keepLines/>
        <w:spacing w:before="300" w:after="300" w:line="280" w:lineRule="exact"/>
        <w:jc w:val="left"/>
        <w:outlineLvl w:val="2"/>
        <w:rPr>
          <w:rFonts w:ascii="宋体" w:hAnsi="宋体" w:eastAsia="宋体" w:cs="宋体"/>
          <w:b/>
          <w:bCs/>
          <w:sz w:val="21"/>
          <w:szCs w:val="21"/>
        </w:rPr>
      </w:pPr>
      <w:bookmarkStart w:id="168" w:name="_Toc989047"/>
      <w:r>
        <w:rPr>
          <w:rFonts w:hint="eastAsia" w:ascii="宋体" w:hAnsi="宋体" w:cs="宋体"/>
          <w:b/>
          <w:bCs/>
          <w:sz w:val="21"/>
          <w:szCs w:val="21"/>
          <w:lang w:eastAsia="zh-CN"/>
        </w:rPr>
        <w:t>（</w:t>
      </w:r>
      <w:r>
        <w:rPr>
          <w:rFonts w:hint="eastAsia" w:ascii="宋体" w:hAnsi="宋体" w:cs="宋体"/>
          <w:b/>
          <w:bCs/>
          <w:sz w:val="21"/>
          <w:szCs w:val="21"/>
          <w:lang w:val="en-US" w:eastAsia="zh-CN"/>
        </w:rPr>
        <w:t>三</w:t>
      </w:r>
      <w:r>
        <w:rPr>
          <w:rFonts w:hint="eastAsia" w:ascii="宋体" w:hAnsi="宋体" w:cs="宋体"/>
          <w:b/>
          <w:bCs/>
          <w:sz w:val="21"/>
          <w:szCs w:val="21"/>
          <w:lang w:eastAsia="zh-CN"/>
        </w:rPr>
        <w:t>）</w:t>
      </w:r>
      <w:r>
        <w:rPr>
          <w:rFonts w:ascii="宋体" w:hAnsi="宋体" w:eastAsia="宋体" w:cs="宋体"/>
          <w:b/>
          <w:bCs/>
          <w:sz w:val="21"/>
          <w:szCs w:val="21"/>
        </w:rPr>
        <w:t>应收账款</w:t>
      </w:r>
      <w:bookmarkEnd w:id="168"/>
    </w:p>
    <w:p>
      <w:pPr>
        <w:keepNext/>
        <w:keepLines/>
        <w:spacing w:before="300" w:after="300" w:line="280" w:lineRule="exact"/>
        <w:jc w:val="left"/>
        <w:outlineLvl w:val="3"/>
        <w:rPr>
          <w:rFonts w:ascii="宋体" w:hAnsi="宋体" w:eastAsia="宋体" w:cs="宋体"/>
          <w:b/>
          <w:bCs/>
          <w:sz w:val="21"/>
          <w:szCs w:val="21"/>
        </w:rPr>
      </w:pPr>
      <w:bookmarkStart w:id="169" w:name="_Toc989048"/>
      <w:r>
        <w:rPr>
          <w:rFonts w:hint="eastAsia" w:ascii="宋体" w:hAnsi="宋体" w:cs="宋体"/>
          <w:b/>
          <w:bCs/>
          <w:sz w:val="21"/>
          <w:szCs w:val="21"/>
          <w:lang w:val="en-US" w:eastAsia="zh-CN"/>
        </w:rPr>
        <w:t>1.</w:t>
      </w:r>
      <w:r>
        <w:rPr>
          <w:rFonts w:ascii="宋体" w:hAnsi="宋体" w:eastAsia="宋体" w:cs="宋体"/>
          <w:b/>
          <w:bCs/>
          <w:sz w:val="21"/>
          <w:szCs w:val="21"/>
        </w:rPr>
        <w:t>按账龄披露</w:t>
      </w:r>
      <w:bookmarkEnd w:id="169"/>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436,569,546.09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365,370,143.86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70,204,486.96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59,212,339.31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3,474,689.04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5,126,006.26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57,961,391.36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57,796,369.16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1,788,732.88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1,998,925.70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1,953,938.22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3,659,457.72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54,218,720.26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52,137,985.74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568,210,113.45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487,504,858.59</w:t>
            </w:r>
          </w:p>
        </w:tc>
      </w:tr>
    </w:tbl>
    <w:p>
      <w:pPr>
        <w:keepNext/>
        <w:keepLines/>
        <w:spacing w:before="300" w:after="300" w:line="280" w:lineRule="exact"/>
        <w:jc w:val="left"/>
        <w:outlineLvl w:val="3"/>
        <w:rPr>
          <w:rFonts w:ascii="宋体" w:hAnsi="宋体" w:eastAsia="宋体" w:cs="宋体"/>
          <w:b/>
          <w:bCs/>
          <w:sz w:val="21"/>
          <w:szCs w:val="21"/>
        </w:rPr>
      </w:pPr>
      <w:bookmarkStart w:id="170" w:name="_Toc989049"/>
      <w:r>
        <w:rPr>
          <w:rFonts w:hint="eastAsia" w:ascii="宋体" w:hAnsi="宋体" w:cs="宋体"/>
          <w:b/>
          <w:bCs/>
          <w:sz w:val="21"/>
          <w:szCs w:val="21"/>
          <w:lang w:val="en-US" w:eastAsia="zh-CN"/>
        </w:rPr>
        <w:t>2.</w:t>
      </w:r>
      <w:r>
        <w:rPr>
          <w:rFonts w:ascii="宋体" w:hAnsi="宋体" w:eastAsia="宋体" w:cs="宋体"/>
          <w:b/>
          <w:bCs/>
          <w:sz w:val="21"/>
          <w:szCs w:val="21"/>
        </w:rPr>
        <w:t>按坏账计提方法分类披露</w:t>
      </w:r>
      <w:bookmarkEnd w:id="1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58,223,302.92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58,223,302.92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509,986,810.53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34,522,441.71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475,464,368.82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437,426,401.86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30,430,401.74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406,996,000.12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568,210,113.45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92,745,744.63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475,464,368.82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487,504,858.59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80,508,858.47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406,996,000.12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按单项计提坏账准备类别名称：58,223,302.92元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34,561,864.73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34,561,864.73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42,706,710.92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42,706,710.92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58,223,302.92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58,223,302.92</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按组合计提坏账准备类别名称：34,522,441.71元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436,569,546.09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21,828,477.45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一至二年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64,444,312.83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6,444,431.32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二至三年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1,407,297.96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281,459.59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三至四年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904,524.24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271,357.28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四至五年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1,928,826.72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964,413.38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4,732,302.69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4,732,302.69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509,986,810.53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34,522,441.71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71" w:name="_Toc989050"/>
      <w:r>
        <w:rPr>
          <w:rFonts w:hint="eastAsia" w:ascii="宋体" w:hAnsi="宋体" w:cs="宋体"/>
          <w:b/>
          <w:bCs/>
          <w:sz w:val="21"/>
          <w:szCs w:val="21"/>
          <w:lang w:val="en-US" w:eastAsia="zh-CN"/>
        </w:rPr>
        <w:t>3.</w:t>
      </w:r>
      <w:r>
        <w:rPr>
          <w:rFonts w:ascii="宋体" w:hAnsi="宋体" w:eastAsia="宋体" w:cs="宋体"/>
          <w:b/>
          <w:bCs/>
          <w:sz w:val="21"/>
          <w:szCs w:val="21"/>
        </w:rPr>
        <w:t>本期计提、收回或转回的坏账准备情况</w:t>
      </w:r>
      <w:bookmarkEnd w:id="171"/>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455"/>
        <w:gridCol w:w="1425"/>
        <w:gridCol w:w="1251"/>
        <w:gridCol w:w="1377"/>
        <w:gridCol w:w="1231"/>
        <w:gridCol w:w="15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45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52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45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2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2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52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50,078,456.73</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8,144,846.19</w:t>
            </w:r>
          </w:p>
        </w:tc>
        <w:tc>
          <w:tcPr>
            <w:tcW w:w="12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58,223,302.92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按信用风险特征组合计提坏账准备</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30,430,401.74</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4,092,039.97</w:t>
            </w:r>
          </w:p>
        </w:tc>
        <w:tc>
          <w:tcPr>
            <w:tcW w:w="12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34,522,441.71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4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80,508,858.47</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12,236,886.16</w:t>
            </w:r>
          </w:p>
        </w:tc>
        <w:tc>
          <w:tcPr>
            <w:tcW w:w="125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3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2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92,745,744.63</w:t>
            </w:r>
          </w:p>
        </w:tc>
      </w:tr>
    </w:tbl>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172" w:name="_Toc989051"/>
      <w:r>
        <w:rPr>
          <w:rFonts w:hint="eastAsia" w:ascii="宋体" w:hAnsi="宋体" w:eastAsia="宋体" w:cs="宋体"/>
          <w:b/>
          <w:bCs/>
          <w:sz w:val="21"/>
          <w:szCs w:val="21"/>
          <w:lang w:val="en-US" w:eastAsia="zh-CN"/>
        </w:rPr>
        <w:t>4.按欠款方归集的期末余额前五名的应收账款和合同资产情况</w:t>
      </w:r>
      <w:bookmarkEnd w:id="172"/>
    </w:p>
    <w:p>
      <w:pPr>
        <w:pStyle w:val="4"/>
        <w:keepNext w:val="0"/>
        <w:keepLines w:val="0"/>
        <w:widowControl/>
        <w:suppressLineNumbers w:val="0"/>
        <w:spacing w:before="100" w:beforeAutospacing="0" w:after="0" w:afterAutospacing="0"/>
        <w:ind w:left="0" w:right="0" w:firstLine="420" w:firstLineChars="200"/>
        <w:jc w:val="left"/>
        <w:rPr>
          <w:rFonts w:ascii="宋体" w:hAnsi="宋体" w:eastAsia="宋体" w:cs="宋体"/>
          <w:b/>
          <w:bCs/>
          <w:sz w:val="21"/>
          <w:szCs w:val="21"/>
        </w:rPr>
      </w:pPr>
      <w:bookmarkStart w:id="173" w:name="_Toc989052"/>
      <w:r>
        <w:rPr>
          <w:rFonts w:hint="eastAsia" w:ascii="宋体" w:hAnsi="宋体" w:eastAsia="宋体" w:cs="宋体"/>
          <w:color w:val="000000"/>
          <w:sz w:val="21"/>
          <w:szCs w:val="21"/>
        </w:rPr>
        <w:t>按欠款方归集的期末余额前五名应收账款和合同资产汇总金额132,250,721.65元，占应收账款和合同资产期末余额合计数的比例23.17</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，相应计提的坏账准备期末余额汇总金额16,803,032.19元。</w:t>
      </w:r>
    </w:p>
    <w:p>
      <w:pPr>
        <w:keepNext/>
        <w:keepLines/>
        <w:spacing w:before="300" w:after="300" w:line="280" w:lineRule="exact"/>
        <w:jc w:val="left"/>
        <w:outlineLvl w:val="2"/>
        <w:rPr>
          <w:rFonts w:ascii="宋体" w:hAnsi="宋体" w:eastAsia="宋体" w:cs="宋体"/>
          <w:b/>
          <w:bCs/>
          <w:sz w:val="21"/>
          <w:szCs w:val="21"/>
        </w:rPr>
      </w:pPr>
      <w:r>
        <w:rPr>
          <w:rFonts w:hint="eastAsia" w:ascii="宋体" w:hAnsi="宋体" w:cs="宋体"/>
          <w:b/>
          <w:bCs/>
          <w:sz w:val="21"/>
          <w:szCs w:val="21"/>
          <w:lang w:eastAsia="zh-CN"/>
        </w:rPr>
        <w:t>（</w:t>
      </w:r>
      <w:r>
        <w:rPr>
          <w:rFonts w:hint="eastAsia" w:ascii="宋体" w:hAnsi="宋体" w:cs="宋体"/>
          <w:b/>
          <w:bCs/>
          <w:sz w:val="21"/>
          <w:szCs w:val="21"/>
          <w:lang w:val="en-US" w:eastAsia="zh-CN"/>
        </w:rPr>
        <w:t>四</w:t>
      </w:r>
      <w:r>
        <w:rPr>
          <w:rFonts w:hint="eastAsia" w:ascii="宋体" w:hAnsi="宋体" w:cs="宋体"/>
          <w:b/>
          <w:bCs/>
          <w:sz w:val="21"/>
          <w:szCs w:val="21"/>
          <w:lang w:eastAsia="zh-CN"/>
        </w:rPr>
        <w:t>）</w:t>
      </w:r>
      <w:r>
        <w:rPr>
          <w:rFonts w:ascii="宋体" w:hAnsi="宋体" w:eastAsia="宋体" w:cs="宋体"/>
          <w:b/>
          <w:bCs/>
          <w:sz w:val="21"/>
          <w:szCs w:val="21"/>
        </w:rPr>
        <w:t>合同资产</w:t>
      </w:r>
      <w:bookmarkEnd w:id="173"/>
    </w:p>
    <w:p>
      <w:pPr>
        <w:keepNext/>
        <w:keepLines/>
        <w:spacing w:before="300" w:after="300" w:line="280" w:lineRule="exact"/>
        <w:jc w:val="left"/>
        <w:outlineLvl w:val="3"/>
        <w:rPr>
          <w:rFonts w:ascii="宋体" w:hAnsi="宋体" w:eastAsia="宋体" w:cs="宋体"/>
          <w:b/>
          <w:bCs/>
          <w:sz w:val="21"/>
          <w:szCs w:val="21"/>
        </w:rPr>
      </w:pPr>
      <w:bookmarkStart w:id="174" w:name="_Toc989053"/>
      <w:r>
        <w:rPr>
          <w:rFonts w:hint="eastAsia" w:ascii="宋体" w:hAnsi="宋体" w:cs="宋体"/>
          <w:b/>
          <w:bCs/>
          <w:sz w:val="21"/>
          <w:szCs w:val="21"/>
          <w:lang w:val="en-US" w:eastAsia="zh-CN"/>
        </w:rPr>
        <w:t>1.</w:t>
      </w:r>
      <w:r>
        <w:rPr>
          <w:rFonts w:ascii="宋体" w:hAnsi="宋体" w:eastAsia="宋体" w:cs="宋体"/>
          <w:b/>
          <w:bCs/>
          <w:sz w:val="21"/>
          <w:szCs w:val="21"/>
        </w:rPr>
        <w:t>合同资产情况</w:t>
      </w:r>
      <w:bookmarkEnd w:id="1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2,688,235.95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134,411.80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2,553,824.15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2,688,235.95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134,411.80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2,553,824.15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r>
    </w:tbl>
    <w:p>
      <w:pPr>
        <w:keepNext/>
        <w:keepLines/>
        <w:spacing w:before="300" w:after="300" w:line="280" w:lineRule="exact"/>
        <w:jc w:val="left"/>
        <w:outlineLvl w:val="3"/>
        <w:rPr>
          <w:rFonts w:ascii="宋体" w:hAnsi="宋体" w:eastAsia="宋体" w:cs="宋体"/>
          <w:b/>
          <w:bCs/>
          <w:sz w:val="21"/>
          <w:szCs w:val="21"/>
        </w:rPr>
      </w:pPr>
      <w:bookmarkStart w:id="175" w:name="_Toc989054"/>
      <w:r>
        <w:rPr>
          <w:rFonts w:hint="eastAsia" w:ascii="宋体" w:hAnsi="宋体" w:cs="宋体"/>
          <w:b/>
          <w:bCs/>
          <w:sz w:val="21"/>
          <w:szCs w:val="21"/>
          <w:lang w:val="en-US" w:eastAsia="zh-CN"/>
        </w:rPr>
        <w:t>2.</w:t>
      </w:r>
      <w:r>
        <w:rPr>
          <w:rFonts w:ascii="宋体" w:hAnsi="宋体" w:eastAsia="宋体" w:cs="宋体"/>
          <w:b/>
          <w:bCs/>
          <w:sz w:val="21"/>
          <w:szCs w:val="21"/>
        </w:rPr>
        <w:t>按坏账计提方法分类披露</w:t>
      </w:r>
      <w:bookmarkEnd w:id="175"/>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2,688,235.95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134,411.80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2,553,824.15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2,688,235.95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134,411.80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2,553,824.15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3,598,639.19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245,258.95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3,353,380.24</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按组合计提坏账准备类别名称：134,411.80元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未到期质保金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2,688,235.95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134,411.80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2,688,235.95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134,411.80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76" w:name="_Toc989055"/>
      <w:r>
        <w:rPr>
          <w:rFonts w:hint="eastAsia" w:ascii="宋体" w:hAnsi="宋体" w:cs="宋体"/>
          <w:b/>
          <w:bCs/>
          <w:sz w:val="21"/>
          <w:szCs w:val="21"/>
          <w:lang w:val="en-US" w:eastAsia="zh-CN"/>
        </w:rPr>
        <w:t>3.</w:t>
      </w:r>
      <w:r>
        <w:rPr>
          <w:rFonts w:ascii="宋体" w:hAnsi="宋体" w:eastAsia="宋体" w:cs="宋体"/>
          <w:b/>
          <w:bCs/>
          <w:sz w:val="21"/>
          <w:szCs w:val="21"/>
        </w:rPr>
        <w:t>本期计提、收回或转回的坏账准备情况</w:t>
      </w:r>
      <w:bookmarkEnd w:id="176"/>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本期收回或转回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到期质保金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质保金到期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2"/>
        <w:rPr>
          <w:rFonts w:ascii="宋体" w:hAnsi="宋体" w:eastAsia="宋体" w:cs="宋体"/>
          <w:b/>
          <w:bCs/>
          <w:sz w:val="21"/>
          <w:szCs w:val="21"/>
        </w:rPr>
      </w:pPr>
      <w:bookmarkStart w:id="177" w:name="_Toc989056"/>
      <w:r>
        <w:rPr>
          <w:rFonts w:hint="eastAsia" w:ascii="宋体" w:hAnsi="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cs="宋体"/>
          <w:b/>
          <w:bCs/>
          <w:sz w:val="21"/>
          <w:szCs w:val="21"/>
          <w:lang w:eastAsia="zh-CN"/>
        </w:rPr>
        <w:t>）</w:t>
      </w:r>
      <w:r>
        <w:rPr>
          <w:rFonts w:ascii="宋体" w:hAnsi="宋体" w:eastAsia="宋体" w:cs="宋体"/>
          <w:b/>
          <w:bCs/>
          <w:sz w:val="21"/>
          <w:szCs w:val="21"/>
        </w:rPr>
        <w:t>应收款项融资</w:t>
      </w:r>
      <w:bookmarkEnd w:id="177"/>
    </w:p>
    <w:p>
      <w:pPr>
        <w:keepNext/>
        <w:keepLines/>
        <w:spacing w:before="300" w:after="300" w:line="280" w:lineRule="exact"/>
        <w:jc w:val="left"/>
        <w:outlineLvl w:val="3"/>
        <w:rPr>
          <w:rFonts w:ascii="宋体" w:hAnsi="宋体" w:eastAsia="宋体" w:cs="宋体"/>
          <w:b/>
          <w:bCs/>
          <w:sz w:val="21"/>
          <w:szCs w:val="21"/>
        </w:rPr>
      </w:pPr>
      <w:bookmarkStart w:id="178" w:name="_Toc989057"/>
      <w:r>
        <w:rPr>
          <w:rFonts w:hint="eastAsia" w:ascii="宋体" w:hAnsi="宋体" w:cs="宋体"/>
          <w:b/>
          <w:bCs/>
          <w:sz w:val="21"/>
          <w:szCs w:val="21"/>
          <w:lang w:val="en-US" w:eastAsia="zh-CN"/>
        </w:rPr>
        <w:t>1.</w:t>
      </w:r>
      <w:r>
        <w:rPr>
          <w:rFonts w:ascii="宋体" w:hAnsi="宋体" w:eastAsia="宋体" w:cs="宋体"/>
          <w:b/>
          <w:bCs/>
          <w:sz w:val="21"/>
          <w:szCs w:val="21"/>
        </w:rPr>
        <w:t>应收款项融资分类列示</w:t>
      </w:r>
      <w:bookmarkEnd w:id="1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12,689,303.58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12,689,303.58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4,488,656.99</w:t>
            </w:r>
          </w:p>
        </w:tc>
      </w:tr>
    </w:tbl>
    <w:p>
      <w:pPr>
        <w:keepNext/>
        <w:keepLines/>
        <w:spacing w:before="300" w:after="300" w:line="280" w:lineRule="exact"/>
        <w:jc w:val="left"/>
        <w:outlineLvl w:val="3"/>
        <w:rPr>
          <w:rFonts w:ascii="宋体" w:hAnsi="宋体" w:eastAsia="宋体" w:cs="宋体"/>
          <w:b/>
          <w:bCs/>
          <w:sz w:val="21"/>
          <w:szCs w:val="21"/>
        </w:rPr>
      </w:pPr>
      <w:bookmarkStart w:id="179" w:name="_Toc989058"/>
      <w:r>
        <w:rPr>
          <w:rFonts w:hint="eastAsia" w:ascii="宋体" w:hAnsi="宋体" w:cs="宋体"/>
          <w:b/>
          <w:bCs/>
          <w:sz w:val="21"/>
          <w:szCs w:val="21"/>
          <w:lang w:val="en-US" w:eastAsia="zh-CN"/>
        </w:rPr>
        <w:t>2.</w:t>
      </w:r>
      <w:r>
        <w:rPr>
          <w:rFonts w:ascii="宋体" w:hAnsi="宋体" w:eastAsia="宋体" w:cs="宋体"/>
          <w:b/>
          <w:bCs/>
          <w:sz w:val="21"/>
          <w:szCs w:val="21"/>
        </w:rPr>
        <w:t>期末公司已背书或贴现且在资产负债表日尚未到期的应收款项融资</w:t>
      </w:r>
      <w:bookmarkEnd w:id="1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31,210,163.80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31,210,163.80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180" w:name="_Toc989059"/>
      <w:r>
        <w:rPr>
          <w:rFonts w:hint="eastAsia" w:ascii="宋体" w:hAnsi="宋体" w:cs="宋体"/>
          <w:b/>
          <w:bCs/>
          <w:sz w:val="21"/>
          <w:szCs w:val="21"/>
          <w:lang w:val="en-US" w:eastAsia="zh-CN"/>
        </w:rPr>
        <w:t>3.</w:t>
      </w:r>
      <w:r>
        <w:rPr>
          <w:rFonts w:ascii="宋体" w:hAnsi="宋体" w:eastAsia="宋体" w:cs="宋体"/>
          <w:b/>
          <w:bCs/>
          <w:sz w:val="21"/>
          <w:szCs w:val="21"/>
        </w:rPr>
        <w:t>应收款项融资本期增减变动及公允价值变动情况</w:t>
      </w:r>
      <w:bookmarkEnd w:id="180"/>
    </w:p>
    <w:tbl>
      <w:tblPr>
        <w:tblStyle w:val="5"/>
        <w:tblW w:w="9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64"/>
        <w:gridCol w:w="1317"/>
        <w:gridCol w:w="1375"/>
        <w:gridCol w:w="1483"/>
        <w:gridCol w:w="1192"/>
        <w:gridCol w:w="1258"/>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上年年末余额</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本期新增</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本期终止确认</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其他变动</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期末余额</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累计在其他综合收益中确认的损失准备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应收票据</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4,488,656.99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76,652,953.75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68,452,307.16</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12,689,303.58</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1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4,488,656.99</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76,652,953.75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68,452,307.16</w:t>
            </w: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12,689,303.58</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bl>
    <w:p>
      <w:pPr>
        <w:keepNext/>
        <w:keepLines/>
        <w:spacing w:before="300" w:after="300" w:line="280" w:lineRule="exact"/>
        <w:jc w:val="left"/>
        <w:outlineLvl w:val="2"/>
        <w:rPr>
          <w:rFonts w:ascii="宋体" w:hAnsi="宋体" w:eastAsia="宋体" w:cs="宋体"/>
          <w:b/>
          <w:bCs/>
          <w:sz w:val="21"/>
          <w:szCs w:val="21"/>
        </w:rPr>
      </w:pPr>
      <w:bookmarkStart w:id="181" w:name="_Toc989060"/>
      <w:r>
        <w:rPr>
          <w:rFonts w:hint="eastAsia" w:ascii="宋体" w:hAnsi="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cs="宋体"/>
          <w:b/>
          <w:bCs/>
          <w:sz w:val="21"/>
          <w:szCs w:val="21"/>
          <w:lang w:eastAsia="zh-CN"/>
        </w:rPr>
        <w:t>）</w:t>
      </w:r>
      <w:r>
        <w:rPr>
          <w:rFonts w:ascii="宋体" w:hAnsi="宋体" w:eastAsia="宋体" w:cs="宋体"/>
          <w:b/>
          <w:bCs/>
          <w:sz w:val="21"/>
          <w:szCs w:val="21"/>
        </w:rPr>
        <w:t>其他应收款</w:t>
      </w:r>
      <w:bookmarkEnd w:id="1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2,689,710.16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2,689,710.16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182" w:name="_Toc989062"/>
      <w:r>
        <w:rPr>
          <w:rFonts w:hint="eastAsia" w:ascii="宋体" w:hAnsi="宋体" w:eastAsia="宋体" w:cs="宋体"/>
          <w:b/>
          <w:bCs/>
          <w:sz w:val="21"/>
          <w:szCs w:val="21"/>
          <w:lang w:val="en-US" w:eastAsia="zh-CN"/>
        </w:rPr>
        <w:t>1.其他应收款按款项性质分类情况</w:t>
      </w:r>
      <w:bookmarkEnd w:id="1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4,224,221.99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5,456,733.00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110,465.00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1,953,495.46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689,648.80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6,288,182.45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6,166,781.80</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183" w:name="_Toc989063"/>
      <w:r>
        <w:rPr>
          <w:rFonts w:hint="eastAsia" w:ascii="宋体" w:hAnsi="宋体" w:eastAsia="宋体" w:cs="宋体"/>
          <w:b/>
          <w:bCs/>
          <w:sz w:val="21"/>
          <w:szCs w:val="21"/>
          <w:lang w:val="en-US" w:eastAsia="zh-CN"/>
        </w:rPr>
        <w:t>2.按账龄披露</w:t>
      </w:r>
      <w:bookmarkEnd w:id="183"/>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2,682,402.24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2,602,119.54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92,519.60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104,025.50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884,880.50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2,628,380.11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2,648,181.76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121,172.02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2,617,980.11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2,516,809.74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6,288,182.45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6,166,781.80</w:t>
            </w:r>
          </w:p>
        </w:tc>
      </w:tr>
    </w:tbl>
    <w:p>
      <w:pPr>
        <w:keepNext/>
        <w:keepLines/>
        <w:pageBreakBefore w:val="0"/>
        <w:widowControl w:val="0"/>
        <w:kinsoku/>
        <w:wordWrap/>
        <w:overflowPunct/>
        <w:topLinePunct w:val="0"/>
        <w:autoSpaceDE/>
        <w:autoSpaceDN/>
        <w:bidi w:val="0"/>
        <w:adjustRightInd/>
        <w:snapToGrid/>
        <w:spacing w:before="300" w:after="157" w:afterLines="50" w:line="280" w:lineRule="exact"/>
        <w:jc w:val="left"/>
        <w:textAlignment w:val="auto"/>
        <w:outlineLvl w:val="3"/>
        <w:rPr>
          <w:rFonts w:hint="eastAsia" w:ascii="宋体" w:hAnsi="宋体" w:eastAsia="宋体" w:cs="宋体"/>
          <w:b/>
          <w:bCs/>
          <w:sz w:val="21"/>
          <w:szCs w:val="21"/>
          <w:lang w:val="en-US" w:eastAsia="zh-CN"/>
        </w:rPr>
      </w:pPr>
      <w:bookmarkStart w:id="184" w:name="_Toc989064"/>
      <w:r>
        <w:rPr>
          <w:rFonts w:hint="eastAsia" w:ascii="宋体" w:hAnsi="宋体" w:eastAsia="宋体" w:cs="宋体"/>
          <w:b/>
          <w:bCs/>
          <w:sz w:val="21"/>
          <w:szCs w:val="21"/>
          <w:lang w:val="en-US" w:eastAsia="zh-CN"/>
        </w:rPr>
        <w:t>3.按坏账计提方法分类披露</w:t>
      </w:r>
      <w:bookmarkEnd w:id="18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4,269,713.74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1,580,003.58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2,689,710.16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4,148,313.09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1,556,230.13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6,288,182.45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3,598,472.29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2,689,710.16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6,166,781.80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3,574,698.84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2,592,082.96</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按单项计提坏账准备类别名称：2,018,468.71元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田海鹏</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小额难以收回的其他应收款合计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1,206,213.71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按组合计提坏账准备类别名称：1,580,003.58元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2,682,402.24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134,120.11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93,119.60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9,311.97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72,025.50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14,405.10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1,422,166.40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1,422,166.40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4,269,713.74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1,580,003.58</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p>
    <w:p>
      <w:pPr>
        <w:spacing w:before="0" w:after="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2025年1月1日余额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239,693.73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3,335,005.11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3,574,698.84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23,773.45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23,773.45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2025年6月30日余额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263,467.18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3,335,005.11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3,598,472.29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各阶段划分依据和坏账准备计提比例</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pageBreakBefore w:val="0"/>
        <w:widowControl w:val="0"/>
        <w:kinsoku/>
        <w:wordWrap/>
        <w:overflowPunct/>
        <w:topLinePunct w:val="0"/>
        <w:autoSpaceDE/>
        <w:autoSpaceDN/>
        <w:bidi w:val="0"/>
        <w:adjustRightInd/>
        <w:snapToGrid/>
        <w:spacing w:before="300" w:after="157" w:afterLines="50" w:line="280" w:lineRule="exact"/>
        <w:jc w:val="left"/>
        <w:textAlignment w:val="auto"/>
        <w:outlineLvl w:val="3"/>
        <w:rPr>
          <w:rFonts w:hint="eastAsia" w:ascii="宋体" w:hAnsi="宋体" w:eastAsia="宋体" w:cs="宋体"/>
          <w:b/>
          <w:bCs/>
          <w:sz w:val="21"/>
          <w:szCs w:val="21"/>
          <w:lang w:val="en-US" w:eastAsia="zh-CN"/>
        </w:rPr>
      </w:pPr>
      <w:bookmarkStart w:id="185" w:name="_Toc989065"/>
      <w:r>
        <w:rPr>
          <w:rFonts w:hint="eastAsia" w:ascii="宋体" w:hAnsi="宋体" w:eastAsia="宋体" w:cs="宋体"/>
          <w:b/>
          <w:bCs/>
          <w:sz w:val="21"/>
          <w:szCs w:val="21"/>
          <w:lang w:val="en-US" w:eastAsia="zh-CN"/>
        </w:rPr>
        <w:t>4.本期计提、收回或转回的坏账准备情况</w:t>
      </w:r>
      <w:bookmarkEnd w:id="185"/>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2,018,468.71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按信用风险特征组合计提坏账准备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1,556,230.13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23,773.45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1,580,003.58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3,574,698.84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23,773.45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3,598,472.29</w:t>
            </w:r>
          </w:p>
        </w:tc>
      </w:tr>
    </w:tbl>
    <w:p>
      <w:pPr>
        <w:spacing w:before="100" w:after="100" w:line="0" w:lineRule="exact"/>
        <w:jc w:val="left"/>
      </w:pPr>
    </w:p>
    <w:p>
      <w:pPr>
        <w:keepNext/>
        <w:keepLines/>
        <w:pageBreakBefore w:val="0"/>
        <w:widowControl w:val="0"/>
        <w:kinsoku/>
        <w:wordWrap/>
        <w:overflowPunct/>
        <w:topLinePunct w:val="0"/>
        <w:autoSpaceDE/>
        <w:autoSpaceDN/>
        <w:bidi w:val="0"/>
        <w:adjustRightInd/>
        <w:snapToGrid/>
        <w:spacing w:before="300" w:after="157" w:afterLines="50" w:line="280" w:lineRule="exact"/>
        <w:jc w:val="left"/>
        <w:textAlignment w:val="auto"/>
        <w:outlineLvl w:val="3"/>
        <w:rPr>
          <w:rFonts w:hint="eastAsia" w:ascii="宋体" w:hAnsi="宋体" w:eastAsia="宋体" w:cs="宋体"/>
          <w:b/>
          <w:bCs/>
          <w:sz w:val="21"/>
          <w:szCs w:val="21"/>
          <w:lang w:val="en-US" w:eastAsia="zh-CN"/>
        </w:rPr>
      </w:pPr>
      <w:bookmarkStart w:id="186" w:name="_Toc989066"/>
      <w:r>
        <w:rPr>
          <w:rFonts w:hint="eastAsia" w:ascii="宋体" w:hAnsi="宋体" w:eastAsia="宋体" w:cs="宋体"/>
          <w:b/>
          <w:bCs/>
          <w:sz w:val="21"/>
          <w:szCs w:val="21"/>
          <w:lang w:val="en-US" w:eastAsia="zh-CN"/>
        </w:rPr>
        <w:t>5.按欠款方归集的期末余额前五名的其他应收款情况</w:t>
      </w:r>
      <w:bookmarkEnd w:id="1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上海雍丰国际贸易有限公司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田海鹏</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2-3年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812,255.00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长沙怡和有色新金属有限公司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473,536.40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宝鸡市天河钛业有限公司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448,534.00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 5年以上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2,857,325.40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2,857,325.40</w:t>
            </w:r>
          </w:p>
        </w:tc>
      </w:tr>
    </w:tbl>
    <w:p>
      <w:pPr>
        <w:keepNext/>
        <w:keepLines/>
        <w:spacing w:before="300" w:after="300" w:line="280" w:lineRule="exact"/>
        <w:jc w:val="left"/>
        <w:outlineLvl w:val="2"/>
        <w:rPr>
          <w:rFonts w:ascii="宋体" w:hAnsi="宋体" w:eastAsia="宋体" w:cs="宋体"/>
          <w:b/>
          <w:bCs/>
          <w:sz w:val="21"/>
          <w:szCs w:val="21"/>
        </w:rPr>
      </w:pPr>
      <w:bookmarkStart w:id="187" w:name="_Toc989067"/>
      <w:r>
        <w:rPr>
          <w:rFonts w:hint="eastAsia" w:ascii="宋体" w:hAnsi="宋体" w:cs="宋体"/>
          <w:b/>
          <w:bCs/>
          <w:sz w:val="21"/>
          <w:szCs w:val="21"/>
          <w:lang w:eastAsia="zh-CN"/>
        </w:rPr>
        <w:t>（</w:t>
      </w:r>
      <w:r>
        <w:rPr>
          <w:rFonts w:hint="eastAsia" w:ascii="宋体" w:hAnsi="宋体" w:cs="宋体"/>
          <w:b/>
          <w:bCs/>
          <w:sz w:val="21"/>
          <w:szCs w:val="21"/>
          <w:lang w:val="en-US" w:eastAsia="zh-CN"/>
        </w:rPr>
        <w:t>七</w:t>
      </w:r>
      <w:r>
        <w:rPr>
          <w:rFonts w:hint="eastAsia" w:ascii="宋体" w:hAnsi="宋体" w:cs="宋体"/>
          <w:b/>
          <w:bCs/>
          <w:sz w:val="21"/>
          <w:szCs w:val="21"/>
          <w:lang w:eastAsia="zh-CN"/>
        </w:rPr>
        <w:t>）</w:t>
      </w:r>
      <w:r>
        <w:rPr>
          <w:rFonts w:ascii="宋体" w:hAnsi="宋体" w:eastAsia="宋体" w:cs="宋体"/>
          <w:b/>
          <w:bCs/>
          <w:sz w:val="21"/>
          <w:szCs w:val="21"/>
        </w:rPr>
        <w:t>预付款项</w:t>
      </w:r>
      <w:bookmarkEnd w:id="187"/>
    </w:p>
    <w:p>
      <w:pPr>
        <w:keepNext/>
        <w:keepLines/>
        <w:spacing w:before="300" w:after="300" w:line="280" w:lineRule="exact"/>
        <w:jc w:val="left"/>
        <w:outlineLvl w:val="3"/>
        <w:rPr>
          <w:rFonts w:ascii="宋体" w:hAnsi="宋体" w:eastAsia="宋体" w:cs="宋体"/>
          <w:b/>
          <w:bCs/>
          <w:sz w:val="21"/>
          <w:szCs w:val="21"/>
        </w:rPr>
      </w:pPr>
      <w:bookmarkStart w:id="188" w:name="_Toc989068"/>
      <w:r>
        <w:rPr>
          <w:rFonts w:hint="eastAsia" w:ascii="宋体" w:hAnsi="宋体" w:cs="宋体"/>
          <w:b/>
          <w:bCs/>
          <w:sz w:val="21"/>
          <w:szCs w:val="21"/>
          <w:lang w:val="en-US" w:eastAsia="zh-CN"/>
        </w:rPr>
        <w:t>1.</w:t>
      </w:r>
      <w:r>
        <w:rPr>
          <w:rFonts w:ascii="宋体" w:hAnsi="宋体" w:eastAsia="宋体" w:cs="宋体"/>
          <w:b/>
          <w:bCs/>
          <w:sz w:val="21"/>
          <w:szCs w:val="21"/>
        </w:rPr>
        <w:t>预付款项按账龄列示</w:t>
      </w:r>
      <w:bookmarkEnd w:id="1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12,587,179.80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11,605,277.01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318,554.66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481,409.22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89,194.14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89,758.00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12,994,928.60</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12,176,444.23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189" w:name="_Toc989069"/>
      <w:r>
        <w:rPr>
          <w:rFonts w:hint="eastAsia" w:ascii="宋体" w:hAnsi="宋体" w:cs="宋体"/>
          <w:b/>
          <w:bCs/>
          <w:sz w:val="21"/>
          <w:szCs w:val="21"/>
          <w:lang w:val="en-US" w:eastAsia="zh-CN"/>
        </w:rPr>
        <w:t>2.</w:t>
      </w:r>
      <w:r>
        <w:rPr>
          <w:rFonts w:ascii="宋体" w:hAnsi="宋体" w:eastAsia="宋体" w:cs="宋体"/>
          <w:b/>
          <w:bCs/>
          <w:sz w:val="21"/>
          <w:szCs w:val="21"/>
        </w:rPr>
        <w:t>按预付对象归集的期末余额前五名的预付款情况</w:t>
      </w:r>
      <w:bookmarkEnd w:id="189"/>
    </w:p>
    <w:tbl>
      <w:tblPr>
        <w:tblStyle w:val="5"/>
        <w:tblW w:w="9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98"/>
        <w:gridCol w:w="2408"/>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Arial Narrow" w:hAnsi="Arial Narrow" w:eastAsia="Arial Narrow" w:cs="Arial Narrow"/>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债务人名称</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账面余额 </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占预付款项合计的比例</w:t>
            </w:r>
            <w:r>
              <w:rPr>
                <w:rFonts w:hint="default" w:ascii="Arial Narrow" w:hAnsi="Arial Narrow" w:eastAsia="Arial Narrow" w:cs="Arial Narrow"/>
                <w:b/>
                <w:bCs/>
                <w:i w:val="0"/>
                <w:iCs w:val="0"/>
                <w:color w:val="000000"/>
                <w:kern w:val="0"/>
                <w:sz w:val="18"/>
                <w:szCs w:val="18"/>
                <w:u w:val="none"/>
                <w:lang w:val="en-US" w:eastAsia="zh-CN" w:bidi="ar"/>
              </w:rPr>
              <w:t>（</w:t>
            </w:r>
            <w:r>
              <w:rPr>
                <w:rFonts w:hint="eastAsia" w:ascii="宋体" w:hAnsi="宋体" w:eastAsia="宋体" w:cs="宋体"/>
                <w:b/>
                <w:bCs/>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国网湖南省电力公司长沙供电分公司</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5,845,056.47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44.98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长沙双合盛企业管理有限公司</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647,169.81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横琴小翼飞机技术有限公司</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950,000.00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爱力德欣安真空设备（苏州）有限公司</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307,539.50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肇庆同新真空设备有限公司</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270,000.00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 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1" w:hRule="atLeast"/>
        </w:trPr>
        <w:tc>
          <w:tcPr>
            <w:tcW w:w="42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Arial Narrow" w:hAnsi="Arial Narrow" w:eastAsia="Arial Narrow" w:cs="Arial Narrow"/>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18"/>
                <w:szCs w:val="18"/>
                <w:u w:val="none"/>
              </w:rPr>
            </w:pPr>
            <w:r>
              <w:rPr>
                <w:rFonts w:hint="default" w:ascii="Arial Narrow" w:hAnsi="Arial Narrow" w:eastAsia="Arial Narrow" w:cs="Arial Narrow"/>
                <w:b/>
                <w:bCs/>
                <w:i w:val="0"/>
                <w:iCs w:val="0"/>
                <w:color w:val="000000"/>
                <w:kern w:val="0"/>
                <w:sz w:val="18"/>
                <w:szCs w:val="18"/>
                <w:u w:val="none"/>
                <w:lang w:val="en-US" w:eastAsia="zh-CN" w:bidi="ar"/>
              </w:rPr>
              <w:t> 8,019,765.78 </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Arial Narrow" w:hAnsi="Arial Narrow" w:eastAsia="Arial Narrow" w:cs="Arial Narrow"/>
                <w:b/>
                <w:bCs/>
                <w:i w:val="0"/>
                <w:iCs w:val="0"/>
                <w:color w:val="000000"/>
                <w:sz w:val="18"/>
                <w:szCs w:val="18"/>
                <w:u w:val="none"/>
              </w:rPr>
            </w:pPr>
            <w:r>
              <w:rPr>
                <w:rFonts w:hint="default" w:ascii="Arial Narrow" w:hAnsi="Arial Narrow" w:eastAsia="Arial Narrow" w:cs="Arial Narrow"/>
                <w:b/>
                <w:bCs/>
                <w:i w:val="0"/>
                <w:iCs w:val="0"/>
                <w:color w:val="000000"/>
                <w:kern w:val="0"/>
                <w:sz w:val="18"/>
                <w:szCs w:val="18"/>
                <w:u w:val="none"/>
                <w:lang w:val="en-US" w:eastAsia="zh-CN" w:bidi="ar"/>
              </w:rPr>
              <w:t> 61.72 </w:t>
            </w:r>
          </w:p>
        </w:tc>
      </w:tr>
    </w:tbl>
    <w:p>
      <w:pPr>
        <w:keepNext/>
        <w:keepLines/>
        <w:spacing w:before="300" w:after="300" w:line="280" w:lineRule="exact"/>
        <w:jc w:val="left"/>
        <w:outlineLvl w:val="2"/>
        <w:rPr>
          <w:rFonts w:hint="eastAsia" w:ascii="宋体" w:hAnsi="宋体" w:cs="宋体"/>
          <w:b/>
          <w:bCs/>
          <w:sz w:val="21"/>
          <w:szCs w:val="21"/>
          <w:lang w:eastAsia="zh-CN"/>
        </w:rPr>
      </w:pPr>
      <w:bookmarkStart w:id="190" w:name="_Toc989070"/>
      <w:r>
        <w:rPr>
          <w:rFonts w:hint="eastAsia" w:ascii="宋体" w:hAnsi="宋体" w:cs="宋体"/>
          <w:b/>
          <w:bCs/>
          <w:sz w:val="21"/>
          <w:szCs w:val="21"/>
          <w:lang w:eastAsia="zh-CN"/>
        </w:rPr>
        <w:t>（</w:t>
      </w:r>
      <w:r>
        <w:rPr>
          <w:rFonts w:hint="eastAsia" w:ascii="宋体" w:hAnsi="宋体" w:cs="宋体"/>
          <w:b/>
          <w:bCs/>
          <w:sz w:val="21"/>
          <w:szCs w:val="21"/>
          <w:lang w:val="en-US" w:eastAsia="zh-CN"/>
        </w:rPr>
        <w:t>八</w:t>
      </w:r>
      <w:r>
        <w:rPr>
          <w:rFonts w:hint="eastAsia" w:ascii="宋体" w:hAnsi="宋体" w:cs="宋体"/>
          <w:b/>
          <w:bCs/>
          <w:sz w:val="21"/>
          <w:szCs w:val="21"/>
          <w:lang w:eastAsia="zh-CN"/>
        </w:rPr>
        <w:t>）存货</w:t>
      </w:r>
      <w:bookmarkEnd w:id="190"/>
    </w:p>
    <w:p>
      <w:pPr>
        <w:keepNext w:val="0"/>
        <w:keepLines w:val="0"/>
        <w:pageBreakBefore w:val="0"/>
        <w:widowControl w:val="0"/>
        <w:kinsoku/>
        <w:wordWrap/>
        <w:overflowPunct/>
        <w:topLinePunct w:val="0"/>
        <w:autoSpaceDE/>
        <w:autoSpaceDN/>
        <w:bidi w:val="0"/>
        <w:adjustRightInd/>
        <w:snapToGrid/>
        <w:spacing w:before="157" w:beforeLines="50" w:after="0" w:line="240" w:lineRule="exact"/>
        <w:jc w:val="left"/>
        <w:textAlignment w:val="auto"/>
        <w:rPr>
          <w:rFonts w:ascii="宋体" w:hAnsi="宋体" w:eastAsia="宋体" w:cs="宋体"/>
          <w:sz w:val="18"/>
          <w:szCs w:val="18"/>
        </w:rPr>
      </w:pPr>
      <w:r>
        <w:rPr>
          <w:rFonts w:ascii="宋体" w:hAnsi="宋体" w:eastAsia="宋体" w:cs="宋体"/>
          <w:sz w:val="18"/>
          <w:szCs w:val="18"/>
        </w:rPr>
        <w:t>公司是否需要遵守房地产行业的披露要求</w:t>
      </w:r>
    </w:p>
    <w:p>
      <w:pPr>
        <w:keepNext w:val="0"/>
        <w:keepLines w:val="0"/>
        <w:pageBreakBefore w:val="0"/>
        <w:widowControl w:val="0"/>
        <w:kinsoku/>
        <w:wordWrap/>
        <w:overflowPunct/>
        <w:topLinePunct w:val="0"/>
        <w:autoSpaceDE/>
        <w:autoSpaceDN/>
        <w:bidi w:val="0"/>
        <w:adjustRightInd/>
        <w:snapToGrid/>
        <w:spacing w:before="157" w:beforeLines="50" w:after="0" w:line="240" w:lineRule="exact"/>
        <w:jc w:val="left"/>
        <w:textAlignment w:val="auto"/>
        <w:rPr>
          <w:rFonts w:hint="eastAsia" w:ascii="宋体" w:hAnsi="宋体" w:eastAsia="宋体" w:cs="宋体"/>
          <w:sz w:val="18"/>
          <w:szCs w:val="18"/>
          <w:lang w:eastAsia="zh-CN"/>
        </w:rPr>
      </w:pPr>
      <w:r>
        <w:rPr>
          <w:rFonts w:ascii="宋体" w:hAnsi="宋体" w:eastAsia="宋体" w:cs="宋体"/>
          <w:sz w:val="18"/>
          <w:szCs w:val="18"/>
        </w:rPr>
        <w:t>否</w:t>
      </w:r>
      <w:r>
        <w:rPr>
          <w:rFonts w:hint="eastAsia" w:ascii="宋体" w:hAnsi="宋体" w:cs="宋体"/>
          <w:sz w:val="18"/>
          <w:szCs w:val="18"/>
          <w:lang w:eastAsia="zh-CN"/>
        </w:rPr>
        <w:t>。</w:t>
      </w:r>
    </w:p>
    <w:p>
      <w:pPr>
        <w:keepNext/>
        <w:keepLines/>
        <w:spacing w:before="300" w:after="300" w:line="280" w:lineRule="exact"/>
        <w:jc w:val="left"/>
        <w:outlineLvl w:val="3"/>
        <w:rPr>
          <w:rFonts w:ascii="宋体" w:hAnsi="宋体" w:eastAsia="宋体" w:cs="宋体"/>
          <w:b/>
          <w:bCs/>
          <w:sz w:val="21"/>
          <w:szCs w:val="21"/>
        </w:rPr>
      </w:pPr>
      <w:bookmarkStart w:id="191" w:name="_Toc989071"/>
      <w:r>
        <w:rPr>
          <w:rFonts w:hint="eastAsia" w:ascii="宋体" w:hAnsi="宋体" w:cs="宋体"/>
          <w:b/>
          <w:bCs/>
          <w:sz w:val="21"/>
          <w:szCs w:val="21"/>
          <w:lang w:val="en-US" w:eastAsia="zh-CN"/>
        </w:rPr>
        <w:t>1.</w:t>
      </w:r>
      <w:r>
        <w:rPr>
          <w:rFonts w:ascii="宋体" w:hAnsi="宋体" w:eastAsia="宋体" w:cs="宋体"/>
          <w:b/>
          <w:bCs/>
          <w:sz w:val="21"/>
          <w:szCs w:val="21"/>
        </w:rPr>
        <w:t>存货分类</w:t>
      </w:r>
      <w:bookmarkEnd w:id="1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188,018,245.27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20,118,580.70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167,899,664.57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175,930,026.85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20,118,580.70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155,811,446.15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190,650,863.22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29,815,978.84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160,834,884.38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169,964,613.23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29,815,978.84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140,148,634.39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240,073,970.55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50,945,950.96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189,128,019.59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257,642,203.62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53,425,817.15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204,216,386.47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9,382,100.02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9,382,100.02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10,460,988.77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10,460,988.77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34,417,420.55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11,900,063.57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22,517,356.98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34,796,378.20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11,900,063.57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22,896,314.63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4,189,353.71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2,165,173.04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2,024,180.67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5,365,624.81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2,165,173.04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3,200,451.77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666,731,953.32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114,945,747.11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551,786,206.21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654,159,835.48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117,425,613.30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536,734,222.18</w:t>
            </w:r>
          </w:p>
        </w:tc>
      </w:tr>
    </w:tbl>
    <w:p>
      <w:pPr>
        <w:keepNext/>
        <w:keepLines/>
        <w:spacing w:before="300" w:after="300" w:line="280" w:lineRule="exact"/>
        <w:jc w:val="left"/>
        <w:outlineLvl w:val="3"/>
        <w:rPr>
          <w:rFonts w:ascii="宋体" w:hAnsi="宋体" w:eastAsia="宋体" w:cs="宋体"/>
          <w:b/>
          <w:bCs/>
          <w:sz w:val="21"/>
          <w:szCs w:val="21"/>
        </w:rPr>
      </w:pPr>
      <w:bookmarkStart w:id="192" w:name="_Toc989072"/>
      <w:r>
        <w:rPr>
          <w:rFonts w:hint="eastAsia" w:ascii="宋体" w:hAnsi="宋体" w:cs="宋体"/>
          <w:b/>
          <w:bCs/>
          <w:sz w:val="21"/>
          <w:szCs w:val="21"/>
          <w:lang w:val="en-US" w:eastAsia="zh-CN"/>
        </w:rPr>
        <w:t>2.</w:t>
      </w:r>
      <w:r>
        <w:rPr>
          <w:rFonts w:ascii="宋体" w:hAnsi="宋体" w:eastAsia="宋体" w:cs="宋体"/>
          <w:b/>
          <w:bCs/>
          <w:sz w:val="21"/>
          <w:szCs w:val="21"/>
        </w:rPr>
        <w:t>存货跌价准备和合同履约成本减值准备</w:t>
      </w:r>
      <w:bookmarkEnd w:id="1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20,118,580.70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20,118,580.70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29,815,978.84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29,815,978.84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53,425,817.15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2,479,866.19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50,945,950.96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11,900,063.57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11,900,063.57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2,165,173.04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2,165,173.04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117,425,613.30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2,479,866.19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114,945,747.11</w:t>
            </w:r>
          </w:p>
        </w:tc>
      </w:tr>
    </w:tbl>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本公司存货资产负债表日按成本与可变现净值孰低计量，当存货成本低于可变现净值时，存货按成本计量；当存货成本高于可变现净值时，存货按可变现净值计量，同时按照成本高于可变现净值的差额计提存货跌价准备，计入当期损益。</w:t>
      </w:r>
    </w:p>
    <w:p>
      <w:pPr>
        <w:keepNext/>
        <w:keepLines/>
        <w:spacing w:before="300" w:after="300" w:line="280" w:lineRule="exact"/>
        <w:jc w:val="left"/>
        <w:outlineLvl w:val="2"/>
        <w:rPr>
          <w:rFonts w:ascii="宋体" w:hAnsi="宋体" w:eastAsia="宋体" w:cs="宋体"/>
          <w:b/>
          <w:bCs/>
          <w:sz w:val="21"/>
          <w:szCs w:val="21"/>
        </w:rPr>
      </w:pPr>
      <w:bookmarkStart w:id="193" w:name="_Toc989073"/>
      <w:r>
        <w:rPr>
          <w:rFonts w:hint="eastAsia" w:ascii="宋体" w:hAnsi="宋体" w:cs="宋体"/>
          <w:b/>
          <w:bCs/>
          <w:sz w:val="21"/>
          <w:szCs w:val="21"/>
          <w:lang w:eastAsia="zh-CN"/>
        </w:rPr>
        <w:t>（</w:t>
      </w:r>
      <w:r>
        <w:rPr>
          <w:rFonts w:hint="eastAsia" w:ascii="宋体" w:hAnsi="宋体" w:cs="宋体"/>
          <w:b/>
          <w:bCs/>
          <w:sz w:val="21"/>
          <w:szCs w:val="21"/>
          <w:lang w:val="en-US" w:eastAsia="zh-CN"/>
        </w:rPr>
        <w:t>九</w:t>
      </w:r>
      <w:r>
        <w:rPr>
          <w:rFonts w:hint="eastAsia" w:ascii="宋体" w:hAnsi="宋体" w:cs="宋体"/>
          <w:b/>
          <w:bCs/>
          <w:sz w:val="21"/>
          <w:szCs w:val="21"/>
          <w:lang w:eastAsia="zh-CN"/>
        </w:rPr>
        <w:t>）</w:t>
      </w:r>
      <w:r>
        <w:rPr>
          <w:rFonts w:ascii="宋体" w:hAnsi="宋体" w:eastAsia="宋体" w:cs="宋体"/>
          <w:b/>
          <w:bCs/>
          <w:sz w:val="21"/>
          <w:szCs w:val="21"/>
        </w:rPr>
        <w:t>一年内到期的非流动资产</w:t>
      </w:r>
      <w:bookmarkEnd w:id="193"/>
    </w:p>
    <w:p>
      <w:pPr>
        <w:keepNext/>
        <w:keepLines/>
        <w:spacing w:before="300" w:after="300" w:line="280" w:lineRule="exact"/>
        <w:jc w:val="left"/>
        <w:outlineLvl w:val="3"/>
        <w:rPr>
          <w:rFonts w:ascii="宋体" w:hAnsi="宋体" w:eastAsia="宋体" w:cs="宋体"/>
          <w:b/>
          <w:bCs/>
          <w:sz w:val="21"/>
          <w:szCs w:val="21"/>
        </w:rPr>
      </w:pPr>
      <w:bookmarkStart w:id="194" w:name="_Toc989074"/>
      <w:r>
        <w:rPr>
          <w:rFonts w:hint="eastAsia" w:ascii="宋体" w:hAnsi="宋体" w:cs="宋体"/>
          <w:b/>
          <w:bCs/>
          <w:sz w:val="21"/>
          <w:szCs w:val="21"/>
          <w:lang w:val="en-US" w:eastAsia="zh-CN"/>
        </w:rPr>
        <w:t>1.</w:t>
      </w:r>
      <w:r>
        <w:rPr>
          <w:rFonts w:ascii="宋体" w:hAnsi="宋体" w:eastAsia="宋体" w:cs="宋体"/>
          <w:b/>
          <w:bCs/>
          <w:sz w:val="21"/>
          <w:szCs w:val="21"/>
        </w:rPr>
        <w:t>一年内到期的债权投资</w:t>
      </w:r>
      <w:bookmarkEnd w:id="19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95" w:name="_Toc989075"/>
      <w:r>
        <w:rPr>
          <w:rFonts w:hint="eastAsia" w:ascii="宋体" w:hAnsi="宋体" w:cs="宋体"/>
          <w:b/>
          <w:bCs/>
          <w:sz w:val="21"/>
          <w:szCs w:val="21"/>
          <w:lang w:val="en-US" w:eastAsia="zh-CN"/>
        </w:rPr>
        <w:t>2.</w:t>
      </w:r>
      <w:r>
        <w:rPr>
          <w:rFonts w:ascii="宋体" w:hAnsi="宋体" w:eastAsia="宋体" w:cs="宋体"/>
          <w:b/>
          <w:bCs/>
          <w:sz w:val="21"/>
          <w:szCs w:val="21"/>
        </w:rPr>
        <w:t>一年内到期的其他债权投资</w:t>
      </w:r>
      <w:bookmarkEnd w:id="19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96" w:name="_Toc989076"/>
      <w:r>
        <w:rPr>
          <w:rFonts w:hint="eastAsia" w:ascii="宋体" w:hAnsi="宋体" w:cs="宋体"/>
          <w:b/>
          <w:bCs/>
          <w:sz w:val="21"/>
          <w:szCs w:val="21"/>
          <w:lang w:eastAsia="zh-CN"/>
        </w:rPr>
        <w:t>（</w:t>
      </w:r>
      <w:r>
        <w:rPr>
          <w:rFonts w:hint="eastAsia" w:ascii="宋体" w:hAnsi="宋体" w:cs="宋体"/>
          <w:b/>
          <w:bCs/>
          <w:sz w:val="21"/>
          <w:szCs w:val="21"/>
          <w:lang w:val="en-US" w:eastAsia="zh-CN"/>
        </w:rPr>
        <w:t>十</w:t>
      </w:r>
      <w:r>
        <w:rPr>
          <w:rFonts w:hint="eastAsia" w:ascii="宋体" w:hAnsi="宋体" w:cs="宋体"/>
          <w:b/>
          <w:bCs/>
          <w:sz w:val="21"/>
          <w:szCs w:val="21"/>
          <w:lang w:eastAsia="zh-CN"/>
        </w:rPr>
        <w:t>）</w:t>
      </w:r>
      <w:r>
        <w:rPr>
          <w:rFonts w:ascii="宋体" w:hAnsi="宋体" w:eastAsia="宋体" w:cs="宋体"/>
          <w:b/>
          <w:bCs/>
          <w:sz w:val="21"/>
          <w:szCs w:val="21"/>
        </w:rPr>
        <w:t>其他流动资产</w:t>
      </w:r>
      <w:bookmarkEnd w:id="1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544,481.27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4,738,881.15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预缴企业所得税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651,104.19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721,444.31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待认证进项税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2,113.90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预提通知存款利息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2,030,404.03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1,308,810.55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3,228,103.39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6,769,136.01</w:t>
            </w:r>
          </w:p>
        </w:tc>
      </w:tr>
    </w:tbl>
    <w:p>
      <w:pPr>
        <w:keepNext/>
        <w:keepLines/>
        <w:spacing w:before="300" w:after="300" w:line="280" w:lineRule="exact"/>
        <w:jc w:val="left"/>
        <w:outlineLvl w:val="2"/>
        <w:rPr>
          <w:rFonts w:ascii="宋体" w:hAnsi="宋体" w:eastAsia="宋体" w:cs="宋体"/>
          <w:b/>
          <w:bCs/>
          <w:sz w:val="21"/>
          <w:szCs w:val="21"/>
        </w:rPr>
      </w:pPr>
      <w:bookmarkStart w:id="197" w:name="_Toc989077"/>
      <w:r>
        <w:rPr>
          <w:rFonts w:hint="eastAsia" w:ascii="宋体" w:hAnsi="宋体" w:cs="宋体"/>
          <w:b/>
          <w:bCs/>
          <w:sz w:val="21"/>
          <w:szCs w:val="21"/>
          <w:lang w:eastAsia="zh-CN"/>
        </w:rPr>
        <w:t>（</w:t>
      </w:r>
      <w:r>
        <w:rPr>
          <w:rFonts w:hint="eastAsia" w:ascii="宋体" w:hAnsi="宋体" w:cs="宋体"/>
          <w:b/>
          <w:bCs/>
          <w:sz w:val="21"/>
          <w:szCs w:val="21"/>
          <w:lang w:val="en-US" w:eastAsia="zh-CN"/>
        </w:rPr>
        <w:t>十一</w:t>
      </w:r>
      <w:r>
        <w:rPr>
          <w:rFonts w:hint="eastAsia" w:ascii="宋体" w:hAnsi="宋体" w:cs="宋体"/>
          <w:b/>
          <w:bCs/>
          <w:sz w:val="21"/>
          <w:szCs w:val="21"/>
          <w:lang w:eastAsia="zh-CN"/>
        </w:rPr>
        <w:t>）</w:t>
      </w:r>
      <w:r>
        <w:rPr>
          <w:rFonts w:ascii="宋体" w:hAnsi="宋体" w:eastAsia="宋体" w:cs="宋体"/>
          <w:b/>
          <w:bCs/>
          <w:sz w:val="21"/>
          <w:szCs w:val="21"/>
        </w:rPr>
        <w:t>其他权益工具投资</w:t>
      </w:r>
      <w:bookmarkEnd w:id="1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82"/>
        <w:gridCol w:w="1109"/>
        <w:gridCol w:w="1016"/>
        <w:gridCol w:w="1000"/>
        <w:gridCol w:w="1042"/>
        <w:gridCol w:w="992"/>
        <w:gridCol w:w="833"/>
        <w:gridCol w:w="994"/>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1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本期计入其他综合收益的利得</w:t>
            </w:r>
          </w:p>
        </w:tc>
        <w:tc>
          <w:tcPr>
            <w:tcW w:w="1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本期计入其他综合收益的损失</w:t>
            </w:r>
          </w:p>
        </w:tc>
        <w:tc>
          <w:tcPr>
            <w:tcW w:w="10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本期末累计计入其他综合收益的利得</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本期末累计计入其他综合收益的损失</w:t>
            </w:r>
          </w:p>
        </w:tc>
        <w:tc>
          <w:tcPr>
            <w:tcW w:w="83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本期确认的股利收入</w:t>
            </w:r>
          </w:p>
        </w:tc>
        <w:tc>
          <w:tcPr>
            <w:tcW w:w="9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51,350,000.00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7,989,090.91</w:t>
            </w:r>
          </w:p>
        </w:tc>
        <w:tc>
          <w:tcPr>
            <w:tcW w:w="9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51,350,000.00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2,971,401.05</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28,598.95</w:t>
            </w:r>
          </w:p>
        </w:tc>
        <w:tc>
          <w:tcPr>
            <w:tcW w:w="8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2,971,401.05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34,790,000.00</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4,790,000.00</w:t>
            </w:r>
          </w:p>
        </w:tc>
        <w:tc>
          <w:tcPr>
            <w:tcW w:w="9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34,790,000.00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8,532,755.92</w:t>
            </w:r>
          </w:p>
        </w:tc>
        <w:tc>
          <w:tcPr>
            <w:tcW w:w="8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1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12,779,090.91</w:t>
            </w:r>
          </w:p>
        </w:tc>
        <w:tc>
          <w:tcPr>
            <w:tcW w:w="99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8,561,354.87</w:t>
            </w:r>
          </w:p>
        </w:tc>
        <w:tc>
          <w:tcPr>
            <w:tcW w:w="83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9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41"/>
        <w:gridCol w:w="1016"/>
        <w:gridCol w:w="1367"/>
        <w:gridCol w:w="1425"/>
        <w:gridCol w:w="1136"/>
        <w:gridCol w:w="1547"/>
        <w:gridCol w:w="12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01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4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1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5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2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湖南沃尔博精密工具有限公司（曾用名：上海钨夫投资管理有限公司）</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7,989,090.91</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2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深圳富联智能制造产业创新中心有限公司</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28,598.95</w:t>
            </w:r>
          </w:p>
        </w:tc>
        <w:tc>
          <w:tcPr>
            <w:tcW w:w="11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2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4,790,000.00</w:t>
            </w: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2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01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6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42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8,532,755.92</w:t>
            </w:r>
          </w:p>
        </w:tc>
        <w:tc>
          <w:tcPr>
            <w:tcW w:w="11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公司战略投资</w:t>
            </w:r>
          </w:p>
        </w:tc>
        <w:tc>
          <w:tcPr>
            <w:tcW w:w="12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198" w:name="_Toc989078"/>
      <w:r>
        <w:rPr>
          <w:rFonts w:hint="eastAsia" w:ascii="宋体" w:hAnsi="宋体" w:cs="宋体"/>
          <w:b/>
          <w:bCs/>
          <w:sz w:val="21"/>
          <w:szCs w:val="21"/>
          <w:lang w:eastAsia="zh-CN"/>
        </w:rPr>
        <w:t>（</w:t>
      </w:r>
      <w:r>
        <w:rPr>
          <w:rFonts w:hint="eastAsia" w:ascii="宋体" w:hAnsi="宋体" w:cs="宋体"/>
          <w:b/>
          <w:bCs/>
          <w:sz w:val="21"/>
          <w:szCs w:val="21"/>
          <w:lang w:val="en-US" w:eastAsia="zh-CN"/>
        </w:rPr>
        <w:t>十二</w:t>
      </w:r>
      <w:r>
        <w:rPr>
          <w:rFonts w:hint="eastAsia" w:ascii="宋体" w:hAnsi="宋体" w:cs="宋体"/>
          <w:b/>
          <w:bCs/>
          <w:sz w:val="21"/>
          <w:szCs w:val="21"/>
          <w:lang w:eastAsia="zh-CN"/>
        </w:rPr>
        <w:t>）</w:t>
      </w:r>
      <w:r>
        <w:rPr>
          <w:rFonts w:ascii="宋体" w:hAnsi="宋体" w:eastAsia="宋体" w:cs="宋体"/>
          <w:b/>
          <w:bCs/>
          <w:sz w:val="21"/>
          <w:szCs w:val="21"/>
        </w:rPr>
        <w:t>长期股权投资</w:t>
      </w:r>
      <w:bookmarkEnd w:id="1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99" w:name="_Toc989079"/>
      <w:r>
        <w:rPr>
          <w:rFonts w:hint="eastAsia" w:ascii="宋体" w:hAnsi="宋体" w:cs="宋体"/>
          <w:b/>
          <w:bCs/>
          <w:sz w:val="21"/>
          <w:szCs w:val="21"/>
          <w:lang w:eastAsia="zh-CN"/>
        </w:rPr>
        <w:t>（</w:t>
      </w:r>
      <w:r>
        <w:rPr>
          <w:rFonts w:hint="eastAsia" w:ascii="宋体" w:hAnsi="宋体" w:cs="宋体"/>
          <w:b/>
          <w:bCs/>
          <w:sz w:val="21"/>
          <w:szCs w:val="21"/>
          <w:lang w:val="en-US" w:eastAsia="zh-CN"/>
        </w:rPr>
        <w:t>十三</w:t>
      </w:r>
      <w:r>
        <w:rPr>
          <w:rFonts w:hint="eastAsia" w:ascii="宋体" w:hAnsi="宋体" w:cs="宋体"/>
          <w:b/>
          <w:bCs/>
          <w:sz w:val="21"/>
          <w:szCs w:val="21"/>
          <w:lang w:eastAsia="zh-CN"/>
        </w:rPr>
        <w:t>）</w:t>
      </w:r>
      <w:r>
        <w:rPr>
          <w:rFonts w:ascii="宋体" w:hAnsi="宋体" w:eastAsia="宋体" w:cs="宋体"/>
          <w:b/>
          <w:bCs/>
          <w:sz w:val="21"/>
          <w:szCs w:val="21"/>
        </w:rPr>
        <w:t>固定资产</w:t>
      </w:r>
      <w:bookmarkEnd w:id="1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910,643,708.48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910,643,708.48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r>
    </w:tbl>
    <w:p>
      <w:pPr>
        <w:keepNext/>
        <w:keepLines/>
        <w:spacing w:before="300" w:after="300" w:line="280" w:lineRule="exact"/>
        <w:jc w:val="left"/>
        <w:outlineLvl w:val="3"/>
        <w:rPr>
          <w:rFonts w:ascii="宋体" w:hAnsi="宋体" w:eastAsia="宋体" w:cs="宋体"/>
          <w:b/>
          <w:bCs/>
          <w:sz w:val="21"/>
          <w:szCs w:val="21"/>
        </w:rPr>
      </w:pPr>
      <w:bookmarkStart w:id="200" w:name="_Toc989080"/>
      <w:r>
        <w:rPr>
          <w:rFonts w:hint="eastAsia" w:ascii="宋体" w:hAnsi="宋体" w:cs="宋体"/>
          <w:b/>
          <w:bCs/>
          <w:sz w:val="21"/>
          <w:szCs w:val="21"/>
          <w:lang w:val="en-US" w:eastAsia="zh-CN"/>
        </w:rPr>
        <w:t>1.</w:t>
      </w:r>
      <w:r>
        <w:rPr>
          <w:rFonts w:ascii="宋体" w:hAnsi="宋体" w:eastAsia="宋体" w:cs="宋体"/>
          <w:b/>
          <w:bCs/>
          <w:sz w:val="21"/>
          <w:szCs w:val="21"/>
        </w:rPr>
        <w:t>固定资产情况</w:t>
      </w:r>
      <w:bookmarkEnd w:id="2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721,874,427.46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602,993,953.97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3,569,086.36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40,988,201.80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1,369,425,669.59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968,374.14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19,652,930.75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823,864.62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21,445,169.51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968,374.14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1,120,575.41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549,787.14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2,638,736.69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18,532,355.34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274,077.48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18,806,432.82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1,058,543.70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192,713.68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1,251,257.38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1,058,543.70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192,713.68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1,251,257.38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722,842,801.60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621,588,341.02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3,569,086.36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41,619,352.74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1,389,619,581.72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128,342,927.04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284,245,262.89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2,638,197.08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30,789,179.86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446,015,566.87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9,554,764.71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22,068,955.57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81,466.65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1,561,354.66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33,266,541.59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9,554,764.71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22,068,955.57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81,466.65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1,561,354.66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33,266,541.59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1,005,616.52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183,077.95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1,188,694.47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1,005,616.52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183,077.95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1,188,694.47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137,897,691.75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305,308,601.94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2,719,663.73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32,167,456.57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478,093,413.99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803,428.11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77,082.83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882,459.25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584,141,681.74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316,202,656.25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848,343.65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9,451,026.84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910,643,708.48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592,728,072.31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318,671,608.25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929,810.30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10,198,152.61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922,527,643.47</w:t>
            </w:r>
          </w:p>
        </w:tc>
      </w:tr>
    </w:tbl>
    <w:p>
      <w:pPr>
        <w:keepNext/>
        <w:keepLines/>
        <w:spacing w:before="300" w:after="300" w:line="280" w:lineRule="exact"/>
        <w:jc w:val="left"/>
        <w:outlineLvl w:val="3"/>
        <w:rPr>
          <w:rFonts w:hint="eastAsia" w:ascii="宋体" w:hAnsi="宋体" w:eastAsia="宋体" w:cs="宋体"/>
          <w:sz w:val="21"/>
          <w:szCs w:val="21"/>
        </w:rPr>
      </w:pPr>
      <w:bookmarkStart w:id="201" w:name="_Toc989081"/>
      <w:r>
        <w:rPr>
          <w:rFonts w:hint="eastAsia" w:ascii="宋体" w:hAnsi="宋体" w:cs="宋体"/>
          <w:b/>
          <w:bCs/>
          <w:sz w:val="21"/>
          <w:szCs w:val="21"/>
          <w:lang w:val="en-US" w:eastAsia="zh-CN"/>
        </w:rPr>
        <w:t>2.</w:t>
      </w:r>
      <w:r>
        <w:rPr>
          <w:rFonts w:ascii="宋体" w:hAnsi="宋体" w:eastAsia="宋体" w:cs="宋体"/>
          <w:b/>
          <w:bCs/>
          <w:sz w:val="21"/>
          <w:szCs w:val="21"/>
        </w:rPr>
        <w:t>未办妥产权证书的固定资产情况</w:t>
      </w:r>
      <w:bookmarkEnd w:id="201"/>
      <w:bookmarkStart w:id="202" w:name="_Toc989083"/>
    </w:p>
    <w:p>
      <w:pPr>
        <w:pStyle w:val="4"/>
        <w:keepNext w:val="0"/>
        <w:keepLines w:val="0"/>
        <w:widowControl/>
        <w:suppressLineNumbers w:val="0"/>
        <w:spacing w:before="0" w:beforeAutospacing="0" w:after="0" w:afterAutospacing="0"/>
        <w:ind w:left="0" w:right="0"/>
        <w:jc w:val="both"/>
        <w:rPr>
          <w:rFonts w:hint="eastAsia" w:ascii="宋体" w:hAnsi="宋体" w:cs="宋体"/>
          <w:b/>
          <w:bCs/>
          <w:sz w:val="18"/>
          <w:szCs w:val="18"/>
          <w:lang w:eastAsia="zh-CN"/>
        </w:rPr>
      </w:pPr>
      <w:r>
        <w:rPr>
          <w:rFonts w:hint="eastAsia" w:ascii="宋体" w:hAnsi="宋体" w:eastAsia="宋体" w:cs="宋体"/>
          <w:sz w:val="18"/>
          <w:szCs w:val="18"/>
        </w:rPr>
        <w:t>期末无未办妥产权证书的固定资产</w:t>
      </w:r>
    </w:p>
    <w:p>
      <w:pPr>
        <w:keepNext/>
        <w:keepLines/>
        <w:spacing w:before="300" w:after="300" w:line="280" w:lineRule="exact"/>
        <w:jc w:val="left"/>
        <w:outlineLvl w:val="2"/>
        <w:rPr>
          <w:rFonts w:ascii="宋体" w:hAnsi="宋体" w:eastAsia="宋体" w:cs="宋体"/>
          <w:b/>
          <w:bCs/>
          <w:sz w:val="21"/>
          <w:szCs w:val="21"/>
        </w:rPr>
      </w:pPr>
      <w:r>
        <w:rPr>
          <w:rFonts w:hint="eastAsia" w:ascii="宋体" w:hAnsi="宋体" w:cs="宋体"/>
          <w:b/>
          <w:bCs/>
          <w:sz w:val="21"/>
          <w:szCs w:val="21"/>
          <w:lang w:eastAsia="zh-CN"/>
        </w:rPr>
        <w:t>（</w:t>
      </w:r>
      <w:r>
        <w:rPr>
          <w:rFonts w:hint="eastAsia" w:ascii="宋体" w:hAnsi="宋体" w:cs="宋体"/>
          <w:b/>
          <w:bCs/>
          <w:sz w:val="21"/>
          <w:szCs w:val="21"/>
          <w:lang w:val="en-US" w:eastAsia="zh-CN"/>
        </w:rPr>
        <w:t>十四</w:t>
      </w:r>
      <w:r>
        <w:rPr>
          <w:rFonts w:hint="eastAsia" w:ascii="宋体" w:hAnsi="宋体" w:cs="宋体"/>
          <w:b/>
          <w:bCs/>
          <w:sz w:val="21"/>
          <w:szCs w:val="21"/>
          <w:lang w:eastAsia="zh-CN"/>
        </w:rPr>
        <w:t>）</w:t>
      </w:r>
      <w:r>
        <w:rPr>
          <w:rFonts w:ascii="宋体" w:hAnsi="宋体" w:eastAsia="宋体" w:cs="宋体"/>
          <w:b/>
          <w:bCs/>
          <w:sz w:val="21"/>
          <w:szCs w:val="21"/>
        </w:rPr>
        <w:t>在建工程</w:t>
      </w:r>
      <w:bookmarkEnd w:id="20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4,886,135.21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4,886,135.21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r>
    </w:tbl>
    <w:p>
      <w:pPr>
        <w:keepNext/>
        <w:keepLines/>
        <w:spacing w:before="300" w:after="300" w:line="280" w:lineRule="exact"/>
        <w:jc w:val="left"/>
        <w:outlineLvl w:val="3"/>
        <w:rPr>
          <w:rFonts w:ascii="宋体" w:hAnsi="宋体" w:eastAsia="宋体" w:cs="宋体"/>
          <w:b/>
          <w:bCs/>
          <w:sz w:val="21"/>
          <w:szCs w:val="21"/>
        </w:rPr>
      </w:pPr>
      <w:bookmarkStart w:id="203" w:name="_Toc989084"/>
      <w:r>
        <w:rPr>
          <w:rFonts w:hint="eastAsia" w:ascii="宋体" w:hAnsi="宋体" w:cs="宋体"/>
          <w:b/>
          <w:bCs/>
          <w:sz w:val="21"/>
          <w:szCs w:val="21"/>
          <w:lang w:val="en-US" w:eastAsia="zh-CN"/>
        </w:rPr>
        <w:t>1.</w:t>
      </w:r>
      <w:r>
        <w:rPr>
          <w:rFonts w:ascii="宋体" w:hAnsi="宋体" w:eastAsia="宋体" w:cs="宋体"/>
          <w:b/>
          <w:bCs/>
          <w:sz w:val="21"/>
          <w:szCs w:val="21"/>
        </w:rPr>
        <w:t>在建工程情况</w:t>
      </w:r>
      <w:bookmarkEnd w:id="20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2,330,984.81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2,330,984.81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14,277,284.53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14,277,284.53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厂房车间改造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2,555,150.40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2,555,150.40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2,034,133.18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2,034,133.18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4,886,135.21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4,886,135.21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r>
    </w:tbl>
    <w:p>
      <w:pPr>
        <w:keepNext/>
        <w:keepLines/>
        <w:spacing w:before="300" w:after="300" w:line="280" w:lineRule="exact"/>
        <w:jc w:val="left"/>
        <w:outlineLvl w:val="3"/>
        <w:rPr>
          <w:rFonts w:ascii="宋体" w:hAnsi="宋体" w:eastAsia="宋体" w:cs="宋体"/>
          <w:b/>
          <w:bCs/>
          <w:sz w:val="21"/>
          <w:szCs w:val="21"/>
        </w:rPr>
      </w:pPr>
      <w:bookmarkStart w:id="204" w:name="_Toc989085"/>
      <w:r>
        <w:rPr>
          <w:rFonts w:hint="eastAsia" w:ascii="宋体" w:hAnsi="宋体" w:cs="宋体"/>
          <w:b/>
          <w:bCs/>
          <w:sz w:val="21"/>
          <w:szCs w:val="21"/>
          <w:lang w:val="en-US" w:eastAsia="zh-CN"/>
        </w:rPr>
        <w:t>2.</w:t>
      </w:r>
      <w:r>
        <w:rPr>
          <w:rFonts w:ascii="宋体" w:hAnsi="宋体" w:eastAsia="宋体" w:cs="宋体"/>
          <w:b/>
          <w:bCs/>
          <w:sz w:val="21"/>
          <w:szCs w:val="21"/>
        </w:rPr>
        <w:t>重要在建工程项目本期变动情况</w:t>
      </w:r>
      <w:bookmarkEnd w:id="20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在安装设备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14,277,284.53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12,222,964.94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18,806,432.82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5,362,831.84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2,330,984.81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厂房车间改造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2,034,133.18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521,017.22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2,555,150.40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11.88%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16,311,417.71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12,743,982.16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18,806,432.82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5,362,831.84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4,886,135.21</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205" w:name="_Toc989086"/>
      <w:r>
        <w:rPr>
          <w:rFonts w:hint="eastAsia" w:ascii="宋体" w:hAnsi="宋体" w:cs="宋体"/>
          <w:b/>
          <w:bCs/>
          <w:sz w:val="21"/>
          <w:szCs w:val="21"/>
          <w:lang w:val="en-US" w:eastAsia="zh-CN"/>
        </w:rPr>
        <w:t>3.</w:t>
      </w:r>
      <w:r>
        <w:rPr>
          <w:rFonts w:ascii="宋体" w:hAnsi="宋体" w:eastAsia="宋体" w:cs="宋体"/>
          <w:b/>
          <w:bCs/>
          <w:sz w:val="21"/>
          <w:szCs w:val="21"/>
        </w:rPr>
        <w:t>本期计提在建工程减值准备情况</w:t>
      </w:r>
      <w:bookmarkEnd w:id="2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pPr>
        <w:keepNext/>
        <w:keepLines/>
        <w:spacing w:before="300" w:after="300" w:line="280" w:lineRule="exact"/>
        <w:jc w:val="left"/>
        <w:outlineLvl w:val="3"/>
        <w:rPr>
          <w:rFonts w:ascii="宋体" w:hAnsi="宋体" w:eastAsia="宋体" w:cs="宋体"/>
          <w:b/>
          <w:bCs/>
          <w:sz w:val="21"/>
          <w:szCs w:val="21"/>
        </w:rPr>
      </w:pPr>
      <w:r>
        <w:rPr>
          <w:rFonts w:hint="eastAsia" w:ascii="宋体" w:hAnsi="宋体" w:cs="宋体"/>
          <w:b/>
          <w:bCs/>
          <w:sz w:val="21"/>
          <w:szCs w:val="21"/>
          <w:lang w:val="en-US" w:eastAsia="zh-CN"/>
        </w:rPr>
        <w:t>4.</w:t>
      </w:r>
      <w:r>
        <w:rPr>
          <w:rFonts w:ascii="宋体" w:hAnsi="宋体" w:eastAsia="宋体" w:cs="宋体"/>
          <w:b/>
          <w:bCs/>
          <w:sz w:val="21"/>
          <w:szCs w:val="21"/>
        </w:rPr>
        <w:t>在建工程的减值测试情况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r>
        <w:rPr>
          <w:rFonts w:hint="eastAsia" w:ascii="宋体" w:hAnsi="宋体" w:cs="宋体"/>
          <w:b/>
          <w:bCs/>
          <w:sz w:val="21"/>
          <w:szCs w:val="21"/>
          <w:lang w:eastAsia="zh-CN"/>
        </w:rPr>
        <w:t>（</w:t>
      </w:r>
      <w:r>
        <w:rPr>
          <w:rFonts w:hint="eastAsia" w:ascii="宋体" w:hAnsi="宋体" w:cs="宋体"/>
          <w:b/>
          <w:bCs/>
          <w:sz w:val="21"/>
          <w:szCs w:val="21"/>
          <w:lang w:val="en-US" w:eastAsia="zh-CN"/>
        </w:rPr>
        <w:t>十五</w:t>
      </w:r>
      <w:r>
        <w:rPr>
          <w:rFonts w:hint="eastAsia" w:ascii="宋体" w:hAnsi="宋体" w:cs="宋体"/>
          <w:b/>
          <w:bCs/>
          <w:sz w:val="21"/>
          <w:szCs w:val="21"/>
          <w:lang w:eastAsia="zh-CN"/>
        </w:rPr>
        <w:t>）</w:t>
      </w:r>
      <w:r>
        <w:rPr>
          <w:rFonts w:ascii="宋体" w:hAnsi="宋体" w:eastAsia="宋体" w:cs="宋体"/>
          <w:b/>
          <w:bCs/>
          <w:sz w:val="21"/>
          <w:szCs w:val="21"/>
        </w:rPr>
        <w:t>无形资产</w:t>
      </w:r>
    </w:p>
    <w:p>
      <w:pPr>
        <w:keepNext/>
        <w:keepLines/>
        <w:spacing w:before="300" w:after="300" w:line="280" w:lineRule="exact"/>
        <w:jc w:val="left"/>
        <w:outlineLvl w:val="3"/>
        <w:rPr>
          <w:rFonts w:ascii="宋体" w:hAnsi="宋体" w:eastAsia="宋体" w:cs="宋体"/>
          <w:b/>
          <w:bCs/>
          <w:sz w:val="21"/>
          <w:szCs w:val="21"/>
        </w:rPr>
      </w:pPr>
      <w:bookmarkStart w:id="206" w:name="_Toc989089"/>
      <w:r>
        <w:rPr>
          <w:rFonts w:hint="eastAsia" w:ascii="宋体" w:hAnsi="宋体" w:cs="宋体"/>
          <w:b/>
          <w:bCs/>
          <w:sz w:val="21"/>
          <w:szCs w:val="21"/>
          <w:lang w:val="en-US" w:eastAsia="zh-CN"/>
        </w:rPr>
        <w:t>1.</w:t>
      </w:r>
      <w:r>
        <w:rPr>
          <w:rFonts w:ascii="宋体" w:hAnsi="宋体" w:eastAsia="宋体" w:cs="宋体"/>
          <w:b/>
          <w:bCs/>
          <w:sz w:val="21"/>
          <w:szCs w:val="21"/>
        </w:rPr>
        <w:t>无形资产情况</w:t>
      </w:r>
      <w:bookmarkEnd w:id="2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软件</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专有技术</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18,779,769.47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246,745,706.89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466,437,072.15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5,523,238.91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644,751.97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6,167,990.88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5,523,238.91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5,523,238.91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644,751.97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644,751.97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200,911,595.79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24,303,008.38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247,390,458.86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472,605,063.03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35,314,405.05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7,022,680.51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166,021,335.35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208,358,420.91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2,022,551.06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1,168,170.35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8,027,934.95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11,218,656.36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2,022,551.06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1,168,170.35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8,027,934.95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11,218,656.36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37,336,956.11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8,190,850.86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174,049,270.30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219,577,077.27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2,107,008.31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2,607,692.23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500,683.92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2,107,008.31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2,607,692.23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163,073,955.76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16,112,157.52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71,234,180.25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250,420,293.53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165,096,506.82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11,757,088.96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78,617,363.23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255,470,959.01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本期末通过公司内部研发形成的无形资产占无形资产余额的比例28.45%</w:t>
      </w:r>
    </w:p>
    <w:p>
      <w:pPr>
        <w:keepNext/>
        <w:keepLines/>
        <w:spacing w:before="300" w:after="300" w:line="280" w:lineRule="exact"/>
        <w:jc w:val="left"/>
        <w:outlineLvl w:val="3"/>
        <w:rPr>
          <w:rFonts w:ascii="宋体" w:hAnsi="宋体" w:eastAsia="宋体" w:cs="宋体"/>
          <w:b/>
          <w:bCs/>
          <w:sz w:val="21"/>
          <w:szCs w:val="21"/>
        </w:rPr>
      </w:pPr>
      <w:bookmarkStart w:id="207" w:name="_Toc989090"/>
      <w:r>
        <w:rPr>
          <w:rFonts w:hint="eastAsia" w:ascii="宋体" w:hAnsi="宋体" w:cs="宋体"/>
          <w:b/>
          <w:bCs/>
          <w:sz w:val="21"/>
          <w:szCs w:val="21"/>
          <w:lang w:val="en-US" w:eastAsia="zh-CN"/>
        </w:rPr>
        <w:t>2.</w:t>
      </w:r>
      <w:r>
        <w:rPr>
          <w:rFonts w:ascii="宋体" w:hAnsi="宋体" w:eastAsia="宋体" w:cs="宋体"/>
          <w:b/>
          <w:bCs/>
          <w:sz w:val="21"/>
          <w:szCs w:val="21"/>
        </w:rPr>
        <w:t>无形资产的减值测试情况</w:t>
      </w:r>
      <w:bookmarkEnd w:id="20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08" w:name="_Toc989091"/>
      <w:r>
        <w:rPr>
          <w:rFonts w:hint="eastAsia" w:ascii="宋体" w:hAnsi="宋体" w:cs="宋体"/>
          <w:b/>
          <w:bCs/>
          <w:sz w:val="21"/>
          <w:szCs w:val="21"/>
          <w:lang w:eastAsia="zh-CN"/>
        </w:rPr>
        <w:t>（</w:t>
      </w:r>
      <w:r>
        <w:rPr>
          <w:rFonts w:hint="eastAsia" w:ascii="宋体" w:hAnsi="宋体" w:cs="宋体"/>
          <w:b/>
          <w:bCs/>
          <w:sz w:val="21"/>
          <w:szCs w:val="21"/>
          <w:lang w:val="en-US" w:eastAsia="zh-CN"/>
        </w:rPr>
        <w:t>十六</w:t>
      </w:r>
      <w:r>
        <w:rPr>
          <w:rFonts w:hint="eastAsia" w:ascii="宋体" w:hAnsi="宋体" w:cs="宋体"/>
          <w:b/>
          <w:bCs/>
          <w:sz w:val="21"/>
          <w:szCs w:val="21"/>
          <w:lang w:eastAsia="zh-CN"/>
        </w:rPr>
        <w:t>）</w:t>
      </w:r>
      <w:r>
        <w:rPr>
          <w:rFonts w:ascii="宋体" w:hAnsi="宋体" w:eastAsia="宋体" w:cs="宋体"/>
          <w:b/>
          <w:bCs/>
          <w:sz w:val="21"/>
          <w:szCs w:val="21"/>
        </w:rPr>
        <w:t>商誉</w:t>
      </w:r>
      <w:bookmarkEnd w:id="208"/>
    </w:p>
    <w:p>
      <w:pPr>
        <w:keepNext/>
        <w:keepLines/>
        <w:spacing w:before="300" w:after="300" w:line="280" w:lineRule="exact"/>
        <w:jc w:val="left"/>
        <w:outlineLvl w:val="3"/>
        <w:rPr>
          <w:rFonts w:ascii="宋体" w:hAnsi="宋体" w:eastAsia="宋体" w:cs="宋体"/>
          <w:b/>
          <w:bCs/>
          <w:sz w:val="21"/>
          <w:szCs w:val="21"/>
        </w:rPr>
      </w:pPr>
      <w:bookmarkStart w:id="209" w:name="_Toc989092"/>
      <w:r>
        <w:rPr>
          <w:rFonts w:hint="eastAsia" w:ascii="宋体" w:hAnsi="宋体" w:cs="宋体"/>
          <w:b/>
          <w:bCs/>
          <w:sz w:val="21"/>
          <w:szCs w:val="21"/>
          <w:lang w:val="en-US" w:eastAsia="zh-CN"/>
        </w:rPr>
        <w:t>1.</w:t>
      </w:r>
      <w:r>
        <w:rPr>
          <w:rFonts w:ascii="宋体" w:hAnsi="宋体" w:eastAsia="宋体" w:cs="宋体"/>
          <w:b/>
          <w:bCs/>
          <w:sz w:val="21"/>
          <w:szCs w:val="21"/>
        </w:rPr>
        <w:t>商誉账面原值</w:t>
      </w:r>
      <w:bookmarkEnd w:id="2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6"/>
        <w:gridCol w:w="1566"/>
        <w:gridCol w:w="1234"/>
        <w:gridCol w:w="1142"/>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56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37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56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5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2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5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5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23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bl>
    <w:p>
      <w:pPr>
        <w:keepNext/>
        <w:keepLines/>
        <w:spacing w:before="300" w:after="300" w:line="280" w:lineRule="exact"/>
        <w:jc w:val="left"/>
        <w:outlineLvl w:val="3"/>
        <w:rPr>
          <w:rFonts w:ascii="宋体" w:hAnsi="宋体" w:eastAsia="宋体" w:cs="宋体"/>
          <w:b/>
          <w:bCs/>
          <w:sz w:val="21"/>
          <w:szCs w:val="21"/>
        </w:rPr>
      </w:pPr>
      <w:bookmarkStart w:id="210" w:name="_Toc989093"/>
      <w:r>
        <w:rPr>
          <w:rFonts w:hint="eastAsia" w:ascii="宋体" w:hAnsi="宋体" w:cs="宋体"/>
          <w:b/>
          <w:bCs/>
          <w:sz w:val="21"/>
          <w:szCs w:val="21"/>
          <w:lang w:val="en-US" w:eastAsia="zh-CN"/>
        </w:rPr>
        <w:t>2.</w:t>
      </w:r>
      <w:r>
        <w:rPr>
          <w:rFonts w:ascii="宋体" w:hAnsi="宋体" w:eastAsia="宋体" w:cs="宋体"/>
          <w:b/>
          <w:bCs/>
          <w:sz w:val="21"/>
          <w:szCs w:val="21"/>
        </w:rPr>
        <w:t>商誉减值准备</w:t>
      </w:r>
      <w:bookmarkEnd w:id="2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109,750,317.92</w:t>
            </w:r>
          </w:p>
        </w:tc>
      </w:tr>
    </w:tbl>
    <w:p>
      <w:pPr>
        <w:keepNext/>
        <w:keepLines/>
        <w:spacing w:before="300" w:after="300" w:line="280" w:lineRule="exact"/>
        <w:jc w:val="left"/>
        <w:outlineLvl w:val="3"/>
        <w:rPr>
          <w:rFonts w:ascii="宋体" w:hAnsi="宋体" w:eastAsia="宋体" w:cs="宋体"/>
          <w:b/>
          <w:bCs/>
          <w:sz w:val="21"/>
          <w:szCs w:val="21"/>
        </w:rPr>
      </w:pPr>
      <w:bookmarkStart w:id="211" w:name="_Toc989094"/>
      <w:r>
        <w:rPr>
          <w:rFonts w:hint="eastAsia" w:ascii="宋体" w:hAnsi="宋体" w:cs="宋体"/>
          <w:b/>
          <w:bCs/>
          <w:sz w:val="21"/>
          <w:szCs w:val="21"/>
          <w:lang w:val="en-US" w:eastAsia="zh-CN"/>
        </w:rPr>
        <w:t>3.</w:t>
      </w:r>
      <w:r>
        <w:rPr>
          <w:rFonts w:ascii="宋体" w:hAnsi="宋体" w:eastAsia="宋体" w:cs="宋体"/>
          <w:b/>
          <w:bCs/>
          <w:sz w:val="21"/>
          <w:szCs w:val="21"/>
        </w:rPr>
        <w:t>商誉所在资产组或资产组组合的相关信息</w:t>
      </w:r>
      <w:bookmarkEnd w:id="211"/>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所属资产组或组合的构成及依据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所属经营分部及依据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是否与以前年度保持一致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资产组或资产组组合发生变化</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变化前的构成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变化后的构成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导致变化的客观事实及依据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期末商誉为公司对外收购时所形成，因该类交易属于非同一控制下的企业合并，合并成本与被合并公司合并日净资产公允价值的差额在合并层面确认为商誉。该资产组与购买日、以前年度商誉减值测试时所确定的资产组一致。</w:t>
      </w:r>
    </w:p>
    <w:p>
      <w:pPr>
        <w:keepNext/>
        <w:keepLines/>
        <w:spacing w:before="300" w:after="300" w:line="280" w:lineRule="exact"/>
        <w:jc w:val="left"/>
        <w:outlineLvl w:val="2"/>
        <w:rPr>
          <w:rFonts w:ascii="宋体" w:hAnsi="宋体" w:eastAsia="宋体" w:cs="宋体"/>
          <w:b/>
          <w:bCs/>
          <w:sz w:val="21"/>
          <w:szCs w:val="21"/>
        </w:rPr>
      </w:pPr>
      <w:bookmarkStart w:id="212" w:name="_Toc989095"/>
      <w:r>
        <w:rPr>
          <w:rFonts w:hint="eastAsia" w:ascii="宋体" w:hAnsi="宋体" w:cs="宋体"/>
          <w:b/>
          <w:bCs/>
          <w:sz w:val="21"/>
          <w:szCs w:val="21"/>
          <w:lang w:eastAsia="zh-CN"/>
        </w:rPr>
        <w:t>（</w:t>
      </w:r>
      <w:r>
        <w:rPr>
          <w:rFonts w:hint="eastAsia" w:ascii="宋体" w:hAnsi="宋体" w:cs="宋体"/>
          <w:b/>
          <w:bCs/>
          <w:sz w:val="21"/>
          <w:szCs w:val="21"/>
          <w:lang w:val="en-US" w:eastAsia="zh-CN"/>
        </w:rPr>
        <w:t>十七</w:t>
      </w:r>
      <w:r>
        <w:rPr>
          <w:rFonts w:hint="eastAsia" w:ascii="宋体" w:hAnsi="宋体" w:cs="宋体"/>
          <w:b/>
          <w:bCs/>
          <w:sz w:val="21"/>
          <w:szCs w:val="21"/>
          <w:lang w:eastAsia="zh-CN"/>
        </w:rPr>
        <w:t>）</w:t>
      </w:r>
      <w:r>
        <w:rPr>
          <w:rFonts w:ascii="宋体" w:hAnsi="宋体" w:eastAsia="宋体" w:cs="宋体"/>
          <w:b/>
          <w:bCs/>
          <w:sz w:val="21"/>
          <w:szCs w:val="21"/>
        </w:rPr>
        <w:t>长期待摊费用</w:t>
      </w:r>
      <w:bookmarkEnd w:id="2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改造维修费等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5,699,759.90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854,213.55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1,370,627.19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5,183,346.26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5,699,759.90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854,213.55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1,370,627.19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5,183,346.26</w:t>
            </w:r>
          </w:p>
        </w:tc>
      </w:tr>
    </w:tbl>
    <w:p>
      <w:pPr>
        <w:keepNext/>
        <w:keepLines/>
        <w:spacing w:before="300" w:after="300" w:line="280" w:lineRule="exact"/>
        <w:jc w:val="left"/>
        <w:outlineLvl w:val="2"/>
        <w:rPr>
          <w:rFonts w:ascii="宋体" w:hAnsi="宋体" w:eastAsia="宋体" w:cs="宋体"/>
          <w:b/>
          <w:bCs/>
          <w:sz w:val="21"/>
          <w:szCs w:val="21"/>
        </w:rPr>
      </w:pPr>
      <w:bookmarkStart w:id="213" w:name="_Toc989096"/>
      <w:r>
        <w:rPr>
          <w:rFonts w:hint="eastAsia" w:ascii="宋体" w:hAnsi="宋体" w:cs="宋体"/>
          <w:b/>
          <w:bCs/>
          <w:sz w:val="21"/>
          <w:szCs w:val="21"/>
          <w:lang w:eastAsia="zh-CN"/>
        </w:rPr>
        <w:t>（</w:t>
      </w:r>
      <w:r>
        <w:rPr>
          <w:rFonts w:hint="eastAsia" w:ascii="宋体" w:hAnsi="宋体" w:cs="宋体"/>
          <w:b/>
          <w:bCs/>
          <w:sz w:val="21"/>
          <w:szCs w:val="21"/>
          <w:lang w:val="en-US" w:eastAsia="zh-CN"/>
        </w:rPr>
        <w:t>十八</w:t>
      </w:r>
      <w:r>
        <w:rPr>
          <w:rFonts w:hint="eastAsia" w:ascii="宋体" w:hAnsi="宋体" w:cs="宋体"/>
          <w:b/>
          <w:bCs/>
          <w:sz w:val="21"/>
          <w:szCs w:val="21"/>
          <w:lang w:eastAsia="zh-CN"/>
        </w:rPr>
        <w:t>）</w:t>
      </w:r>
      <w:r>
        <w:rPr>
          <w:rFonts w:ascii="宋体" w:hAnsi="宋体" w:eastAsia="宋体" w:cs="宋体"/>
          <w:b/>
          <w:bCs/>
          <w:sz w:val="21"/>
          <w:szCs w:val="21"/>
        </w:rPr>
        <w:t>递延所得税资产/递延所得税负债</w:t>
      </w:r>
      <w:bookmarkEnd w:id="213"/>
    </w:p>
    <w:p>
      <w:pPr>
        <w:keepNext/>
        <w:keepLines/>
        <w:spacing w:before="300" w:after="300" w:line="280" w:lineRule="exact"/>
        <w:jc w:val="left"/>
        <w:outlineLvl w:val="3"/>
        <w:rPr>
          <w:rFonts w:ascii="宋体" w:hAnsi="宋体" w:eastAsia="宋体" w:cs="宋体"/>
          <w:b/>
          <w:bCs/>
          <w:sz w:val="21"/>
          <w:szCs w:val="21"/>
        </w:rPr>
      </w:pPr>
      <w:bookmarkStart w:id="214" w:name="_Toc989097"/>
      <w:r>
        <w:rPr>
          <w:rFonts w:hint="eastAsia" w:ascii="宋体" w:hAnsi="宋体" w:cs="宋体"/>
          <w:b/>
          <w:bCs/>
          <w:sz w:val="21"/>
          <w:szCs w:val="21"/>
          <w:lang w:val="en-US" w:eastAsia="zh-CN"/>
        </w:rPr>
        <w:t>1.</w:t>
      </w:r>
      <w:r>
        <w:rPr>
          <w:rFonts w:ascii="宋体" w:hAnsi="宋体" w:eastAsia="宋体" w:cs="宋体"/>
          <w:b/>
          <w:bCs/>
          <w:sz w:val="21"/>
          <w:szCs w:val="21"/>
        </w:rPr>
        <w:t>未经抵销的递延所得税资产</w:t>
      </w:r>
      <w:bookmarkEnd w:id="2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205,630,060.39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30,844,509.05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197,045,970.07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29,556,895.51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77,326,176.62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11,598,926.49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59,638,522.13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8,945,778.32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8,561,354.87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1,284,203.23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8,561,354.87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1,284,203.23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291,517,591.88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43,727,638.77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265,245,847.07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39,786,877.06</w:t>
            </w:r>
          </w:p>
        </w:tc>
      </w:tr>
    </w:tbl>
    <w:p>
      <w:pPr>
        <w:keepNext/>
        <w:keepLines/>
        <w:spacing w:before="300" w:after="300" w:line="280" w:lineRule="exact"/>
        <w:jc w:val="left"/>
        <w:outlineLvl w:val="3"/>
        <w:rPr>
          <w:rFonts w:ascii="宋体" w:hAnsi="宋体" w:eastAsia="宋体" w:cs="宋体"/>
          <w:b/>
          <w:bCs/>
          <w:sz w:val="21"/>
          <w:szCs w:val="21"/>
        </w:rPr>
      </w:pPr>
      <w:bookmarkStart w:id="215" w:name="_Toc989098"/>
      <w:r>
        <w:rPr>
          <w:rFonts w:hint="eastAsia" w:ascii="宋体" w:hAnsi="宋体" w:cs="宋体"/>
          <w:b/>
          <w:bCs/>
          <w:sz w:val="21"/>
          <w:szCs w:val="21"/>
          <w:lang w:val="en-US" w:eastAsia="zh-CN"/>
        </w:rPr>
        <w:t>2.</w:t>
      </w:r>
      <w:r>
        <w:rPr>
          <w:rFonts w:ascii="宋体" w:hAnsi="宋体" w:eastAsia="宋体" w:cs="宋体"/>
          <w:b/>
          <w:bCs/>
          <w:sz w:val="21"/>
          <w:szCs w:val="21"/>
        </w:rPr>
        <w:t>未经抵销的递延所得税负债</w:t>
      </w:r>
      <w:bookmarkEnd w:id="2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企业合并资产评估增值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15,872,390.67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2,380,858.60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17,353,742.53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2,603,061.38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公允价值计量</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12,779,090.93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1,916,863.64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12,779,090.91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1,916,863.64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28,651,481.60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4,297,722.24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30,132,833.44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4,519,925.02</w:t>
            </w:r>
          </w:p>
        </w:tc>
      </w:tr>
    </w:tbl>
    <w:p>
      <w:pPr>
        <w:keepNext/>
        <w:keepLines/>
        <w:spacing w:before="300" w:after="300" w:line="280" w:lineRule="exact"/>
        <w:jc w:val="left"/>
        <w:outlineLvl w:val="3"/>
        <w:rPr>
          <w:rFonts w:ascii="宋体" w:hAnsi="宋体" w:eastAsia="宋体" w:cs="宋体"/>
          <w:b/>
          <w:bCs/>
          <w:sz w:val="21"/>
          <w:szCs w:val="21"/>
        </w:rPr>
      </w:pPr>
      <w:bookmarkStart w:id="216" w:name="_Toc989099"/>
      <w:r>
        <w:rPr>
          <w:rFonts w:hint="eastAsia" w:ascii="宋体" w:hAnsi="宋体" w:cs="宋体"/>
          <w:b/>
          <w:bCs/>
          <w:sz w:val="21"/>
          <w:szCs w:val="21"/>
          <w:lang w:val="en-US" w:eastAsia="zh-CN"/>
        </w:rPr>
        <w:t>3.</w:t>
      </w:r>
      <w:r>
        <w:rPr>
          <w:rFonts w:ascii="宋体" w:hAnsi="宋体" w:eastAsia="宋体" w:cs="宋体"/>
          <w:b/>
          <w:bCs/>
          <w:sz w:val="21"/>
          <w:szCs w:val="21"/>
        </w:rPr>
        <w:t>以抵销后净额列示的递延所得税资产或负债</w:t>
      </w:r>
      <w:bookmarkEnd w:id="2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43,727,638.77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39,786,877.06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4,297,722.24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4,519,925.02</w:t>
            </w:r>
          </w:p>
        </w:tc>
      </w:tr>
    </w:tbl>
    <w:p>
      <w:pPr>
        <w:keepNext/>
        <w:keepLines/>
        <w:spacing w:before="300" w:after="300" w:line="280" w:lineRule="exact"/>
        <w:jc w:val="left"/>
        <w:outlineLvl w:val="3"/>
        <w:rPr>
          <w:rFonts w:ascii="宋体" w:hAnsi="宋体" w:eastAsia="宋体" w:cs="宋体"/>
          <w:b/>
          <w:bCs/>
          <w:sz w:val="21"/>
          <w:szCs w:val="21"/>
        </w:rPr>
      </w:pPr>
      <w:bookmarkStart w:id="217" w:name="_Toc989100"/>
      <w:r>
        <w:rPr>
          <w:rFonts w:hint="eastAsia" w:ascii="宋体" w:hAnsi="宋体" w:cs="宋体"/>
          <w:b/>
          <w:bCs/>
          <w:sz w:val="21"/>
          <w:szCs w:val="21"/>
          <w:lang w:val="en-US" w:eastAsia="zh-CN"/>
        </w:rPr>
        <w:t>4.</w:t>
      </w:r>
      <w:r>
        <w:rPr>
          <w:rFonts w:ascii="宋体" w:hAnsi="宋体" w:eastAsia="宋体" w:cs="宋体"/>
          <w:b/>
          <w:bCs/>
          <w:sz w:val="21"/>
          <w:szCs w:val="21"/>
        </w:rPr>
        <w:t>未确认递延所得税资产明细</w:t>
      </w:r>
      <w:bookmarkEnd w:id="2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r>
    </w:tbl>
    <w:p>
      <w:pPr>
        <w:keepNext/>
        <w:keepLines/>
        <w:spacing w:before="300" w:after="300" w:line="280" w:lineRule="exact"/>
        <w:jc w:val="left"/>
        <w:outlineLvl w:val="3"/>
        <w:rPr>
          <w:rFonts w:ascii="宋体" w:hAnsi="宋体" w:eastAsia="宋体" w:cs="宋体"/>
          <w:b/>
          <w:bCs/>
          <w:sz w:val="21"/>
          <w:szCs w:val="21"/>
        </w:rPr>
      </w:pPr>
      <w:bookmarkStart w:id="218" w:name="_Toc989101"/>
      <w:r>
        <w:rPr>
          <w:rFonts w:hint="eastAsia" w:ascii="宋体" w:hAnsi="宋体" w:cs="宋体"/>
          <w:b/>
          <w:bCs/>
          <w:sz w:val="21"/>
          <w:szCs w:val="21"/>
          <w:lang w:val="en-US" w:eastAsia="zh-CN"/>
        </w:rPr>
        <w:t>5.</w:t>
      </w:r>
      <w:r>
        <w:rPr>
          <w:rFonts w:ascii="宋体" w:hAnsi="宋体" w:eastAsia="宋体" w:cs="宋体"/>
          <w:b/>
          <w:bCs/>
          <w:sz w:val="21"/>
          <w:szCs w:val="21"/>
        </w:rPr>
        <w:t>未确认递延所得税资产的可抵扣亏损将于以下年度到期</w:t>
      </w:r>
      <w:bookmarkEnd w:id="2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15,381,396.16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17,604,600.09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2029年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27,060,727.19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2030年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32,039,929.11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4,653,122.26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4,653,122.26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23,166,324.36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23,166,324.36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19,212,203.57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19,212,203.57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2034年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51,600,389.87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51,600,389.87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190,718,692.61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2"/>
        <w:rPr>
          <w:rFonts w:ascii="宋体" w:hAnsi="宋体" w:eastAsia="宋体" w:cs="宋体"/>
          <w:b/>
          <w:bCs/>
          <w:sz w:val="21"/>
          <w:szCs w:val="21"/>
        </w:rPr>
      </w:pPr>
      <w:bookmarkStart w:id="219" w:name="_Toc989102"/>
      <w:r>
        <w:rPr>
          <w:rFonts w:hint="eastAsia" w:ascii="宋体" w:hAnsi="宋体" w:cs="宋体"/>
          <w:b/>
          <w:bCs/>
          <w:sz w:val="21"/>
          <w:szCs w:val="21"/>
          <w:lang w:eastAsia="zh-CN"/>
        </w:rPr>
        <w:t>（</w:t>
      </w:r>
      <w:r>
        <w:rPr>
          <w:rFonts w:hint="eastAsia" w:ascii="宋体" w:hAnsi="宋体" w:cs="宋体"/>
          <w:b/>
          <w:bCs/>
          <w:sz w:val="21"/>
          <w:szCs w:val="21"/>
          <w:lang w:val="en-US" w:eastAsia="zh-CN"/>
        </w:rPr>
        <w:t>十九</w:t>
      </w:r>
      <w:r>
        <w:rPr>
          <w:rFonts w:hint="eastAsia" w:ascii="宋体" w:hAnsi="宋体" w:cs="宋体"/>
          <w:b/>
          <w:bCs/>
          <w:sz w:val="21"/>
          <w:szCs w:val="21"/>
          <w:lang w:eastAsia="zh-CN"/>
        </w:rPr>
        <w:t>）</w:t>
      </w:r>
      <w:r>
        <w:rPr>
          <w:rFonts w:ascii="宋体" w:hAnsi="宋体" w:eastAsia="宋体" w:cs="宋体"/>
          <w:b/>
          <w:bCs/>
          <w:sz w:val="21"/>
          <w:szCs w:val="21"/>
        </w:rPr>
        <w:t>其他非流动资产</w:t>
      </w:r>
      <w:bookmarkEnd w:id="2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722"/>
        <w:gridCol w:w="1032"/>
        <w:gridCol w:w="1510"/>
        <w:gridCol w:w="1475"/>
        <w:gridCol w:w="1146"/>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26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99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5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4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14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预付设备及工程款</w:t>
            </w:r>
          </w:p>
        </w:tc>
        <w:tc>
          <w:tcPr>
            <w:tcW w:w="1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11,492,145.88</w:t>
            </w:r>
          </w:p>
        </w:tc>
        <w:tc>
          <w:tcPr>
            <w:tcW w:w="10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11,492,145.88</w:t>
            </w:r>
          </w:p>
        </w:tc>
        <w:tc>
          <w:tcPr>
            <w:tcW w:w="14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c>
          <w:tcPr>
            <w:tcW w:w="11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72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11,492,145.88</w:t>
            </w:r>
          </w:p>
        </w:tc>
        <w:tc>
          <w:tcPr>
            <w:tcW w:w="103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5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11,492,145.88</w:t>
            </w:r>
          </w:p>
        </w:tc>
        <w:tc>
          <w:tcPr>
            <w:tcW w:w="147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c>
          <w:tcPr>
            <w:tcW w:w="11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4,335,996.94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0" w:name="_Toc989103"/>
      <w:r>
        <w:rPr>
          <w:rFonts w:hint="eastAsia" w:ascii="宋体" w:hAnsi="宋体" w:cs="宋体"/>
          <w:b/>
          <w:bCs/>
          <w:sz w:val="21"/>
          <w:szCs w:val="21"/>
          <w:lang w:eastAsia="zh-CN"/>
        </w:rPr>
        <w:t>（</w:t>
      </w:r>
      <w:r>
        <w:rPr>
          <w:rFonts w:hint="eastAsia" w:ascii="宋体" w:hAnsi="宋体" w:cs="宋体"/>
          <w:b/>
          <w:bCs/>
          <w:sz w:val="21"/>
          <w:szCs w:val="21"/>
          <w:lang w:val="en-US" w:eastAsia="zh-CN"/>
        </w:rPr>
        <w:t>二十</w:t>
      </w:r>
      <w:r>
        <w:rPr>
          <w:rFonts w:hint="eastAsia" w:ascii="宋体" w:hAnsi="宋体" w:cs="宋体"/>
          <w:b/>
          <w:bCs/>
          <w:sz w:val="21"/>
          <w:szCs w:val="21"/>
          <w:lang w:eastAsia="zh-CN"/>
        </w:rPr>
        <w:t>）</w:t>
      </w:r>
      <w:r>
        <w:rPr>
          <w:rFonts w:ascii="宋体" w:hAnsi="宋体" w:eastAsia="宋体" w:cs="宋体"/>
          <w:b/>
          <w:bCs/>
          <w:sz w:val="21"/>
          <w:szCs w:val="21"/>
        </w:rPr>
        <w:t>所有权或使用权受到限制的资产</w:t>
      </w:r>
      <w:bookmarkEnd w:id="2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19,069,158.58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19,069,158.58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15,244,120.52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15,244,120.52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3,100,212.12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3,100,212.12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5,957,034.06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5,957,034.06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22,169,370.70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22,169,370.70</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21,201,154.58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21,201,154.58</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1" w:name="_Toc989104"/>
      <w:r>
        <w:rPr>
          <w:rFonts w:hint="eastAsia" w:ascii="宋体" w:hAnsi="宋体" w:cs="宋体"/>
          <w:b/>
          <w:bCs/>
          <w:sz w:val="21"/>
          <w:szCs w:val="21"/>
          <w:lang w:eastAsia="zh-CN"/>
        </w:rPr>
        <w:t>（</w:t>
      </w:r>
      <w:r>
        <w:rPr>
          <w:rFonts w:hint="eastAsia" w:ascii="宋体" w:hAnsi="宋体" w:cs="宋体"/>
          <w:b/>
          <w:bCs/>
          <w:sz w:val="21"/>
          <w:szCs w:val="21"/>
          <w:lang w:val="en-US" w:eastAsia="zh-CN"/>
        </w:rPr>
        <w:t>二十一</w:t>
      </w:r>
      <w:r>
        <w:rPr>
          <w:rFonts w:hint="eastAsia" w:ascii="宋体" w:hAnsi="宋体" w:cs="宋体"/>
          <w:b/>
          <w:bCs/>
          <w:sz w:val="21"/>
          <w:szCs w:val="21"/>
          <w:lang w:eastAsia="zh-CN"/>
        </w:rPr>
        <w:t>）</w:t>
      </w:r>
      <w:r>
        <w:rPr>
          <w:rFonts w:ascii="宋体" w:hAnsi="宋体" w:eastAsia="宋体" w:cs="宋体"/>
          <w:b/>
          <w:bCs/>
          <w:sz w:val="21"/>
          <w:szCs w:val="21"/>
        </w:rPr>
        <w:t>短期借款</w:t>
      </w:r>
      <w:bookmarkEnd w:id="2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320,257,847.26</w:t>
            </w:r>
          </w:p>
        </w:tc>
      </w:tr>
    </w:tbl>
    <w:p>
      <w:pPr>
        <w:keepNext/>
        <w:keepLines/>
        <w:spacing w:before="300" w:after="300" w:line="280" w:lineRule="exact"/>
        <w:jc w:val="left"/>
        <w:outlineLvl w:val="2"/>
        <w:rPr>
          <w:rFonts w:ascii="宋体" w:hAnsi="宋体" w:eastAsia="宋体" w:cs="宋体"/>
          <w:b/>
          <w:bCs/>
          <w:sz w:val="21"/>
          <w:szCs w:val="21"/>
        </w:rPr>
      </w:pPr>
      <w:bookmarkStart w:id="222" w:name="_Toc989106"/>
      <w:r>
        <w:rPr>
          <w:rFonts w:hint="eastAsia" w:ascii="宋体" w:hAnsi="宋体" w:cs="宋体"/>
          <w:b/>
          <w:bCs/>
          <w:sz w:val="21"/>
          <w:szCs w:val="21"/>
          <w:lang w:eastAsia="zh-CN"/>
        </w:rPr>
        <w:t>（</w:t>
      </w:r>
      <w:r>
        <w:rPr>
          <w:rFonts w:hint="eastAsia" w:ascii="宋体" w:hAnsi="宋体" w:cs="宋体"/>
          <w:b/>
          <w:bCs/>
          <w:sz w:val="21"/>
          <w:szCs w:val="21"/>
          <w:lang w:val="en-US" w:eastAsia="zh-CN"/>
        </w:rPr>
        <w:t>二十二</w:t>
      </w:r>
      <w:r>
        <w:rPr>
          <w:rFonts w:hint="eastAsia" w:ascii="宋体" w:hAnsi="宋体" w:cs="宋体"/>
          <w:b/>
          <w:bCs/>
          <w:sz w:val="21"/>
          <w:szCs w:val="21"/>
          <w:lang w:eastAsia="zh-CN"/>
        </w:rPr>
        <w:t>）</w:t>
      </w:r>
      <w:r>
        <w:rPr>
          <w:rFonts w:ascii="宋体" w:hAnsi="宋体" w:eastAsia="宋体" w:cs="宋体"/>
          <w:b/>
          <w:bCs/>
          <w:sz w:val="21"/>
          <w:szCs w:val="21"/>
        </w:rPr>
        <w:t>应付票据</w:t>
      </w:r>
      <w:bookmarkEnd w:id="2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商业承兑汇票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3,571,324.60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8,084,986.99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128,467,568.86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105,425,116.42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132,038,893.46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113,510,103.41</w:t>
            </w:r>
          </w:p>
        </w:tc>
      </w:tr>
    </w:tbl>
    <w:p>
      <w:pPr>
        <w:keepNext/>
        <w:keepLines/>
        <w:spacing w:before="300" w:after="300" w:line="280" w:lineRule="exact"/>
        <w:jc w:val="left"/>
        <w:outlineLvl w:val="2"/>
        <w:rPr>
          <w:rFonts w:ascii="宋体" w:hAnsi="宋体" w:eastAsia="宋体" w:cs="宋体"/>
          <w:b/>
          <w:bCs/>
          <w:sz w:val="21"/>
          <w:szCs w:val="21"/>
        </w:rPr>
      </w:pPr>
      <w:bookmarkStart w:id="223" w:name="_Toc989107"/>
      <w:r>
        <w:rPr>
          <w:rFonts w:hint="eastAsia" w:ascii="宋体" w:hAnsi="宋体" w:cs="宋体"/>
          <w:b/>
          <w:bCs/>
          <w:sz w:val="21"/>
          <w:szCs w:val="21"/>
          <w:lang w:eastAsia="zh-CN"/>
        </w:rPr>
        <w:t>（</w:t>
      </w:r>
      <w:r>
        <w:rPr>
          <w:rFonts w:hint="eastAsia" w:ascii="宋体" w:hAnsi="宋体" w:cs="宋体"/>
          <w:b/>
          <w:bCs/>
          <w:sz w:val="21"/>
          <w:szCs w:val="21"/>
          <w:lang w:val="en-US" w:eastAsia="zh-CN"/>
        </w:rPr>
        <w:t>二十三</w:t>
      </w:r>
      <w:r>
        <w:rPr>
          <w:rFonts w:hint="eastAsia" w:ascii="宋体" w:hAnsi="宋体" w:cs="宋体"/>
          <w:b/>
          <w:bCs/>
          <w:sz w:val="21"/>
          <w:szCs w:val="21"/>
          <w:lang w:eastAsia="zh-CN"/>
        </w:rPr>
        <w:t>）</w:t>
      </w:r>
      <w:r>
        <w:rPr>
          <w:rFonts w:ascii="宋体" w:hAnsi="宋体" w:eastAsia="宋体" w:cs="宋体"/>
          <w:b/>
          <w:bCs/>
          <w:sz w:val="21"/>
          <w:szCs w:val="21"/>
        </w:rPr>
        <w:t>应付账款</w:t>
      </w:r>
      <w:bookmarkEnd w:id="223"/>
    </w:p>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24" w:name="_Toc989108"/>
      <w:r>
        <w:rPr>
          <w:rFonts w:hint="eastAsia" w:ascii="宋体" w:hAnsi="宋体" w:eastAsia="宋体" w:cs="宋体"/>
          <w:b/>
          <w:bCs/>
          <w:sz w:val="21"/>
          <w:szCs w:val="21"/>
          <w:lang w:val="en-US" w:eastAsia="zh-CN"/>
        </w:rPr>
        <w:t>1.应付账款列示</w:t>
      </w:r>
      <w:bookmarkEnd w:id="2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146,967,790.59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105,188,492.61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工程及设备款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20,192,763.16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67,147,368.70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2,573,500.38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9,781,774.50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169,734,054.13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182,117,635.81</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25" w:name="_Toc989109"/>
      <w:r>
        <w:rPr>
          <w:rFonts w:hint="eastAsia" w:ascii="宋体" w:hAnsi="宋体" w:eastAsia="宋体" w:cs="宋体"/>
          <w:b/>
          <w:bCs/>
          <w:sz w:val="21"/>
          <w:szCs w:val="21"/>
          <w:lang w:val="en-US" w:eastAsia="zh-CN"/>
        </w:rPr>
        <w:t>2.账龄超过1年或逾期的重要应付账款</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21"/>
          <w:szCs w:val="21"/>
        </w:rPr>
        <w:t>期末无账龄超过一年的重要应付账款。</w:t>
      </w:r>
    </w:p>
    <w:p>
      <w:pPr>
        <w:keepNext/>
        <w:keepLines/>
        <w:spacing w:before="300" w:after="300" w:line="280" w:lineRule="exact"/>
        <w:jc w:val="left"/>
        <w:outlineLvl w:val="2"/>
        <w:rPr>
          <w:rFonts w:ascii="宋体" w:hAnsi="宋体" w:eastAsia="宋体" w:cs="宋体"/>
          <w:b/>
          <w:bCs/>
          <w:sz w:val="21"/>
          <w:szCs w:val="21"/>
        </w:rPr>
      </w:pPr>
      <w:bookmarkStart w:id="226" w:name="_Toc989110"/>
      <w:r>
        <w:rPr>
          <w:rFonts w:hint="eastAsia" w:ascii="宋体" w:hAnsi="宋体" w:cs="宋体"/>
          <w:b/>
          <w:bCs/>
          <w:sz w:val="21"/>
          <w:szCs w:val="21"/>
          <w:lang w:eastAsia="zh-CN"/>
        </w:rPr>
        <w:t>（</w:t>
      </w:r>
      <w:r>
        <w:rPr>
          <w:rFonts w:hint="eastAsia" w:ascii="宋体" w:hAnsi="宋体" w:cs="宋体"/>
          <w:b/>
          <w:bCs/>
          <w:sz w:val="21"/>
          <w:szCs w:val="21"/>
          <w:lang w:val="en-US" w:eastAsia="zh-CN"/>
        </w:rPr>
        <w:t>二十四</w:t>
      </w:r>
      <w:r>
        <w:rPr>
          <w:rFonts w:hint="eastAsia" w:ascii="宋体" w:hAnsi="宋体" w:cs="宋体"/>
          <w:b/>
          <w:bCs/>
          <w:sz w:val="21"/>
          <w:szCs w:val="21"/>
          <w:lang w:eastAsia="zh-CN"/>
        </w:rPr>
        <w:t>）</w:t>
      </w:r>
      <w:r>
        <w:rPr>
          <w:rFonts w:ascii="宋体" w:hAnsi="宋体" w:eastAsia="宋体" w:cs="宋体"/>
          <w:b/>
          <w:bCs/>
          <w:sz w:val="21"/>
          <w:szCs w:val="21"/>
        </w:rPr>
        <w:t>其他应付款</w:t>
      </w:r>
      <w:bookmarkEnd w:id="2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6,347,074.78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6,347,074.78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27" w:name="_Toc989112"/>
      <w:r>
        <w:rPr>
          <w:rFonts w:hint="eastAsia" w:ascii="宋体" w:hAnsi="宋体" w:eastAsia="宋体" w:cs="宋体"/>
          <w:b/>
          <w:bCs/>
          <w:sz w:val="21"/>
          <w:szCs w:val="21"/>
          <w:lang w:val="en-US" w:eastAsia="zh-CN"/>
        </w:rPr>
        <w:t>1. 按款项性质列示其他应付款</w:t>
      </w:r>
      <w:bookmarkEnd w:id="2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6,347,074.78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6,347,074.78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6,379,893.48</w:t>
            </w: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3"/>
        <w:rPr>
          <w:rFonts w:hint="eastAsia" w:ascii="宋体" w:hAnsi="宋体" w:eastAsia="宋体" w:cs="宋体"/>
          <w:b/>
          <w:bCs/>
          <w:sz w:val="21"/>
          <w:szCs w:val="21"/>
          <w:lang w:val="en-US" w:eastAsia="zh-CN"/>
        </w:rPr>
      </w:pPr>
      <w:bookmarkStart w:id="228" w:name="_Toc989113"/>
      <w:r>
        <w:rPr>
          <w:rFonts w:hint="eastAsia" w:ascii="宋体" w:hAnsi="宋体" w:eastAsia="宋体" w:cs="宋体"/>
          <w:b/>
          <w:bCs/>
          <w:sz w:val="21"/>
          <w:szCs w:val="21"/>
          <w:lang w:val="en-US" w:eastAsia="zh-CN"/>
        </w:rPr>
        <w:t>2.账龄超过1年或逾期的重要其他应付款</w:t>
      </w:r>
      <w:bookmarkEnd w:id="2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keepNext/>
        <w:keepLines/>
        <w:spacing w:before="300" w:after="300" w:line="280" w:lineRule="exact"/>
        <w:jc w:val="left"/>
        <w:outlineLvl w:val="2"/>
        <w:rPr>
          <w:rFonts w:ascii="宋体" w:hAnsi="宋体" w:eastAsia="宋体" w:cs="宋体"/>
          <w:b/>
          <w:bCs/>
          <w:sz w:val="21"/>
          <w:szCs w:val="21"/>
        </w:rPr>
      </w:pPr>
      <w:bookmarkStart w:id="229" w:name="_Toc989114"/>
      <w:r>
        <w:rPr>
          <w:rFonts w:hint="eastAsia" w:ascii="宋体" w:hAnsi="宋体" w:cs="宋体"/>
          <w:b/>
          <w:bCs/>
          <w:sz w:val="21"/>
          <w:szCs w:val="21"/>
          <w:lang w:eastAsia="zh-CN"/>
        </w:rPr>
        <w:t>（</w:t>
      </w:r>
      <w:r>
        <w:rPr>
          <w:rFonts w:hint="eastAsia" w:ascii="宋体" w:hAnsi="宋体" w:cs="宋体"/>
          <w:b/>
          <w:bCs/>
          <w:sz w:val="21"/>
          <w:szCs w:val="21"/>
          <w:lang w:val="en-US" w:eastAsia="zh-CN"/>
        </w:rPr>
        <w:t>二十五</w:t>
      </w:r>
      <w:r>
        <w:rPr>
          <w:rFonts w:hint="eastAsia" w:ascii="宋体" w:hAnsi="宋体" w:cs="宋体"/>
          <w:b/>
          <w:bCs/>
          <w:sz w:val="21"/>
          <w:szCs w:val="21"/>
          <w:lang w:eastAsia="zh-CN"/>
        </w:rPr>
        <w:t>）</w:t>
      </w:r>
      <w:r>
        <w:rPr>
          <w:rFonts w:ascii="宋体" w:hAnsi="宋体" w:eastAsia="宋体" w:cs="宋体"/>
          <w:b/>
          <w:bCs/>
          <w:sz w:val="21"/>
          <w:szCs w:val="21"/>
        </w:rPr>
        <w:t>预收款项</w:t>
      </w:r>
      <w:bookmarkEnd w:id="2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预收租金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717,341.00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693,680.95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717,341.00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693,680.95</w:t>
            </w:r>
          </w:p>
        </w:tc>
      </w:tr>
    </w:tbl>
    <w:p>
      <w:pPr>
        <w:keepNext/>
        <w:keepLines/>
        <w:spacing w:before="300" w:after="300" w:line="280" w:lineRule="exact"/>
        <w:jc w:val="left"/>
        <w:outlineLvl w:val="2"/>
        <w:rPr>
          <w:rFonts w:ascii="宋体" w:hAnsi="宋体" w:eastAsia="宋体" w:cs="宋体"/>
          <w:b/>
          <w:bCs/>
          <w:sz w:val="21"/>
          <w:szCs w:val="21"/>
        </w:rPr>
      </w:pPr>
      <w:bookmarkStart w:id="230" w:name="_Toc989117"/>
      <w:r>
        <w:rPr>
          <w:rFonts w:hint="eastAsia" w:ascii="宋体" w:hAnsi="宋体" w:cs="宋体"/>
          <w:b/>
          <w:bCs/>
          <w:sz w:val="21"/>
          <w:szCs w:val="21"/>
          <w:lang w:eastAsia="zh-CN"/>
        </w:rPr>
        <w:t>（</w:t>
      </w:r>
      <w:r>
        <w:rPr>
          <w:rFonts w:hint="eastAsia" w:ascii="宋体" w:hAnsi="宋体" w:cs="宋体"/>
          <w:b/>
          <w:bCs/>
          <w:sz w:val="21"/>
          <w:szCs w:val="21"/>
          <w:lang w:val="en-US" w:eastAsia="zh-CN"/>
        </w:rPr>
        <w:t>二十六</w:t>
      </w:r>
      <w:r>
        <w:rPr>
          <w:rFonts w:hint="eastAsia" w:ascii="宋体" w:hAnsi="宋体" w:cs="宋体"/>
          <w:b/>
          <w:bCs/>
          <w:sz w:val="21"/>
          <w:szCs w:val="21"/>
          <w:lang w:eastAsia="zh-CN"/>
        </w:rPr>
        <w:t>）</w:t>
      </w:r>
      <w:r>
        <w:rPr>
          <w:rFonts w:ascii="宋体" w:hAnsi="宋体" w:eastAsia="宋体" w:cs="宋体"/>
          <w:b/>
          <w:bCs/>
          <w:sz w:val="21"/>
          <w:szCs w:val="21"/>
        </w:rPr>
        <w:t>合同负债</w:t>
      </w:r>
      <w:bookmarkEnd w:id="2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企业已收客户对价而应向客户转让商品/提供劳务的义务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13,087,489.47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12,685,882.34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13,087,489.47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12,685,882.34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账龄超过1年的重要合同负债</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发动机喷管用关键材料研制技术开发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5,099,509.44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未达到收入确认条件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5,099,509.44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2"/>
        <w:rPr>
          <w:rFonts w:ascii="宋体" w:hAnsi="宋体" w:eastAsia="宋体" w:cs="宋体"/>
          <w:b/>
          <w:bCs/>
          <w:sz w:val="21"/>
          <w:szCs w:val="21"/>
        </w:rPr>
      </w:pPr>
      <w:bookmarkStart w:id="231" w:name="_Toc989118"/>
      <w:r>
        <w:rPr>
          <w:rFonts w:hint="eastAsia" w:ascii="宋体" w:hAnsi="宋体" w:cs="宋体"/>
          <w:b/>
          <w:bCs/>
          <w:sz w:val="21"/>
          <w:szCs w:val="21"/>
          <w:lang w:eastAsia="zh-CN"/>
        </w:rPr>
        <w:t>（</w:t>
      </w:r>
      <w:r>
        <w:rPr>
          <w:rFonts w:hint="eastAsia" w:ascii="宋体" w:hAnsi="宋体" w:cs="宋体"/>
          <w:b/>
          <w:bCs/>
          <w:sz w:val="21"/>
          <w:szCs w:val="21"/>
          <w:lang w:val="en-US" w:eastAsia="zh-CN"/>
        </w:rPr>
        <w:t>二十七</w:t>
      </w:r>
      <w:r>
        <w:rPr>
          <w:rFonts w:hint="eastAsia" w:ascii="宋体" w:hAnsi="宋体" w:cs="宋体"/>
          <w:b/>
          <w:bCs/>
          <w:sz w:val="21"/>
          <w:szCs w:val="21"/>
          <w:lang w:eastAsia="zh-CN"/>
        </w:rPr>
        <w:t>）</w:t>
      </w:r>
      <w:r>
        <w:rPr>
          <w:rFonts w:ascii="宋体" w:hAnsi="宋体" w:eastAsia="宋体" w:cs="宋体"/>
          <w:b/>
          <w:bCs/>
          <w:sz w:val="21"/>
          <w:szCs w:val="21"/>
        </w:rPr>
        <w:t>应付职工薪酬</w:t>
      </w:r>
      <w:bookmarkEnd w:id="231"/>
    </w:p>
    <w:p>
      <w:pPr>
        <w:keepNext/>
        <w:keepLines/>
        <w:spacing w:before="300" w:after="300" w:line="280" w:lineRule="exact"/>
        <w:jc w:val="left"/>
        <w:outlineLvl w:val="3"/>
        <w:rPr>
          <w:rFonts w:ascii="宋体" w:hAnsi="宋体" w:eastAsia="宋体" w:cs="宋体"/>
          <w:b/>
          <w:bCs/>
          <w:sz w:val="21"/>
          <w:szCs w:val="21"/>
        </w:rPr>
      </w:pPr>
      <w:bookmarkStart w:id="232" w:name="_Toc989119"/>
      <w:r>
        <w:rPr>
          <w:rFonts w:hint="eastAsia" w:ascii="宋体" w:hAnsi="宋体" w:cs="宋体"/>
          <w:b/>
          <w:bCs/>
          <w:sz w:val="21"/>
          <w:szCs w:val="21"/>
          <w:lang w:val="en-US" w:eastAsia="zh-CN"/>
        </w:rPr>
        <w:t>1.</w:t>
      </w:r>
      <w:r>
        <w:rPr>
          <w:rFonts w:ascii="宋体" w:hAnsi="宋体" w:eastAsia="宋体" w:cs="宋体"/>
          <w:b/>
          <w:bCs/>
          <w:sz w:val="21"/>
          <w:szCs w:val="21"/>
        </w:rPr>
        <w:t>应付职工薪酬列示</w:t>
      </w:r>
      <w:bookmarkEnd w:id="2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34,513,117.28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74,414,837.16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90,040,937.88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18,887,016.56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4,165,484.96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4,165,484.96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三、辞退福利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99,389.00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99,389.00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34,513,117.28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78,679,711.12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94,305,811.84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18,887,016.56</w:t>
            </w:r>
          </w:p>
        </w:tc>
      </w:tr>
    </w:tbl>
    <w:p>
      <w:pPr>
        <w:keepNext/>
        <w:keepLines/>
        <w:spacing w:before="300" w:after="300" w:line="280" w:lineRule="exact"/>
        <w:jc w:val="left"/>
        <w:outlineLvl w:val="3"/>
        <w:rPr>
          <w:rFonts w:ascii="宋体" w:hAnsi="宋体" w:eastAsia="宋体" w:cs="宋体"/>
          <w:b/>
          <w:bCs/>
          <w:sz w:val="21"/>
          <w:szCs w:val="21"/>
        </w:rPr>
      </w:pPr>
      <w:bookmarkStart w:id="233" w:name="_Toc989120"/>
      <w:r>
        <w:rPr>
          <w:rFonts w:hint="eastAsia" w:ascii="宋体" w:hAnsi="宋体" w:cs="宋体"/>
          <w:b/>
          <w:bCs/>
          <w:sz w:val="21"/>
          <w:szCs w:val="21"/>
          <w:lang w:val="en-US" w:eastAsia="zh-CN"/>
        </w:rPr>
        <w:t>2.</w:t>
      </w:r>
      <w:r>
        <w:rPr>
          <w:rFonts w:ascii="宋体" w:hAnsi="宋体" w:eastAsia="宋体" w:cs="宋体"/>
          <w:b/>
          <w:bCs/>
          <w:sz w:val="21"/>
          <w:szCs w:val="21"/>
        </w:rPr>
        <w:t>短期薪酬列示</w:t>
      </w:r>
      <w:bookmarkEnd w:id="2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32,644,397.19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64,673,949.10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80,252,011.88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17,066,334.41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169,710.93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3,499,299.79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3,432,044.78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236,965.94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2,418,305.64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2,418,305.64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2,134,023.44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2,134,023.44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265,270.20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265,270.20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19,012.00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2,496,141.40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2,496,141.40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1,699,009.16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1,327,141.23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1,442,434.18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1,583,716.21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34,513,117.28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74,414,837.16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90,040,937.88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18,887,016.56</w:t>
            </w:r>
          </w:p>
        </w:tc>
      </w:tr>
    </w:tbl>
    <w:p>
      <w:pPr>
        <w:keepNext/>
        <w:keepLines/>
        <w:spacing w:before="300" w:after="300" w:line="280" w:lineRule="exact"/>
        <w:jc w:val="left"/>
        <w:outlineLvl w:val="3"/>
        <w:rPr>
          <w:rFonts w:ascii="宋体" w:hAnsi="宋体" w:eastAsia="宋体" w:cs="宋体"/>
          <w:b/>
          <w:bCs/>
          <w:sz w:val="21"/>
          <w:szCs w:val="21"/>
        </w:rPr>
      </w:pPr>
      <w:bookmarkStart w:id="234" w:name="_Toc989121"/>
      <w:r>
        <w:rPr>
          <w:rFonts w:hint="eastAsia" w:ascii="宋体" w:hAnsi="宋体" w:cs="宋体"/>
          <w:b/>
          <w:bCs/>
          <w:sz w:val="21"/>
          <w:szCs w:val="21"/>
          <w:lang w:val="en-US" w:eastAsia="zh-CN"/>
        </w:rPr>
        <w:t>3.</w:t>
      </w:r>
      <w:r>
        <w:rPr>
          <w:rFonts w:ascii="宋体" w:hAnsi="宋体" w:eastAsia="宋体" w:cs="宋体"/>
          <w:b/>
          <w:bCs/>
          <w:sz w:val="21"/>
          <w:szCs w:val="21"/>
        </w:rPr>
        <w:t>设定提存计划列示</w:t>
      </w:r>
      <w:bookmarkEnd w:id="2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3,991,836.28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3,991,836.28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173,648.68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173,648.68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4,165,484.96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4,165,484.96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235" w:name="_Toc989122"/>
      <w:r>
        <w:rPr>
          <w:rFonts w:hint="eastAsia" w:ascii="宋体" w:hAnsi="宋体" w:cs="宋体"/>
          <w:b/>
          <w:bCs/>
          <w:sz w:val="21"/>
          <w:szCs w:val="21"/>
          <w:lang w:eastAsia="zh-CN"/>
        </w:rPr>
        <w:t>（</w:t>
      </w:r>
      <w:r>
        <w:rPr>
          <w:rFonts w:hint="eastAsia" w:ascii="宋体" w:hAnsi="宋体" w:cs="宋体"/>
          <w:b/>
          <w:bCs/>
          <w:sz w:val="21"/>
          <w:szCs w:val="21"/>
          <w:lang w:val="en-US" w:eastAsia="zh-CN"/>
        </w:rPr>
        <w:t>二十八</w:t>
      </w:r>
      <w:r>
        <w:rPr>
          <w:rFonts w:hint="eastAsia" w:ascii="宋体" w:hAnsi="宋体" w:cs="宋体"/>
          <w:b/>
          <w:bCs/>
          <w:sz w:val="21"/>
          <w:szCs w:val="21"/>
          <w:lang w:eastAsia="zh-CN"/>
        </w:rPr>
        <w:t>）</w:t>
      </w:r>
      <w:r>
        <w:rPr>
          <w:rFonts w:ascii="宋体" w:hAnsi="宋体" w:eastAsia="宋体" w:cs="宋体"/>
          <w:b/>
          <w:bCs/>
          <w:sz w:val="21"/>
          <w:szCs w:val="21"/>
        </w:rPr>
        <w:t>应交税费</w:t>
      </w:r>
      <w:bookmarkEnd w:id="2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3,343,011.09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6,719,544.63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1,604,204.94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1,981,928.29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183,668.10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203,213.07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349,746.30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471,266.83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57,121.81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336,013.77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299,655.89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105,855.61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教育费附加及地方教育附加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274,792.47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361,592.84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6,112,200.60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10,179,415.04</w:t>
            </w:r>
          </w:p>
        </w:tc>
      </w:tr>
    </w:tbl>
    <w:p>
      <w:pPr>
        <w:keepNext/>
        <w:keepLines/>
        <w:spacing w:before="300" w:after="300" w:line="280" w:lineRule="exact"/>
        <w:jc w:val="left"/>
        <w:outlineLvl w:val="2"/>
        <w:rPr>
          <w:rFonts w:ascii="宋体" w:hAnsi="宋体" w:eastAsia="宋体" w:cs="宋体"/>
          <w:b/>
          <w:bCs/>
          <w:sz w:val="21"/>
          <w:szCs w:val="21"/>
        </w:rPr>
      </w:pPr>
      <w:bookmarkStart w:id="236" w:name="_Toc989123"/>
      <w:r>
        <w:rPr>
          <w:rFonts w:hint="eastAsia" w:ascii="宋体" w:hAnsi="宋体" w:cs="宋体"/>
          <w:b/>
          <w:bCs/>
          <w:sz w:val="21"/>
          <w:szCs w:val="21"/>
          <w:lang w:eastAsia="zh-CN"/>
        </w:rPr>
        <w:t>（</w:t>
      </w:r>
      <w:r>
        <w:rPr>
          <w:rFonts w:hint="eastAsia" w:ascii="宋体" w:hAnsi="宋体" w:cs="宋体"/>
          <w:b/>
          <w:bCs/>
          <w:sz w:val="21"/>
          <w:szCs w:val="21"/>
          <w:lang w:val="en-US" w:eastAsia="zh-CN"/>
        </w:rPr>
        <w:t>二十九</w:t>
      </w:r>
      <w:r>
        <w:rPr>
          <w:rFonts w:hint="eastAsia" w:ascii="宋体" w:hAnsi="宋体" w:cs="宋体"/>
          <w:b/>
          <w:bCs/>
          <w:sz w:val="21"/>
          <w:szCs w:val="21"/>
          <w:lang w:eastAsia="zh-CN"/>
        </w:rPr>
        <w:t>）</w:t>
      </w:r>
      <w:r>
        <w:rPr>
          <w:rFonts w:ascii="宋体" w:hAnsi="宋体" w:eastAsia="宋体" w:cs="宋体"/>
          <w:b/>
          <w:bCs/>
          <w:sz w:val="21"/>
          <w:szCs w:val="21"/>
        </w:rPr>
        <w:t>一年内到期的非流动负债</w:t>
      </w:r>
      <w:bookmarkEnd w:id="2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30,024,166.67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30,024,166.67</w:t>
            </w:r>
          </w:p>
        </w:tc>
      </w:tr>
    </w:tbl>
    <w:p>
      <w:pPr>
        <w:keepNext/>
        <w:keepLines/>
        <w:spacing w:before="300" w:after="300" w:line="280" w:lineRule="exact"/>
        <w:jc w:val="left"/>
        <w:outlineLvl w:val="2"/>
        <w:rPr>
          <w:rFonts w:ascii="宋体" w:hAnsi="宋体" w:eastAsia="宋体" w:cs="宋体"/>
          <w:b/>
          <w:bCs/>
          <w:sz w:val="21"/>
          <w:szCs w:val="21"/>
        </w:rPr>
      </w:pPr>
      <w:bookmarkStart w:id="237" w:name="_Toc989124"/>
      <w:r>
        <w:rPr>
          <w:rFonts w:hint="eastAsia" w:ascii="宋体" w:hAnsi="宋体" w:cs="宋体"/>
          <w:b/>
          <w:bCs/>
          <w:sz w:val="21"/>
          <w:szCs w:val="21"/>
          <w:lang w:eastAsia="zh-CN"/>
        </w:rPr>
        <w:t>（</w:t>
      </w:r>
      <w:r>
        <w:rPr>
          <w:rFonts w:hint="eastAsia" w:ascii="宋体" w:hAnsi="宋体" w:cs="宋体"/>
          <w:b/>
          <w:bCs/>
          <w:sz w:val="21"/>
          <w:szCs w:val="21"/>
          <w:lang w:val="en-US" w:eastAsia="zh-CN"/>
        </w:rPr>
        <w:t>三十</w:t>
      </w:r>
      <w:r>
        <w:rPr>
          <w:rFonts w:hint="eastAsia" w:ascii="宋体" w:hAnsi="宋体" w:cs="宋体"/>
          <w:b/>
          <w:bCs/>
          <w:sz w:val="21"/>
          <w:szCs w:val="21"/>
          <w:lang w:eastAsia="zh-CN"/>
        </w:rPr>
        <w:t>）</w:t>
      </w:r>
      <w:r>
        <w:rPr>
          <w:rFonts w:ascii="宋体" w:hAnsi="宋体" w:eastAsia="宋体" w:cs="宋体"/>
          <w:b/>
          <w:bCs/>
          <w:sz w:val="21"/>
          <w:szCs w:val="21"/>
        </w:rPr>
        <w:t>其他流动负债</w:t>
      </w:r>
      <w:bookmarkEnd w:id="23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已背书未终止确认的应收票据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39,008,757.81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48,615,719.45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1,077,881.70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874,299.57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40,086,639.51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49,490,019.02</w:t>
            </w:r>
          </w:p>
        </w:tc>
      </w:tr>
    </w:tbl>
    <w:p>
      <w:pPr>
        <w:keepNext/>
        <w:keepLines/>
        <w:spacing w:before="300" w:after="300" w:line="280" w:lineRule="exact"/>
        <w:jc w:val="left"/>
        <w:outlineLvl w:val="2"/>
        <w:rPr>
          <w:rFonts w:ascii="宋体" w:hAnsi="宋体" w:eastAsia="宋体" w:cs="宋体"/>
          <w:b/>
          <w:bCs/>
          <w:sz w:val="21"/>
          <w:szCs w:val="21"/>
        </w:rPr>
      </w:pPr>
      <w:bookmarkStart w:id="238" w:name="_Toc989125"/>
      <w:r>
        <w:rPr>
          <w:rFonts w:hint="eastAsia" w:ascii="宋体" w:hAnsi="宋体" w:cs="宋体"/>
          <w:b/>
          <w:bCs/>
          <w:sz w:val="21"/>
          <w:szCs w:val="21"/>
          <w:lang w:eastAsia="zh-CN"/>
        </w:rPr>
        <w:t>（</w:t>
      </w:r>
      <w:r>
        <w:rPr>
          <w:rFonts w:hint="eastAsia" w:ascii="宋体" w:hAnsi="宋体" w:cs="宋体"/>
          <w:b/>
          <w:bCs/>
          <w:sz w:val="21"/>
          <w:szCs w:val="21"/>
          <w:lang w:val="en-US" w:eastAsia="zh-CN"/>
        </w:rPr>
        <w:t>三十一</w:t>
      </w:r>
      <w:r>
        <w:rPr>
          <w:rFonts w:hint="eastAsia" w:ascii="宋体" w:hAnsi="宋体" w:cs="宋体"/>
          <w:b/>
          <w:bCs/>
          <w:sz w:val="21"/>
          <w:szCs w:val="21"/>
          <w:lang w:eastAsia="zh-CN"/>
        </w:rPr>
        <w:t>）</w:t>
      </w:r>
      <w:r>
        <w:rPr>
          <w:rFonts w:ascii="宋体" w:hAnsi="宋体" w:eastAsia="宋体" w:cs="宋体"/>
          <w:b/>
          <w:bCs/>
          <w:sz w:val="21"/>
          <w:szCs w:val="21"/>
        </w:rPr>
        <w:t>长期应付款</w:t>
      </w:r>
      <w:bookmarkEnd w:id="2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r>
    </w:tbl>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239" w:name="_Toc989126"/>
      <w:r>
        <w:rPr>
          <w:rFonts w:hint="eastAsia" w:ascii="宋体" w:hAnsi="宋体" w:eastAsia="宋体" w:cs="宋体"/>
          <w:b/>
          <w:bCs/>
          <w:sz w:val="21"/>
          <w:szCs w:val="21"/>
          <w:lang w:val="en-US" w:eastAsia="zh-CN"/>
        </w:rPr>
        <w:t>1.按款项性质列示长期应付款</w:t>
      </w:r>
      <w:bookmarkEnd w:id="2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240" w:name="_Toc989127"/>
      <w:r>
        <w:rPr>
          <w:rFonts w:hint="eastAsia" w:ascii="宋体" w:hAnsi="宋体" w:eastAsia="宋体" w:cs="宋体"/>
          <w:b/>
          <w:bCs/>
          <w:sz w:val="21"/>
          <w:szCs w:val="21"/>
          <w:lang w:val="en-US" w:eastAsia="zh-CN"/>
        </w:rPr>
        <w:t>2.专项应付款</w:t>
      </w:r>
      <w:bookmarkEnd w:id="2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研保项目补助资金改资本金注入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国有资本金注入待批复完成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54,310,000.00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2"/>
        <w:rPr>
          <w:rFonts w:ascii="宋体" w:hAnsi="宋体" w:eastAsia="宋体" w:cs="宋体"/>
          <w:b/>
          <w:bCs/>
          <w:sz w:val="21"/>
          <w:szCs w:val="21"/>
        </w:rPr>
      </w:pPr>
      <w:bookmarkStart w:id="241" w:name="_Toc989128"/>
      <w:r>
        <w:rPr>
          <w:rFonts w:hint="eastAsia" w:ascii="宋体" w:hAnsi="宋体" w:cs="宋体"/>
          <w:b/>
          <w:bCs/>
          <w:sz w:val="21"/>
          <w:szCs w:val="21"/>
          <w:lang w:eastAsia="zh-CN"/>
        </w:rPr>
        <w:t>（</w:t>
      </w:r>
      <w:r>
        <w:rPr>
          <w:rFonts w:hint="eastAsia" w:ascii="宋体" w:hAnsi="宋体" w:cs="宋体"/>
          <w:b/>
          <w:bCs/>
          <w:sz w:val="21"/>
          <w:szCs w:val="21"/>
          <w:lang w:val="en-US" w:eastAsia="zh-CN"/>
        </w:rPr>
        <w:t>三十二</w:t>
      </w:r>
      <w:r>
        <w:rPr>
          <w:rFonts w:hint="eastAsia" w:ascii="宋体" w:hAnsi="宋体" w:cs="宋体"/>
          <w:b/>
          <w:bCs/>
          <w:sz w:val="21"/>
          <w:szCs w:val="21"/>
          <w:lang w:eastAsia="zh-CN"/>
        </w:rPr>
        <w:t>）</w:t>
      </w:r>
      <w:r>
        <w:rPr>
          <w:rFonts w:ascii="宋体" w:hAnsi="宋体" w:eastAsia="宋体" w:cs="宋体"/>
          <w:b/>
          <w:bCs/>
          <w:sz w:val="21"/>
          <w:szCs w:val="21"/>
        </w:rPr>
        <w:t>递延收益</w:t>
      </w:r>
      <w:bookmarkEnd w:id="2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67,049,213.96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5,636,537.28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63,812,676.68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67,049,213.96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5,636,537.28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63,812,676.68</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2"/>
        <w:rPr>
          <w:rFonts w:ascii="宋体" w:hAnsi="宋体" w:eastAsia="宋体" w:cs="宋体"/>
          <w:b/>
          <w:bCs/>
          <w:sz w:val="21"/>
          <w:szCs w:val="21"/>
        </w:rPr>
      </w:pPr>
      <w:bookmarkStart w:id="242" w:name="_Toc989129"/>
      <w:r>
        <w:rPr>
          <w:rFonts w:hint="eastAsia" w:ascii="宋体" w:hAnsi="宋体" w:cs="宋体"/>
          <w:b/>
          <w:bCs/>
          <w:sz w:val="21"/>
          <w:szCs w:val="21"/>
          <w:lang w:eastAsia="zh-CN"/>
        </w:rPr>
        <w:t>（</w:t>
      </w:r>
      <w:r>
        <w:rPr>
          <w:rFonts w:hint="eastAsia" w:ascii="宋体" w:hAnsi="宋体" w:cs="宋体"/>
          <w:b/>
          <w:bCs/>
          <w:sz w:val="21"/>
          <w:szCs w:val="21"/>
          <w:lang w:val="en-US" w:eastAsia="zh-CN"/>
        </w:rPr>
        <w:t>三十三</w:t>
      </w:r>
      <w:r>
        <w:rPr>
          <w:rFonts w:hint="eastAsia" w:ascii="宋体" w:hAnsi="宋体" w:cs="宋体"/>
          <w:b/>
          <w:bCs/>
          <w:sz w:val="21"/>
          <w:szCs w:val="21"/>
          <w:lang w:eastAsia="zh-CN"/>
        </w:rPr>
        <w:t>）</w:t>
      </w:r>
      <w:r>
        <w:rPr>
          <w:rFonts w:ascii="宋体" w:hAnsi="宋体" w:eastAsia="宋体" w:cs="宋体"/>
          <w:b/>
          <w:bCs/>
          <w:sz w:val="21"/>
          <w:szCs w:val="21"/>
        </w:rPr>
        <w:t>股本</w:t>
      </w:r>
      <w:bookmarkEnd w:id="2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573,104,819.00</w:t>
            </w:r>
          </w:p>
        </w:tc>
      </w:tr>
    </w:tbl>
    <w:p>
      <w:pPr>
        <w:keepNext/>
        <w:keepLines/>
        <w:spacing w:before="300" w:after="300" w:line="280" w:lineRule="exact"/>
        <w:jc w:val="left"/>
        <w:outlineLvl w:val="2"/>
        <w:rPr>
          <w:rFonts w:ascii="宋体" w:hAnsi="宋体" w:eastAsia="宋体" w:cs="宋体"/>
          <w:b/>
          <w:bCs/>
          <w:sz w:val="21"/>
          <w:szCs w:val="21"/>
        </w:rPr>
      </w:pPr>
      <w:bookmarkStart w:id="243" w:name="_Toc989130"/>
      <w:r>
        <w:rPr>
          <w:rFonts w:hint="eastAsia" w:ascii="宋体" w:hAnsi="宋体" w:cs="宋体"/>
          <w:b/>
          <w:bCs/>
          <w:sz w:val="21"/>
          <w:szCs w:val="21"/>
          <w:lang w:eastAsia="zh-CN"/>
        </w:rPr>
        <w:t>（</w:t>
      </w:r>
      <w:r>
        <w:rPr>
          <w:rFonts w:hint="eastAsia" w:ascii="宋体" w:hAnsi="宋体" w:cs="宋体"/>
          <w:b/>
          <w:bCs/>
          <w:sz w:val="21"/>
          <w:szCs w:val="21"/>
          <w:lang w:val="en-US" w:eastAsia="zh-CN"/>
        </w:rPr>
        <w:t>三十四</w:t>
      </w:r>
      <w:r>
        <w:rPr>
          <w:rFonts w:hint="eastAsia" w:ascii="宋体" w:hAnsi="宋体" w:cs="宋体"/>
          <w:b/>
          <w:bCs/>
          <w:sz w:val="21"/>
          <w:szCs w:val="21"/>
          <w:lang w:eastAsia="zh-CN"/>
        </w:rPr>
        <w:t>）</w:t>
      </w:r>
      <w:r>
        <w:rPr>
          <w:rFonts w:ascii="宋体" w:hAnsi="宋体" w:eastAsia="宋体" w:cs="宋体"/>
          <w:b/>
          <w:bCs/>
          <w:sz w:val="21"/>
          <w:szCs w:val="21"/>
        </w:rPr>
        <w:t>资本公积</w:t>
      </w:r>
      <w:bookmarkEnd w:id="2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1,678,317,226.47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44,466.60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1,678,361,693.07</w:t>
            </w:r>
          </w:p>
        </w:tc>
      </w:tr>
    </w:tbl>
    <w:p>
      <w:pPr>
        <w:keepNext/>
        <w:keepLines/>
        <w:spacing w:before="300" w:after="300" w:line="280" w:lineRule="exact"/>
        <w:jc w:val="left"/>
        <w:outlineLvl w:val="2"/>
        <w:rPr>
          <w:rFonts w:ascii="宋体" w:hAnsi="宋体" w:eastAsia="宋体" w:cs="宋体"/>
          <w:b/>
          <w:bCs/>
          <w:sz w:val="21"/>
          <w:szCs w:val="21"/>
        </w:rPr>
      </w:pPr>
      <w:bookmarkStart w:id="244" w:name="_Toc989131"/>
      <w:r>
        <w:rPr>
          <w:rFonts w:hint="eastAsia" w:ascii="宋体" w:hAnsi="宋体" w:cs="宋体"/>
          <w:b/>
          <w:bCs/>
          <w:sz w:val="21"/>
          <w:szCs w:val="21"/>
          <w:lang w:eastAsia="zh-CN"/>
        </w:rPr>
        <w:t>（</w:t>
      </w:r>
      <w:r>
        <w:rPr>
          <w:rFonts w:hint="eastAsia" w:ascii="宋体" w:hAnsi="宋体" w:cs="宋体"/>
          <w:b/>
          <w:bCs/>
          <w:sz w:val="21"/>
          <w:szCs w:val="21"/>
          <w:lang w:val="en-US" w:eastAsia="zh-CN"/>
        </w:rPr>
        <w:t>三十五</w:t>
      </w:r>
      <w:r>
        <w:rPr>
          <w:rFonts w:hint="eastAsia" w:ascii="宋体" w:hAnsi="宋体" w:cs="宋体"/>
          <w:b/>
          <w:bCs/>
          <w:sz w:val="21"/>
          <w:szCs w:val="21"/>
          <w:lang w:eastAsia="zh-CN"/>
        </w:rPr>
        <w:t>）</w:t>
      </w:r>
      <w:r>
        <w:rPr>
          <w:rFonts w:ascii="宋体" w:hAnsi="宋体" w:eastAsia="宋体" w:cs="宋体"/>
          <w:b/>
          <w:bCs/>
          <w:sz w:val="21"/>
          <w:szCs w:val="21"/>
        </w:rPr>
        <w:t>其他综合收益</w:t>
      </w:r>
      <w:bookmarkEnd w:id="2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4,961,525.86</w:t>
            </w:r>
          </w:p>
        </w:tc>
      </w:tr>
    </w:tbl>
    <w:p>
      <w:pPr>
        <w:keepNext/>
        <w:keepLines/>
        <w:spacing w:before="300" w:after="300" w:line="280" w:lineRule="exact"/>
        <w:jc w:val="left"/>
        <w:outlineLvl w:val="2"/>
        <w:rPr>
          <w:rFonts w:ascii="宋体" w:hAnsi="宋体" w:eastAsia="宋体" w:cs="宋体"/>
          <w:b/>
          <w:bCs/>
          <w:sz w:val="21"/>
          <w:szCs w:val="21"/>
        </w:rPr>
      </w:pPr>
      <w:bookmarkStart w:id="245" w:name="_Toc989132"/>
      <w:r>
        <w:rPr>
          <w:rFonts w:hint="eastAsia" w:ascii="宋体" w:hAnsi="宋体" w:cs="宋体"/>
          <w:b/>
          <w:bCs/>
          <w:sz w:val="21"/>
          <w:szCs w:val="21"/>
          <w:lang w:eastAsia="zh-CN"/>
        </w:rPr>
        <w:t>（</w:t>
      </w:r>
      <w:r>
        <w:rPr>
          <w:rFonts w:hint="eastAsia" w:ascii="宋体" w:hAnsi="宋体" w:cs="宋体"/>
          <w:b/>
          <w:bCs/>
          <w:sz w:val="21"/>
          <w:szCs w:val="21"/>
          <w:lang w:val="en-US" w:eastAsia="zh-CN"/>
        </w:rPr>
        <w:t>三十六</w:t>
      </w:r>
      <w:r>
        <w:rPr>
          <w:rFonts w:hint="eastAsia" w:ascii="宋体" w:hAnsi="宋体" w:cs="宋体"/>
          <w:b/>
          <w:bCs/>
          <w:sz w:val="21"/>
          <w:szCs w:val="21"/>
          <w:lang w:eastAsia="zh-CN"/>
        </w:rPr>
        <w:t>）</w:t>
      </w:r>
      <w:r>
        <w:rPr>
          <w:rFonts w:ascii="宋体" w:hAnsi="宋体" w:eastAsia="宋体" w:cs="宋体"/>
          <w:b/>
          <w:bCs/>
          <w:sz w:val="21"/>
          <w:szCs w:val="21"/>
        </w:rPr>
        <w:t>盈余公积</w:t>
      </w:r>
      <w:bookmarkEnd w:id="2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19,940,955.96</w:t>
            </w:r>
          </w:p>
        </w:tc>
      </w:tr>
    </w:tbl>
    <w:p>
      <w:pPr>
        <w:keepNext/>
        <w:keepLines/>
        <w:spacing w:before="300" w:after="300" w:line="280" w:lineRule="exact"/>
        <w:jc w:val="left"/>
        <w:outlineLvl w:val="2"/>
        <w:rPr>
          <w:rFonts w:ascii="宋体" w:hAnsi="宋体" w:eastAsia="宋体" w:cs="宋体"/>
          <w:b/>
          <w:bCs/>
          <w:sz w:val="21"/>
          <w:szCs w:val="21"/>
        </w:rPr>
      </w:pPr>
      <w:bookmarkStart w:id="246" w:name="_Toc989133"/>
      <w:r>
        <w:rPr>
          <w:rFonts w:hint="eastAsia" w:ascii="宋体" w:hAnsi="宋体" w:cs="宋体"/>
          <w:b/>
          <w:bCs/>
          <w:sz w:val="21"/>
          <w:szCs w:val="21"/>
          <w:lang w:eastAsia="zh-CN"/>
        </w:rPr>
        <w:t>（</w:t>
      </w:r>
      <w:r>
        <w:rPr>
          <w:rFonts w:hint="eastAsia" w:ascii="宋体" w:hAnsi="宋体" w:cs="宋体"/>
          <w:b/>
          <w:bCs/>
          <w:sz w:val="21"/>
          <w:szCs w:val="21"/>
          <w:lang w:val="en-US" w:eastAsia="zh-CN"/>
        </w:rPr>
        <w:t>三十七</w:t>
      </w:r>
      <w:r>
        <w:rPr>
          <w:rFonts w:hint="eastAsia" w:ascii="宋体" w:hAnsi="宋体" w:cs="宋体"/>
          <w:b/>
          <w:bCs/>
          <w:sz w:val="21"/>
          <w:szCs w:val="21"/>
          <w:lang w:eastAsia="zh-CN"/>
        </w:rPr>
        <w:t>）</w:t>
      </w:r>
      <w:r>
        <w:rPr>
          <w:rFonts w:ascii="宋体" w:hAnsi="宋体" w:eastAsia="宋体" w:cs="宋体"/>
          <w:b/>
          <w:bCs/>
          <w:sz w:val="21"/>
          <w:szCs w:val="21"/>
        </w:rPr>
        <w:t>未分配利润</w:t>
      </w:r>
      <w:bookmarkEnd w:id="2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-164,015,929.50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8,461,729.59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-67,229,786.16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加：其他综合收益结转留存收益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6,427,685.98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-216,356,300.09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-224,818,029.68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4)、由于同一控制导致的合并范围变更，影响期初未分配利润0.00元。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5)、其他调整合计影响期初未分配利润0.00元。</w:t>
      </w:r>
    </w:p>
    <w:p>
      <w:pPr>
        <w:keepNext/>
        <w:keepLines/>
        <w:spacing w:before="300" w:after="300" w:line="280" w:lineRule="exact"/>
        <w:jc w:val="left"/>
        <w:outlineLvl w:val="2"/>
        <w:rPr>
          <w:rFonts w:ascii="宋体" w:hAnsi="宋体" w:eastAsia="宋体" w:cs="宋体"/>
          <w:b/>
          <w:bCs/>
          <w:sz w:val="21"/>
          <w:szCs w:val="21"/>
        </w:rPr>
      </w:pPr>
      <w:bookmarkStart w:id="247" w:name="_Toc989134"/>
      <w:r>
        <w:rPr>
          <w:rFonts w:hint="eastAsia" w:ascii="宋体" w:hAnsi="宋体" w:cs="宋体"/>
          <w:b/>
          <w:bCs/>
          <w:sz w:val="21"/>
          <w:szCs w:val="21"/>
          <w:lang w:eastAsia="zh-CN"/>
        </w:rPr>
        <w:t>（</w:t>
      </w:r>
      <w:r>
        <w:rPr>
          <w:rFonts w:hint="eastAsia" w:ascii="宋体" w:hAnsi="宋体" w:cs="宋体"/>
          <w:b/>
          <w:bCs/>
          <w:sz w:val="21"/>
          <w:szCs w:val="21"/>
          <w:lang w:val="en-US" w:eastAsia="zh-CN"/>
        </w:rPr>
        <w:t>三十八</w:t>
      </w:r>
      <w:r>
        <w:rPr>
          <w:rFonts w:hint="eastAsia" w:ascii="宋体" w:hAnsi="宋体" w:cs="宋体"/>
          <w:b/>
          <w:bCs/>
          <w:sz w:val="21"/>
          <w:szCs w:val="21"/>
          <w:lang w:eastAsia="zh-CN"/>
        </w:rPr>
        <w:t>）</w:t>
      </w:r>
      <w:r>
        <w:rPr>
          <w:rFonts w:ascii="宋体" w:hAnsi="宋体" w:eastAsia="宋体" w:cs="宋体"/>
          <w:b/>
          <w:bCs/>
          <w:sz w:val="21"/>
          <w:szCs w:val="21"/>
        </w:rPr>
        <w:t>营业收入和营业成本</w:t>
      </w:r>
      <w:bookmarkEnd w:id="2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383,087,196.33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306,365,250.97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291,323,834.32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246,268,181.24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12,505,412.93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5,570,373.56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10,710,818.81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4,601,513.97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395,592,609.26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311,935,624.53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302,034,653.13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250,869,695.21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4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9"/>
        <w:gridCol w:w="936"/>
        <w:gridCol w:w="1017"/>
        <w:gridCol w:w="983"/>
        <w:gridCol w:w="1009"/>
        <w:gridCol w:w="977"/>
        <w:gridCol w:w="956"/>
        <w:gridCol w:w="1280"/>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9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3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351"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9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2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1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8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28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131,223,392.00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61,109,985.46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高性能硬质合金及其相关材料</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251,863,804.33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245,255,265.51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383,087,196.33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306,365,250.97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1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8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28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362,708,720.67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291,918,584.77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20,378,475.66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14,446,666.20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383,087,196.33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306,365,250.97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1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8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28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131,223,392.00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61,109,985.46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高性能硬质合金及其相关材料</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251,863,804.33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245,255,265.51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383,087,196.33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306,365,250.97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1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8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28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383,087,196.33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306,365,250.97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383,087,196.33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306,365,250.97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1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8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28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383,087,196.33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306,365,250.97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在某一时段内确认</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383,087,196.33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306,365,250.97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1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8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28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93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1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8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09"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9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28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93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1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8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0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5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8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159,965,229.89元，其中，105,245,448.41元预计将于2025年度确认收入，33,527,746.08元预计将于2026年度确认收入，21,192,035.40元预计将于2027年度确认收入。</w:t>
      </w:r>
    </w:p>
    <w:p>
      <w:pPr>
        <w:keepNext/>
        <w:keepLines/>
        <w:spacing w:before="300" w:after="300" w:line="280" w:lineRule="exact"/>
        <w:jc w:val="left"/>
        <w:outlineLvl w:val="2"/>
        <w:rPr>
          <w:rFonts w:ascii="宋体" w:hAnsi="宋体" w:eastAsia="宋体" w:cs="宋体"/>
          <w:b/>
          <w:bCs/>
          <w:sz w:val="21"/>
          <w:szCs w:val="21"/>
        </w:rPr>
      </w:pPr>
      <w:bookmarkStart w:id="248" w:name="_Toc989135"/>
      <w:r>
        <w:rPr>
          <w:rFonts w:hint="eastAsia" w:ascii="宋体" w:hAnsi="宋体" w:cs="宋体"/>
          <w:b/>
          <w:bCs/>
          <w:sz w:val="21"/>
          <w:szCs w:val="21"/>
          <w:lang w:eastAsia="zh-CN"/>
        </w:rPr>
        <w:t>（</w:t>
      </w:r>
      <w:r>
        <w:rPr>
          <w:rFonts w:hint="eastAsia" w:ascii="宋体" w:hAnsi="宋体" w:cs="宋体"/>
          <w:b/>
          <w:bCs/>
          <w:sz w:val="21"/>
          <w:szCs w:val="21"/>
          <w:lang w:val="en-US" w:eastAsia="zh-CN"/>
        </w:rPr>
        <w:t>三十九</w:t>
      </w:r>
      <w:r>
        <w:rPr>
          <w:rFonts w:hint="eastAsia" w:ascii="宋体" w:hAnsi="宋体" w:cs="宋体"/>
          <w:b/>
          <w:bCs/>
          <w:sz w:val="21"/>
          <w:szCs w:val="21"/>
          <w:lang w:eastAsia="zh-CN"/>
        </w:rPr>
        <w:t>）</w:t>
      </w:r>
      <w:r>
        <w:rPr>
          <w:rFonts w:ascii="宋体" w:hAnsi="宋体" w:eastAsia="宋体" w:cs="宋体"/>
          <w:b/>
          <w:bCs/>
          <w:sz w:val="21"/>
          <w:szCs w:val="21"/>
        </w:rPr>
        <w:t>税金及附加</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622,836.76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158,231.18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444,883.40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71,345.16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3,315,170.15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1,952,290.61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1,219,164.98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1,219,164.98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194,776.02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183,961.61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12,049.94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178,339.63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5,808,881.25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3,763,333.17</w:t>
            </w:r>
          </w:p>
        </w:tc>
      </w:tr>
    </w:tbl>
    <w:p>
      <w:pPr>
        <w:keepNext/>
        <w:keepLines/>
        <w:spacing w:before="300" w:after="300" w:line="280" w:lineRule="exact"/>
        <w:jc w:val="left"/>
        <w:outlineLvl w:val="2"/>
        <w:rPr>
          <w:rFonts w:ascii="宋体" w:hAnsi="宋体" w:eastAsia="宋体" w:cs="宋体"/>
          <w:b/>
          <w:bCs/>
          <w:sz w:val="21"/>
          <w:szCs w:val="21"/>
        </w:rPr>
      </w:pPr>
      <w:bookmarkStart w:id="249" w:name="_Toc989136"/>
      <w:r>
        <w:rPr>
          <w:rFonts w:hint="eastAsia" w:ascii="宋体" w:hAnsi="宋体" w:cs="宋体"/>
          <w:b/>
          <w:bCs/>
          <w:sz w:val="21"/>
          <w:szCs w:val="21"/>
          <w:lang w:eastAsia="zh-CN"/>
        </w:rPr>
        <w:t>（</w:t>
      </w:r>
      <w:r>
        <w:rPr>
          <w:rFonts w:hint="eastAsia" w:ascii="宋体" w:hAnsi="宋体" w:cs="宋体"/>
          <w:b/>
          <w:bCs/>
          <w:sz w:val="21"/>
          <w:szCs w:val="21"/>
          <w:lang w:val="en-US" w:eastAsia="zh-CN"/>
        </w:rPr>
        <w:t>四十</w:t>
      </w:r>
      <w:r>
        <w:rPr>
          <w:rFonts w:hint="eastAsia" w:ascii="宋体" w:hAnsi="宋体" w:cs="宋体"/>
          <w:b/>
          <w:bCs/>
          <w:sz w:val="21"/>
          <w:szCs w:val="21"/>
          <w:lang w:eastAsia="zh-CN"/>
        </w:rPr>
        <w:t>）</w:t>
      </w:r>
      <w:r>
        <w:rPr>
          <w:rFonts w:ascii="宋体" w:hAnsi="宋体" w:eastAsia="宋体" w:cs="宋体"/>
          <w:b/>
          <w:bCs/>
          <w:sz w:val="21"/>
          <w:szCs w:val="21"/>
        </w:rPr>
        <w:t>管理费用</w:t>
      </w:r>
      <w:bookmarkEnd w:id="2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16,285,525.24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15,252,262.42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7,109,912.25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5,785,165.72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3,309,146.48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2,762,982.30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1,349,827.74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1,594,212.20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386,692.51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507,088.47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554,973.18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621,849.14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1,181,443.08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1,469,360.85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30,177,520.48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27,992,921.10</w:t>
            </w:r>
          </w:p>
        </w:tc>
      </w:tr>
    </w:tbl>
    <w:p>
      <w:pPr>
        <w:keepNext/>
        <w:keepLines/>
        <w:spacing w:before="300" w:after="300" w:line="280" w:lineRule="exact"/>
        <w:jc w:val="left"/>
        <w:outlineLvl w:val="2"/>
        <w:rPr>
          <w:rFonts w:ascii="宋体" w:hAnsi="宋体" w:eastAsia="宋体" w:cs="宋体"/>
          <w:b/>
          <w:bCs/>
          <w:sz w:val="21"/>
          <w:szCs w:val="21"/>
        </w:rPr>
      </w:pPr>
      <w:bookmarkStart w:id="250" w:name="_Toc989137"/>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四十一</w:t>
      </w:r>
      <w:r>
        <w:rPr>
          <w:rFonts w:hint="eastAsia" w:ascii="宋体" w:hAnsi="宋体" w:eastAsia="宋体" w:cs="宋体"/>
          <w:b/>
          <w:bCs/>
          <w:sz w:val="21"/>
          <w:szCs w:val="21"/>
          <w:lang w:eastAsia="zh-CN"/>
        </w:rPr>
        <w:t>）</w:t>
      </w:r>
      <w:r>
        <w:rPr>
          <w:rFonts w:ascii="宋体" w:hAnsi="宋体" w:eastAsia="宋体" w:cs="宋体"/>
          <w:b/>
          <w:bCs/>
          <w:sz w:val="21"/>
          <w:szCs w:val="21"/>
        </w:rPr>
        <w:t>销售费用</w:t>
      </w:r>
      <w:bookmarkEnd w:id="25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6,679,178.86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4,996,491.94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售后服务费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638,716.71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687,724.65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850,769.14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856,800.14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891,666.36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692,947.79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742,321.41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1,111,974.07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9,802,652.48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8,345,938.59</w:t>
            </w:r>
          </w:p>
        </w:tc>
      </w:tr>
    </w:tbl>
    <w:p>
      <w:pPr>
        <w:keepNext/>
        <w:keepLines/>
        <w:spacing w:before="300" w:after="300" w:line="280" w:lineRule="exact"/>
        <w:jc w:val="left"/>
        <w:outlineLvl w:val="2"/>
        <w:rPr>
          <w:rFonts w:ascii="宋体" w:hAnsi="宋体" w:eastAsia="宋体" w:cs="宋体"/>
          <w:b/>
          <w:bCs/>
          <w:sz w:val="21"/>
          <w:szCs w:val="21"/>
        </w:rPr>
      </w:pPr>
      <w:bookmarkStart w:id="251" w:name="_Toc989138"/>
      <w:r>
        <w:rPr>
          <w:rFonts w:hint="eastAsia" w:ascii="宋体" w:hAnsi="宋体" w:cs="宋体"/>
          <w:b/>
          <w:bCs/>
          <w:sz w:val="21"/>
          <w:szCs w:val="21"/>
          <w:lang w:eastAsia="zh-CN"/>
        </w:rPr>
        <w:t>（</w:t>
      </w:r>
      <w:r>
        <w:rPr>
          <w:rFonts w:hint="eastAsia" w:ascii="宋体" w:hAnsi="宋体" w:cs="宋体"/>
          <w:b/>
          <w:bCs/>
          <w:sz w:val="21"/>
          <w:szCs w:val="21"/>
          <w:lang w:val="en-US" w:eastAsia="zh-CN"/>
        </w:rPr>
        <w:t>四十二</w:t>
      </w:r>
      <w:r>
        <w:rPr>
          <w:rFonts w:hint="eastAsia" w:ascii="宋体" w:hAnsi="宋体" w:cs="宋体"/>
          <w:b/>
          <w:bCs/>
          <w:sz w:val="21"/>
          <w:szCs w:val="21"/>
          <w:lang w:eastAsia="zh-CN"/>
        </w:rPr>
        <w:t>）</w:t>
      </w:r>
      <w:r>
        <w:rPr>
          <w:rFonts w:ascii="宋体" w:hAnsi="宋体" w:eastAsia="宋体" w:cs="宋体"/>
          <w:b/>
          <w:bCs/>
          <w:sz w:val="21"/>
          <w:szCs w:val="21"/>
        </w:rPr>
        <w:t>研发费用</w:t>
      </w:r>
      <w:bookmarkEnd w:id="2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9,577,264.62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5,742,621.92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3,986,774.85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1,598,525.08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9,066,038.43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7,591,041.18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883,990.47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454,974.81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研发测试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633,687.44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683,275.38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1,212,789.86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979,043.85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25,360,545.67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17,049,482.22</w:t>
            </w:r>
          </w:p>
        </w:tc>
      </w:tr>
    </w:tbl>
    <w:p>
      <w:pPr>
        <w:keepNext/>
        <w:keepLines/>
        <w:spacing w:before="300" w:after="300" w:line="280" w:lineRule="exact"/>
        <w:jc w:val="left"/>
        <w:outlineLvl w:val="2"/>
        <w:rPr>
          <w:rFonts w:ascii="宋体" w:hAnsi="宋体" w:eastAsia="宋体" w:cs="宋体"/>
          <w:b/>
          <w:bCs/>
          <w:sz w:val="21"/>
          <w:szCs w:val="21"/>
        </w:rPr>
      </w:pPr>
      <w:bookmarkStart w:id="252" w:name="_Toc989139"/>
      <w:r>
        <w:rPr>
          <w:rFonts w:hint="eastAsia" w:ascii="宋体" w:hAnsi="宋体" w:cs="宋体"/>
          <w:b/>
          <w:bCs/>
          <w:sz w:val="21"/>
          <w:szCs w:val="21"/>
          <w:lang w:eastAsia="zh-CN"/>
        </w:rPr>
        <w:t>（</w:t>
      </w:r>
      <w:r>
        <w:rPr>
          <w:rFonts w:hint="eastAsia" w:ascii="宋体" w:hAnsi="宋体" w:cs="宋体"/>
          <w:b/>
          <w:bCs/>
          <w:sz w:val="21"/>
          <w:szCs w:val="21"/>
          <w:lang w:val="en-US" w:eastAsia="zh-CN"/>
        </w:rPr>
        <w:t>四十三</w:t>
      </w:r>
      <w:r>
        <w:rPr>
          <w:rFonts w:hint="eastAsia" w:ascii="宋体" w:hAnsi="宋体" w:cs="宋体"/>
          <w:b/>
          <w:bCs/>
          <w:sz w:val="21"/>
          <w:szCs w:val="21"/>
          <w:lang w:eastAsia="zh-CN"/>
        </w:rPr>
        <w:t>）</w:t>
      </w:r>
      <w:r>
        <w:rPr>
          <w:rFonts w:ascii="宋体" w:hAnsi="宋体" w:eastAsia="宋体" w:cs="宋体"/>
          <w:b/>
          <w:bCs/>
          <w:sz w:val="21"/>
          <w:szCs w:val="21"/>
        </w:rPr>
        <w:t>财务费用</w:t>
      </w:r>
      <w:bookmarkEnd w:id="2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5,123,935.80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3,512,875.02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减：利息收入（以正数表示）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3,336,239.25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3,543,332.26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加：汇兑损益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-1,410,258.99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21,688.12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94,914.92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70,465.05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票据贴现</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184,008.25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656,360.73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61,695.93</w:t>
            </w:r>
          </w:p>
        </w:tc>
      </w:tr>
    </w:tbl>
    <w:p>
      <w:pPr>
        <w:keepNext/>
        <w:keepLines/>
        <w:spacing w:before="300" w:after="300" w:line="280" w:lineRule="exact"/>
        <w:jc w:val="left"/>
        <w:outlineLvl w:val="2"/>
        <w:rPr>
          <w:rFonts w:ascii="宋体" w:hAnsi="宋体" w:eastAsia="宋体" w:cs="宋体"/>
          <w:b/>
          <w:bCs/>
          <w:sz w:val="21"/>
          <w:szCs w:val="21"/>
        </w:rPr>
      </w:pPr>
      <w:bookmarkStart w:id="253" w:name="_Toc989140"/>
      <w:r>
        <w:rPr>
          <w:rFonts w:hint="eastAsia" w:ascii="宋体" w:hAnsi="宋体" w:cs="宋体"/>
          <w:b/>
          <w:bCs/>
          <w:sz w:val="21"/>
          <w:szCs w:val="21"/>
          <w:lang w:eastAsia="zh-CN"/>
        </w:rPr>
        <w:t>（</w:t>
      </w:r>
      <w:r>
        <w:rPr>
          <w:rFonts w:hint="eastAsia" w:ascii="宋体" w:hAnsi="宋体" w:cs="宋体"/>
          <w:b/>
          <w:bCs/>
          <w:sz w:val="21"/>
          <w:szCs w:val="21"/>
          <w:lang w:val="en-US" w:eastAsia="zh-CN"/>
        </w:rPr>
        <w:t>四十四</w:t>
      </w:r>
      <w:r>
        <w:rPr>
          <w:rFonts w:hint="eastAsia" w:ascii="宋体" w:hAnsi="宋体" w:cs="宋体"/>
          <w:b/>
          <w:bCs/>
          <w:sz w:val="21"/>
          <w:szCs w:val="21"/>
          <w:lang w:eastAsia="zh-CN"/>
        </w:rPr>
        <w:t>）</w:t>
      </w:r>
      <w:r>
        <w:rPr>
          <w:rFonts w:ascii="宋体" w:hAnsi="宋体" w:eastAsia="宋体" w:cs="宋体"/>
          <w:b/>
          <w:bCs/>
          <w:sz w:val="21"/>
          <w:szCs w:val="21"/>
        </w:rPr>
        <w:t>其他收益</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6,875,037.28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7,172,360.21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进项税加计抵减</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1,239,370.75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1,297,391.58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代扣个人所得税手续费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90,368.30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118,569.52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直接减免的增值税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21,829,324.74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8,204,776.33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30,417,646.05</w:t>
            </w:r>
          </w:p>
        </w:tc>
      </w:tr>
    </w:tbl>
    <w:p>
      <w:pPr>
        <w:keepNext/>
        <w:keepLines/>
        <w:spacing w:before="300" w:after="300" w:line="280" w:lineRule="exact"/>
        <w:jc w:val="left"/>
        <w:outlineLvl w:val="2"/>
        <w:rPr>
          <w:rFonts w:ascii="宋体" w:hAnsi="宋体" w:eastAsia="宋体" w:cs="宋体"/>
          <w:b/>
          <w:bCs/>
          <w:sz w:val="21"/>
          <w:szCs w:val="21"/>
        </w:rPr>
      </w:pPr>
      <w:bookmarkStart w:id="254" w:name="_Toc989141"/>
      <w:r>
        <w:rPr>
          <w:rFonts w:hint="eastAsia" w:ascii="宋体" w:hAnsi="宋体" w:cs="宋体"/>
          <w:b/>
          <w:bCs/>
          <w:sz w:val="21"/>
          <w:szCs w:val="21"/>
          <w:lang w:eastAsia="zh-CN"/>
        </w:rPr>
        <w:t>（</w:t>
      </w:r>
      <w:r>
        <w:rPr>
          <w:rFonts w:hint="eastAsia" w:ascii="宋体" w:hAnsi="宋体" w:cs="宋体"/>
          <w:b/>
          <w:bCs/>
          <w:sz w:val="21"/>
          <w:szCs w:val="21"/>
          <w:lang w:val="en-US" w:eastAsia="zh-CN"/>
        </w:rPr>
        <w:t>四十五</w:t>
      </w:r>
      <w:r>
        <w:rPr>
          <w:rFonts w:hint="eastAsia" w:ascii="宋体" w:hAnsi="宋体" w:cs="宋体"/>
          <w:b/>
          <w:bCs/>
          <w:sz w:val="21"/>
          <w:szCs w:val="21"/>
          <w:lang w:eastAsia="zh-CN"/>
        </w:rPr>
        <w:t>）</w:t>
      </w:r>
      <w:r>
        <w:rPr>
          <w:rFonts w:ascii="宋体" w:hAnsi="宋体" w:eastAsia="宋体" w:cs="宋体"/>
          <w:b/>
          <w:bCs/>
          <w:sz w:val="21"/>
          <w:szCs w:val="21"/>
        </w:rPr>
        <w:t>投资收益</w:t>
      </w:r>
      <w:bookmarkEnd w:id="2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-4,232,256.32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-2,403,764.32</w:t>
            </w:r>
          </w:p>
        </w:tc>
      </w:tr>
    </w:tbl>
    <w:p>
      <w:pPr>
        <w:keepNext/>
        <w:keepLines/>
        <w:spacing w:before="300" w:after="300" w:line="280" w:lineRule="exact"/>
        <w:jc w:val="left"/>
        <w:outlineLvl w:val="2"/>
        <w:rPr>
          <w:rFonts w:ascii="宋体" w:hAnsi="宋体" w:eastAsia="宋体" w:cs="宋体"/>
          <w:b/>
          <w:bCs/>
          <w:sz w:val="21"/>
          <w:szCs w:val="21"/>
        </w:rPr>
      </w:pPr>
      <w:bookmarkStart w:id="255" w:name="_Toc989142"/>
      <w:r>
        <w:rPr>
          <w:rFonts w:hint="eastAsia" w:ascii="宋体" w:hAnsi="宋体" w:cs="宋体"/>
          <w:b/>
          <w:bCs/>
          <w:sz w:val="21"/>
          <w:szCs w:val="21"/>
          <w:lang w:eastAsia="zh-CN"/>
        </w:rPr>
        <w:t>（</w:t>
      </w:r>
      <w:r>
        <w:rPr>
          <w:rFonts w:hint="eastAsia" w:ascii="宋体" w:hAnsi="宋体" w:cs="宋体"/>
          <w:b/>
          <w:bCs/>
          <w:sz w:val="21"/>
          <w:szCs w:val="21"/>
          <w:lang w:val="en-US" w:eastAsia="zh-CN"/>
        </w:rPr>
        <w:t>四十六</w:t>
      </w:r>
      <w:r>
        <w:rPr>
          <w:rFonts w:hint="eastAsia" w:ascii="宋体" w:hAnsi="宋体" w:cs="宋体"/>
          <w:b/>
          <w:bCs/>
          <w:sz w:val="21"/>
          <w:szCs w:val="21"/>
          <w:lang w:eastAsia="zh-CN"/>
        </w:rPr>
        <w:t>）</w:t>
      </w:r>
      <w:r>
        <w:rPr>
          <w:rFonts w:ascii="宋体" w:hAnsi="宋体" w:eastAsia="宋体" w:cs="宋体"/>
          <w:b/>
          <w:bCs/>
          <w:sz w:val="21"/>
          <w:szCs w:val="21"/>
        </w:rPr>
        <w:t>信用减值损失</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应收票据坏账损失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-376,597.59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1,980,965.85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-12,236,886.16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523,755.86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-23,773.45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-79,592.93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-12,637,257.20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2,425,128.78</w:t>
            </w:r>
          </w:p>
        </w:tc>
      </w:tr>
    </w:tbl>
    <w:p>
      <w:pPr>
        <w:keepNext/>
        <w:keepLines/>
        <w:spacing w:before="300" w:after="300" w:line="280" w:lineRule="exact"/>
        <w:jc w:val="left"/>
        <w:outlineLvl w:val="2"/>
        <w:rPr>
          <w:rFonts w:ascii="宋体" w:hAnsi="宋体" w:eastAsia="宋体" w:cs="宋体"/>
          <w:b/>
          <w:bCs/>
          <w:sz w:val="21"/>
          <w:szCs w:val="21"/>
        </w:rPr>
      </w:pPr>
      <w:bookmarkStart w:id="256" w:name="_Toc989143"/>
      <w:r>
        <w:rPr>
          <w:rFonts w:hint="eastAsia" w:ascii="宋体" w:hAnsi="宋体" w:cs="宋体"/>
          <w:b/>
          <w:bCs/>
          <w:sz w:val="21"/>
          <w:szCs w:val="21"/>
          <w:lang w:eastAsia="zh-CN"/>
        </w:rPr>
        <w:t>（</w:t>
      </w:r>
      <w:r>
        <w:rPr>
          <w:rFonts w:hint="eastAsia" w:ascii="宋体" w:hAnsi="宋体" w:cs="宋体"/>
          <w:b/>
          <w:bCs/>
          <w:sz w:val="21"/>
          <w:szCs w:val="21"/>
          <w:lang w:val="en-US" w:eastAsia="zh-CN"/>
        </w:rPr>
        <w:t>四十七</w:t>
      </w:r>
      <w:r>
        <w:rPr>
          <w:rFonts w:hint="eastAsia" w:ascii="宋体" w:hAnsi="宋体" w:cs="宋体"/>
          <w:b/>
          <w:bCs/>
          <w:sz w:val="21"/>
          <w:szCs w:val="21"/>
          <w:lang w:eastAsia="zh-CN"/>
        </w:rPr>
        <w:t>）</w:t>
      </w:r>
      <w:r>
        <w:rPr>
          <w:rFonts w:ascii="宋体" w:hAnsi="宋体" w:eastAsia="宋体" w:cs="宋体"/>
          <w:b/>
          <w:bCs/>
          <w:sz w:val="21"/>
          <w:szCs w:val="21"/>
        </w:rPr>
        <w:t>资产减值损失</w:t>
      </w:r>
      <w:bookmarkEnd w:id="2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十一、合同资产减值损失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r>
    </w:tbl>
    <w:p>
      <w:pPr>
        <w:keepNext/>
        <w:keepLines/>
        <w:spacing w:before="300" w:after="300" w:line="280" w:lineRule="exact"/>
        <w:jc w:val="left"/>
        <w:outlineLvl w:val="2"/>
        <w:rPr>
          <w:rFonts w:ascii="宋体" w:hAnsi="宋体" w:eastAsia="宋体" w:cs="宋体"/>
          <w:b/>
          <w:bCs/>
          <w:sz w:val="21"/>
          <w:szCs w:val="21"/>
        </w:rPr>
      </w:pPr>
      <w:bookmarkStart w:id="257" w:name="_Toc989144"/>
      <w:r>
        <w:rPr>
          <w:rFonts w:hint="eastAsia" w:ascii="宋体" w:hAnsi="宋体" w:cs="宋体"/>
          <w:b/>
          <w:bCs/>
          <w:sz w:val="21"/>
          <w:szCs w:val="21"/>
          <w:lang w:eastAsia="zh-CN"/>
        </w:rPr>
        <w:t>（</w:t>
      </w:r>
      <w:r>
        <w:rPr>
          <w:rFonts w:hint="eastAsia" w:ascii="宋体" w:hAnsi="宋体" w:cs="宋体"/>
          <w:b/>
          <w:bCs/>
          <w:sz w:val="21"/>
          <w:szCs w:val="21"/>
          <w:lang w:val="en-US" w:eastAsia="zh-CN"/>
        </w:rPr>
        <w:t>四十八</w:t>
      </w:r>
      <w:r>
        <w:rPr>
          <w:rFonts w:hint="eastAsia" w:ascii="宋体" w:hAnsi="宋体" w:cs="宋体"/>
          <w:b/>
          <w:bCs/>
          <w:sz w:val="21"/>
          <w:szCs w:val="21"/>
          <w:lang w:eastAsia="zh-CN"/>
        </w:rPr>
        <w:t>）</w:t>
      </w:r>
      <w:r>
        <w:rPr>
          <w:rFonts w:ascii="宋体" w:hAnsi="宋体" w:eastAsia="宋体" w:cs="宋体"/>
          <w:b/>
          <w:bCs/>
          <w:sz w:val="21"/>
          <w:szCs w:val="21"/>
        </w:rPr>
        <w:t>资产处置收益</w:t>
      </w:r>
      <w:bookmarkEnd w:id="25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66"/>
        <w:gridCol w:w="3060"/>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3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0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未划分为持有待售的固定资产处置利得</w:t>
            </w:r>
          </w:p>
        </w:tc>
        <w:tc>
          <w:tcPr>
            <w:tcW w:w="306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25,674.06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258" w:name="_Toc989145"/>
      <w:r>
        <w:rPr>
          <w:rFonts w:hint="eastAsia" w:ascii="宋体" w:hAnsi="宋体" w:cs="宋体"/>
          <w:b/>
          <w:bCs/>
          <w:sz w:val="21"/>
          <w:szCs w:val="21"/>
          <w:lang w:eastAsia="zh-CN"/>
        </w:rPr>
        <w:t>（</w:t>
      </w:r>
      <w:r>
        <w:rPr>
          <w:rFonts w:hint="eastAsia" w:ascii="宋体" w:hAnsi="宋体" w:cs="宋体"/>
          <w:b/>
          <w:bCs/>
          <w:sz w:val="21"/>
          <w:szCs w:val="21"/>
          <w:lang w:val="en-US" w:eastAsia="zh-CN"/>
        </w:rPr>
        <w:t>四十九</w:t>
      </w:r>
      <w:r>
        <w:rPr>
          <w:rFonts w:hint="eastAsia" w:ascii="宋体" w:hAnsi="宋体" w:cs="宋体"/>
          <w:b/>
          <w:bCs/>
          <w:sz w:val="21"/>
          <w:szCs w:val="21"/>
          <w:lang w:eastAsia="zh-CN"/>
        </w:rPr>
        <w:t>）</w:t>
      </w:r>
      <w:r>
        <w:rPr>
          <w:rFonts w:ascii="宋体" w:hAnsi="宋体" w:eastAsia="宋体" w:cs="宋体"/>
          <w:b/>
          <w:bCs/>
          <w:sz w:val="21"/>
          <w:szCs w:val="21"/>
        </w:rPr>
        <w:t>营业外收入</w:t>
      </w:r>
      <w:bookmarkEnd w:id="2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129,930.10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60,050.35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600,054.31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60,050.35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78,330.35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729,984.41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78,330.35</w:t>
            </w:r>
          </w:p>
        </w:tc>
      </w:tr>
    </w:tbl>
    <w:p>
      <w:pPr>
        <w:keepNext/>
        <w:keepLines/>
        <w:spacing w:before="300" w:after="300" w:line="280" w:lineRule="exact"/>
        <w:jc w:val="left"/>
        <w:outlineLvl w:val="2"/>
        <w:rPr>
          <w:rFonts w:ascii="宋体" w:hAnsi="宋体" w:eastAsia="宋体" w:cs="宋体"/>
          <w:b/>
          <w:bCs/>
          <w:sz w:val="21"/>
          <w:szCs w:val="21"/>
        </w:rPr>
      </w:pPr>
      <w:bookmarkStart w:id="259" w:name="_Toc989146"/>
      <w:r>
        <w:rPr>
          <w:rFonts w:hint="eastAsia" w:ascii="宋体" w:hAnsi="宋体" w:cs="宋体"/>
          <w:b/>
          <w:bCs/>
          <w:sz w:val="21"/>
          <w:szCs w:val="21"/>
          <w:lang w:eastAsia="zh-CN"/>
        </w:rPr>
        <w:t>（</w:t>
      </w:r>
      <w:r>
        <w:rPr>
          <w:rFonts w:hint="eastAsia" w:ascii="宋体" w:hAnsi="宋体" w:cs="宋体"/>
          <w:b/>
          <w:bCs/>
          <w:sz w:val="21"/>
          <w:szCs w:val="21"/>
          <w:lang w:val="en-US" w:eastAsia="zh-CN"/>
        </w:rPr>
        <w:t>五十</w:t>
      </w:r>
      <w:r>
        <w:rPr>
          <w:rFonts w:hint="eastAsia" w:ascii="宋体" w:hAnsi="宋体" w:cs="宋体"/>
          <w:b/>
          <w:bCs/>
          <w:sz w:val="21"/>
          <w:szCs w:val="21"/>
          <w:lang w:eastAsia="zh-CN"/>
        </w:rPr>
        <w:t>）</w:t>
      </w:r>
      <w:r>
        <w:rPr>
          <w:rFonts w:ascii="宋体" w:hAnsi="宋体" w:eastAsia="宋体" w:cs="宋体"/>
          <w:b/>
          <w:bCs/>
          <w:sz w:val="21"/>
          <w:szCs w:val="21"/>
        </w:rPr>
        <w:t>营业外支出</w:t>
      </w:r>
      <w:bookmarkEnd w:id="2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47,252.90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217,229.29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47,252.90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19,892.72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17,097,059.31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19,892.72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罚款支出</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25,515.58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25,515.58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92,661.20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17,314,288.60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92,661.20</w:t>
            </w:r>
          </w:p>
        </w:tc>
      </w:tr>
    </w:tbl>
    <w:p>
      <w:pPr>
        <w:keepNext/>
        <w:keepLines/>
        <w:spacing w:before="300" w:after="300" w:line="280" w:lineRule="exact"/>
        <w:jc w:val="left"/>
        <w:outlineLvl w:val="2"/>
        <w:rPr>
          <w:rFonts w:ascii="宋体" w:hAnsi="宋体" w:eastAsia="宋体" w:cs="宋体"/>
          <w:b/>
          <w:bCs/>
          <w:sz w:val="21"/>
          <w:szCs w:val="21"/>
        </w:rPr>
      </w:pPr>
      <w:bookmarkStart w:id="260" w:name="_Toc989147"/>
      <w:r>
        <w:rPr>
          <w:rFonts w:hint="eastAsia" w:ascii="宋体" w:hAnsi="宋体" w:cs="宋体"/>
          <w:b/>
          <w:bCs/>
          <w:sz w:val="21"/>
          <w:szCs w:val="21"/>
          <w:lang w:eastAsia="zh-CN"/>
        </w:rPr>
        <w:t>（</w:t>
      </w:r>
      <w:r>
        <w:rPr>
          <w:rFonts w:hint="eastAsia" w:ascii="宋体" w:hAnsi="宋体" w:cs="宋体"/>
          <w:b/>
          <w:bCs/>
          <w:sz w:val="21"/>
          <w:szCs w:val="21"/>
          <w:lang w:val="en-US" w:eastAsia="zh-CN"/>
        </w:rPr>
        <w:t>五十一</w:t>
      </w:r>
      <w:r>
        <w:rPr>
          <w:rFonts w:hint="eastAsia" w:ascii="宋体" w:hAnsi="宋体" w:cs="宋体"/>
          <w:b/>
          <w:bCs/>
          <w:sz w:val="21"/>
          <w:szCs w:val="21"/>
          <w:lang w:eastAsia="zh-CN"/>
        </w:rPr>
        <w:t>）</w:t>
      </w:r>
      <w:r>
        <w:rPr>
          <w:rFonts w:ascii="宋体" w:hAnsi="宋体" w:eastAsia="宋体" w:cs="宋体"/>
          <w:b/>
          <w:bCs/>
          <w:sz w:val="21"/>
          <w:szCs w:val="21"/>
        </w:rPr>
        <w:t>所得税费用</w:t>
      </w:r>
      <w:bookmarkEnd w:id="260"/>
    </w:p>
    <w:p>
      <w:pPr>
        <w:keepNext/>
        <w:keepLines/>
        <w:spacing w:before="300" w:after="300" w:line="280" w:lineRule="exact"/>
        <w:jc w:val="left"/>
        <w:outlineLvl w:val="3"/>
        <w:rPr>
          <w:rFonts w:ascii="宋体" w:hAnsi="宋体" w:eastAsia="宋体" w:cs="宋体"/>
          <w:b/>
          <w:bCs/>
          <w:sz w:val="21"/>
          <w:szCs w:val="21"/>
        </w:rPr>
      </w:pPr>
      <w:bookmarkStart w:id="261" w:name="_Toc989148"/>
      <w:r>
        <w:rPr>
          <w:rFonts w:hint="eastAsia" w:ascii="宋体" w:hAnsi="宋体" w:cs="宋体"/>
          <w:b/>
          <w:bCs/>
          <w:sz w:val="21"/>
          <w:szCs w:val="21"/>
          <w:lang w:val="en-US" w:eastAsia="zh-CN"/>
        </w:rPr>
        <w:t>1.</w:t>
      </w:r>
      <w:r>
        <w:rPr>
          <w:rFonts w:ascii="宋体" w:hAnsi="宋体" w:eastAsia="宋体" w:cs="宋体"/>
          <w:b/>
          <w:bCs/>
          <w:sz w:val="21"/>
          <w:szCs w:val="21"/>
        </w:rPr>
        <w:t>所得税费用表</w:t>
      </w:r>
      <w:bookmarkEnd w:id="2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3,679,640.32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5,909,435.27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-4,162,964.49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-153,955.53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-483,324.17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5,755,479.74</w:t>
            </w:r>
          </w:p>
        </w:tc>
      </w:tr>
    </w:tbl>
    <w:p>
      <w:pPr>
        <w:keepNext/>
        <w:keepLines/>
        <w:spacing w:before="300" w:after="300" w:line="280" w:lineRule="exact"/>
        <w:jc w:val="left"/>
        <w:outlineLvl w:val="3"/>
        <w:rPr>
          <w:rFonts w:ascii="宋体" w:hAnsi="宋体" w:eastAsia="宋体" w:cs="宋体"/>
          <w:b/>
          <w:bCs/>
          <w:sz w:val="21"/>
          <w:szCs w:val="21"/>
        </w:rPr>
      </w:pPr>
      <w:bookmarkStart w:id="262" w:name="_Toc989149"/>
      <w:r>
        <w:rPr>
          <w:rFonts w:hint="eastAsia" w:ascii="宋体" w:hAnsi="宋体" w:cs="宋体"/>
          <w:b/>
          <w:bCs/>
          <w:sz w:val="21"/>
          <w:szCs w:val="21"/>
          <w:lang w:val="en-US" w:eastAsia="zh-CN"/>
        </w:rPr>
        <w:t>2.</w:t>
      </w:r>
      <w:r>
        <w:rPr>
          <w:rFonts w:ascii="宋体" w:hAnsi="宋体" w:eastAsia="宋体" w:cs="宋体"/>
          <w:b/>
          <w:bCs/>
          <w:sz w:val="21"/>
          <w:szCs w:val="21"/>
        </w:rPr>
        <w:t>会计利润与所得税费用调整过程</w:t>
      </w:r>
      <w:bookmarkEnd w:id="2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7,540,733.61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1,131,110.04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-1,614,434.21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-483,324.17</w:t>
            </w:r>
          </w:p>
        </w:tc>
      </w:tr>
    </w:tbl>
    <w:p>
      <w:pPr>
        <w:keepNext/>
        <w:keepLines/>
        <w:spacing w:before="300" w:after="300" w:line="280" w:lineRule="exact"/>
        <w:jc w:val="left"/>
        <w:outlineLvl w:val="2"/>
        <w:rPr>
          <w:rFonts w:ascii="宋体" w:hAnsi="宋体" w:eastAsia="宋体" w:cs="宋体"/>
          <w:b/>
          <w:bCs/>
          <w:sz w:val="21"/>
          <w:szCs w:val="21"/>
        </w:rPr>
      </w:pPr>
      <w:bookmarkStart w:id="263" w:name="_Toc989150"/>
      <w:r>
        <w:rPr>
          <w:rFonts w:hint="eastAsia" w:ascii="宋体" w:hAnsi="宋体" w:cs="宋体"/>
          <w:b/>
          <w:bCs/>
          <w:sz w:val="21"/>
          <w:szCs w:val="21"/>
          <w:lang w:eastAsia="zh-CN"/>
        </w:rPr>
        <w:t>（</w:t>
      </w:r>
      <w:r>
        <w:rPr>
          <w:rFonts w:hint="eastAsia" w:ascii="宋体" w:hAnsi="宋体" w:cs="宋体"/>
          <w:b/>
          <w:bCs/>
          <w:sz w:val="21"/>
          <w:szCs w:val="21"/>
          <w:lang w:val="en-US" w:eastAsia="zh-CN"/>
        </w:rPr>
        <w:t>五十二</w:t>
      </w:r>
      <w:r>
        <w:rPr>
          <w:rFonts w:hint="eastAsia" w:ascii="宋体" w:hAnsi="宋体" w:cs="宋体"/>
          <w:b/>
          <w:bCs/>
          <w:sz w:val="21"/>
          <w:szCs w:val="21"/>
          <w:lang w:eastAsia="zh-CN"/>
        </w:rPr>
        <w:t>）</w:t>
      </w:r>
      <w:r>
        <w:rPr>
          <w:rFonts w:ascii="宋体" w:hAnsi="宋体" w:eastAsia="宋体" w:cs="宋体"/>
          <w:b/>
          <w:bCs/>
          <w:sz w:val="21"/>
          <w:szCs w:val="21"/>
        </w:rPr>
        <w:t>其他综合收益</w:t>
      </w:r>
      <w:bookmarkEnd w:id="263"/>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详见附注“第八节、七、35、其他综合收益”。</w:t>
      </w:r>
    </w:p>
    <w:p>
      <w:pPr>
        <w:keepNext/>
        <w:keepLines/>
        <w:spacing w:before="300" w:after="300" w:line="280" w:lineRule="exact"/>
        <w:jc w:val="left"/>
        <w:outlineLvl w:val="2"/>
        <w:rPr>
          <w:rFonts w:ascii="宋体" w:hAnsi="宋体" w:eastAsia="宋体" w:cs="宋体"/>
          <w:b/>
          <w:bCs/>
          <w:sz w:val="21"/>
          <w:szCs w:val="21"/>
        </w:rPr>
      </w:pPr>
      <w:bookmarkStart w:id="264" w:name="_Toc989151"/>
      <w:r>
        <w:rPr>
          <w:rFonts w:hint="eastAsia" w:ascii="宋体" w:hAnsi="宋体" w:cs="宋体"/>
          <w:b/>
          <w:bCs/>
          <w:sz w:val="21"/>
          <w:szCs w:val="21"/>
          <w:lang w:eastAsia="zh-CN"/>
        </w:rPr>
        <w:t>（</w:t>
      </w:r>
      <w:r>
        <w:rPr>
          <w:rFonts w:hint="eastAsia" w:ascii="宋体" w:hAnsi="宋体" w:cs="宋体"/>
          <w:b/>
          <w:bCs/>
          <w:sz w:val="21"/>
          <w:szCs w:val="21"/>
          <w:lang w:val="en-US" w:eastAsia="zh-CN"/>
        </w:rPr>
        <w:t>五十三</w:t>
      </w:r>
      <w:r>
        <w:rPr>
          <w:rFonts w:hint="eastAsia" w:ascii="宋体" w:hAnsi="宋体" w:cs="宋体"/>
          <w:b/>
          <w:bCs/>
          <w:sz w:val="21"/>
          <w:szCs w:val="21"/>
          <w:lang w:eastAsia="zh-CN"/>
        </w:rPr>
        <w:t>）</w:t>
      </w:r>
      <w:r>
        <w:rPr>
          <w:rFonts w:ascii="宋体" w:hAnsi="宋体" w:eastAsia="宋体" w:cs="宋体"/>
          <w:b/>
          <w:bCs/>
          <w:sz w:val="21"/>
          <w:szCs w:val="21"/>
        </w:rPr>
        <w:t>现金流量表项目</w:t>
      </w:r>
      <w:bookmarkEnd w:id="264"/>
    </w:p>
    <w:p>
      <w:pPr>
        <w:keepNext/>
        <w:keepLines/>
        <w:spacing w:before="300" w:after="300" w:line="280" w:lineRule="exact"/>
        <w:jc w:val="left"/>
        <w:outlineLvl w:val="3"/>
        <w:rPr>
          <w:rFonts w:ascii="宋体" w:hAnsi="宋体" w:eastAsia="宋体" w:cs="宋体"/>
          <w:b/>
          <w:bCs/>
          <w:sz w:val="21"/>
          <w:szCs w:val="21"/>
        </w:rPr>
      </w:pPr>
      <w:bookmarkStart w:id="265" w:name="_Toc989152"/>
      <w:r>
        <w:rPr>
          <w:rFonts w:hint="eastAsia" w:ascii="宋体" w:hAnsi="宋体" w:cs="宋体"/>
          <w:b/>
          <w:bCs/>
          <w:sz w:val="21"/>
          <w:szCs w:val="21"/>
          <w:lang w:val="en-US" w:eastAsia="zh-CN"/>
        </w:rPr>
        <w:t>1.</w:t>
      </w:r>
      <w:r>
        <w:rPr>
          <w:rFonts w:ascii="宋体" w:hAnsi="宋体" w:eastAsia="宋体" w:cs="宋体"/>
          <w:b/>
          <w:bCs/>
          <w:sz w:val="21"/>
          <w:szCs w:val="21"/>
        </w:rPr>
        <w:t>与经营活动有关的现金</w:t>
      </w:r>
      <w:bookmarkEnd w:id="265"/>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2,715,183.47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3,416,862.86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收到往来款、代垫款及保证金等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4,647,330.19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1,990,493.36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营业外收入、其他收益、递延收益的变动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3,417,821.55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2,020,562.62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14,078,141.08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20,198,083.40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24,858,476.29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27,626,002.24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技术开发费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194,174.76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支付往来款及其他付现费用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12,736,905.10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11,670,763.68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经营活动受限保证金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17,891,044.49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7,685,943.75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1,256,288.39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1,182,644.71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2,515,505.54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2,042,063.11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中介费用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1,592,527.09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1,848,888.05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展览及广告宣传费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755,173.81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756,493.80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办公费及会务费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785,777.13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1,496,335.55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37,533,221.55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26,877,307.41</w:t>
            </w:r>
          </w:p>
        </w:tc>
      </w:tr>
    </w:tbl>
    <w:p>
      <w:pPr>
        <w:keepNext/>
        <w:keepLines/>
        <w:spacing w:before="300" w:after="300" w:line="280" w:lineRule="exact"/>
        <w:jc w:val="left"/>
        <w:outlineLvl w:val="3"/>
        <w:rPr>
          <w:rFonts w:ascii="宋体" w:hAnsi="宋体" w:eastAsia="宋体" w:cs="宋体"/>
          <w:b/>
          <w:bCs/>
          <w:sz w:val="21"/>
          <w:szCs w:val="21"/>
        </w:rPr>
      </w:pPr>
      <w:bookmarkStart w:id="266" w:name="_Toc989153"/>
      <w:r>
        <w:rPr>
          <w:rFonts w:hint="eastAsia" w:ascii="宋体" w:hAnsi="宋体" w:cs="宋体"/>
          <w:b/>
          <w:bCs/>
          <w:sz w:val="21"/>
          <w:szCs w:val="21"/>
          <w:lang w:val="en-US" w:eastAsia="zh-CN"/>
        </w:rPr>
        <w:t>2.</w:t>
      </w:r>
      <w:r>
        <w:rPr>
          <w:rFonts w:ascii="宋体" w:hAnsi="宋体" w:eastAsia="宋体" w:cs="宋体"/>
          <w:b/>
          <w:bCs/>
          <w:sz w:val="21"/>
          <w:szCs w:val="21"/>
        </w:rPr>
        <w:t>与投资活动有关的现金</w:t>
      </w:r>
      <w:bookmarkEnd w:id="266"/>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投资活动受限保证金、存单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2,983,421.48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2,983,421.48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收到的重要的与投资活动有关的现金</w:t>
      </w:r>
      <w:r>
        <w:rPr>
          <w:rFonts w:hint="eastAsia" w:ascii="宋体" w:hAnsi="宋体" w:cs="宋体"/>
          <w:sz w:val="18"/>
          <w:szCs w:val="18"/>
          <w:lang w:val="en-US" w:eastAsia="zh-CN"/>
        </w:rPr>
        <w:t xml:space="preserve">                                                                </w:t>
      </w: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购买固定资产收回的信用证保证金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2,983,421.48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2,983,421.48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3,012,969.52</w:t>
            </w:r>
          </w:p>
        </w:tc>
      </w:tr>
    </w:tbl>
    <w:p>
      <w:pPr>
        <w:keepNext/>
        <w:keepLines/>
        <w:spacing w:before="300" w:after="300" w:line="280" w:lineRule="exact"/>
        <w:jc w:val="left"/>
        <w:outlineLvl w:val="3"/>
        <w:rPr>
          <w:rFonts w:ascii="宋体" w:hAnsi="宋体" w:eastAsia="宋体" w:cs="宋体"/>
          <w:b/>
          <w:bCs/>
          <w:sz w:val="21"/>
          <w:szCs w:val="21"/>
        </w:rPr>
      </w:pPr>
      <w:bookmarkStart w:id="267" w:name="_Toc989154"/>
      <w:r>
        <w:rPr>
          <w:rFonts w:hint="eastAsia" w:ascii="宋体" w:hAnsi="宋体" w:cs="宋体"/>
          <w:b/>
          <w:bCs/>
          <w:sz w:val="21"/>
          <w:szCs w:val="21"/>
          <w:lang w:val="en-US" w:eastAsia="zh-CN"/>
        </w:rPr>
        <w:t>3.</w:t>
      </w:r>
      <w:r>
        <w:rPr>
          <w:rFonts w:ascii="宋体" w:hAnsi="宋体" w:eastAsia="宋体" w:cs="宋体"/>
          <w:b/>
          <w:bCs/>
          <w:sz w:val="21"/>
          <w:szCs w:val="21"/>
        </w:rPr>
        <w:t>与筹资活动有关的现金</w:t>
      </w:r>
      <w:bookmarkEnd w:id="267"/>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筹资活动产生的各项负债变动情况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68" w:name="_Toc989155"/>
      <w:r>
        <w:rPr>
          <w:rFonts w:hint="eastAsia" w:ascii="宋体" w:hAnsi="宋体" w:cs="宋体"/>
          <w:b/>
          <w:bCs/>
          <w:sz w:val="21"/>
          <w:szCs w:val="21"/>
          <w:lang w:eastAsia="zh-CN"/>
        </w:rPr>
        <w:t>（</w:t>
      </w:r>
      <w:r>
        <w:rPr>
          <w:rFonts w:hint="eastAsia" w:ascii="宋体" w:hAnsi="宋体" w:cs="宋体"/>
          <w:b/>
          <w:bCs/>
          <w:sz w:val="21"/>
          <w:szCs w:val="21"/>
          <w:lang w:val="en-US" w:eastAsia="zh-CN"/>
        </w:rPr>
        <w:t>五十四</w:t>
      </w:r>
      <w:r>
        <w:rPr>
          <w:rFonts w:hint="eastAsia" w:ascii="宋体" w:hAnsi="宋体" w:cs="宋体"/>
          <w:b/>
          <w:bCs/>
          <w:sz w:val="21"/>
          <w:szCs w:val="21"/>
          <w:lang w:eastAsia="zh-CN"/>
        </w:rPr>
        <w:t>）</w:t>
      </w:r>
      <w:r>
        <w:rPr>
          <w:rFonts w:ascii="宋体" w:hAnsi="宋体" w:eastAsia="宋体" w:cs="宋体"/>
          <w:b/>
          <w:bCs/>
          <w:sz w:val="21"/>
          <w:szCs w:val="21"/>
        </w:rPr>
        <w:t>现金流量表补充资料</w:t>
      </w:r>
      <w:bookmarkEnd w:id="268"/>
    </w:p>
    <w:p>
      <w:pPr>
        <w:keepNext/>
        <w:keepLines/>
        <w:spacing w:before="300" w:after="300" w:line="280" w:lineRule="exact"/>
        <w:jc w:val="left"/>
        <w:outlineLvl w:val="3"/>
        <w:rPr>
          <w:rFonts w:ascii="宋体" w:hAnsi="宋体" w:eastAsia="宋体" w:cs="宋体"/>
          <w:b/>
          <w:bCs/>
          <w:sz w:val="21"/>
          <w:szCs w:val="21"/>
        </w:rPr>
      </w:pPr>
      <w:bookmarkStart w:id="269" w:name="_Toc989156"/>
      <w:r>
        <w:rPr>
          <w:rFonts w:hint="eastAsia" w:ascii="宋体" w:hAnsi="宋体" w:cs="宋体"/>
          <w:b/>
          <w:bCs/>
          <w:sz w:val="21"/>
          <w:szCs w:val="21"/>
          <w:lang w:val="en-US" w:eastAsia="zh-CN"/>
        </w:rPr>
        <w:t>1.</w:t>
      </w:r>
      <w:r>
        <w:rPr>
          <w:rFonts w:ascii="宋体" w:hAnsi="宋体" w:eastAsia="宋体" w:cs="宋体"/>
          <w:b/>
          <w:bCs/>
          <w:sz w:val="21"/>
          <w:szCs w:val="21"/>
        </w:rPr>
        <w:t>现金流量表补充资料</w:t>
      </w:r>
      <w:bookmarkEnd w:id="2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8,024,057.78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2,034,632.62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0" w:lineRule="exact"/>
              <w:ind w:firstLine="360" w:firstLineChars="200"/>
              <w:jc w:val="left"/>
              <w:rPr>
                <w:rFonts w:ascii="仿宋" w:hAnsi="仿宋" w:eastAsia="仿宋" w:cs="仿宋"/>
                <w:sz w:val="21"/>
                <w:szCs w:val="21"/>
              </w:rPr>
            </w:pPr>
            <w:r>
              <w:rPr>
                <w:rFonts w:ascii="宋体" w:hAnsi="宋体" w:eastAsia="宋体" w:cs="宋体"/>
                <w:sz w:val="18"/>
                <w:szCs w:val="18"/>
              </w:rPr>
              <w:t>加：信用减值准备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12,637,257.20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-2,425,128.78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16,180.87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33,266,541.59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32,418,929.86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11,218,656.36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10,554,503.85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1,370,627.19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1,084,549.12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-25,674.06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47,252.90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87,299.19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3,713,676.81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61,695.93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2,403,764.32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-3,940,761.71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68,123.38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-222,202.78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-222,078.91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-12,572,117.84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-47,540,721.19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-83,748,452.73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61,319,718.09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-25,912,985.14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-68,723,584.10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19,303,624.60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37,060,097.57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-36,951,346.98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28,197,981.82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494,192,403.78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442,310,129.79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464,550,942.21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-45,375,952.79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-22,240,812.42</w:t>
            </w:r>
          </w:p>
        </w:tc>
      </w:tr>
    </w:tbl>
    <w:p>
      <w:pPr>
        <w:keepNext/>
        <w:keepLines/>
        <w:spacing w:before="300" w:after="300" w:line="280" w:lineRule="exact"/>
        <w:jc w:val="left"/>
        <w:outlineLvl w:val="3"/>
        <w:rPr>
          <w:rFonts w:ascii="宋体" w:hAnsi="宋体" w:eastAsia="宋体" w:cs="宋体"/>
          <w:b/>
          <w:bCs/>
          <w:sz w:val="21"/>
          <w:szCs w:val="21"/>
        </w:rPr>
      </w:pPr>
      <w:bookmarkStart w:id="270" w:name="_Toc989157"/>
      <w:r>
        <w:rPr>
          <w:rFonts w:hint="eastAsia" w:ascii="宋体" w:hAnsi="宋体" w:cs="宋体"/>
          <w:b/>
          <w:bCs/>
          <w:sz w:val="21"/>
          <w:szCs w:val="21"/>
          <w:lang w:val="en-US" w:eastAsia="zh-CN"/>
        </w:rPr>
        <w:t>2.</w:t>
      </w:r>
      <w:r>
        <w:rPr>
          <w:rFonts w:ascii="宋体" w:hAnsi="宋体" w:eastAsia="宋体" w:cs="宋体"/>
          <w:b/>
          <w:bCs/>
          <w:sz w:val="21"/>
          <w:szCs w:val="21"/>
        </w:rPr>
        <w:t>现金和现金等价物的构成</w:t>
      </w:r>
      <w:bookmarkEnd w:id="27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494,192,403.78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494,192,403.78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494,192,403.78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539,568,356.57</w:t>
            </w:r>
          </w:p>
        </w:tc>
      </w:tr>
    </w:tbl>
    <w:p>
      <w:pPr>
        <w:keepNext/>
        <w:keepLines/>
        <w:spacing w:before="300" w:after="300" w:line="280" w:lineRule="exact"/>
        <w:jc w:val="left"/>
        <w:outlineLvl w:val="3"/>
        <w:rPr>
          <w:rFonts w:ascii="宋体" w:hAnsi="宋体" w:eastAsia="宋体" w:cs="宋体"/>
          <w:b/>
          <w:bCs/>
          <w:sz w:val="21"/>
          <w:szCs w:val="21"/>
        </w:rPr>
      </w:pPr>
      <w:bookmarkStart w:id="271" w:name="_Toc989159"/>
      <w:r>
        <w:rPr>
          <w:rFonts w:hint="eastAsia" w:ascii="宋体" w:hAnsi="宋体" w:cs="宋体"/>
          <w:b/>
          <w:bCs/>
          <w:sz w:val="21"/>
          <w:szCs w:val="21"/>
          <w:lang w:val="en-US" w:eastAsia="zh-CN"/>
        </w:rPr>
        <w:t>3.</w:t>
      </w:r>
      <w:r>
        <w:rPr>
          <w:rFonts w:ascii="宋体" w:hAnsi="宋体" w:eastAsia="宋体" w:cs="宋体"/>
          <w:b/>
          <w:bCs/>
          <w:sz w:val="21"/>
          <w:szCs w:val="21"/>
        </w:rPr>
        <w:t>不属于现金及现金等价物的货币资金</w:t>
      </w:r>
      <w:bookmarkEnd w:id="2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不属于现金及现金等价物的理由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银行承兑汇票保证金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19,069,158.58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8,149,228.64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信用证保证金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3,100,212.12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20,883,950.36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冻结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22,169,370.70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29,033,179.00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2"/>
        <w:rPr>
          <w:rFonts w:ascii="宋体" w:hAnsi="宋体" w:eastAsia="宋体" w:cs="宋体"/>
          <w:b/>
          <w:bCs/>
          <w:sz w:val="21"/>
          <w:szCs w:val="21"/>
        </w:rPr>
      </w:pPr>
      <w:bookmarkStart w:id="272" w:name="_Toc989161"/>
      <w:r>
        <w:rPr>
          <w:rFonts w:hint="eastAsia" w:ascii="宋体" w:hAnsi="宋体" w:cs="宋体"/>
          <w:b/>
          <w:bCs/>
          <w:sz w:val="21"/>
          <w:szCs w:val="21"/>
          <w:lang w:eastAsia="zh-CN"/>
        </w:rPr>
        <w:t>（</w:t>
      </w:r>
      <w:r>
        <w:rPr>
          <w:rFonts w:hint="eastAsia" w:ascii="宋体" w:hAnsi="宋体" w:cs="宋体"/>
          <w:b/>
          <w:bCs/>
          <w:sz w:val="21"/>
          <w:szCs w:val="21"/>
          <w:lang w:val="en-US" w:eastAsia="zh-CN"/>
        </w:rPr>
        <w:t>五十五</w:t>
      </w:r>
      <w:r>
        <w:rPr>
          <w:rFonts w:hint="eastAsia" w:ascii="宋体" w:hAnsi="宋体" w:cs="宋体"/>
          <w:b/>
          <w:bCs/>
          <w:sz w:val="21"/>
          <w:szCs w:val="21"/>
          <w:lang w:eastAsia="zh-CN"/>
        </w:rPr>
        <w:t>）</w:t>
      </w:r>
      <w:r>
        <w:rPr>
          <w:rFonts w:ascii="宋体" w:hAnsi="宋体" w:eastAsia="宋体" w:cs="宋体"/>
          <w:b/>
          <w:bCs/>
          <w:sz w:val="21"/>
          <w:szCs w:val="21"/>
        </w:rPr>
        <w:t>外币货币性项目</w:t>
      </w:r>
      <w:bookmarkEnd w:id="272"/>
    </w:p>
    <w:p>
      <w:pPr>
        <w:keepNext/>
        <w:keepLines/>
        <w:spacing w:before="300" w:after="300" w:line="280" w:lineRule="exact"/>
        <w:jc w:val="left"/>
        <w:outlineLvl w:val="3"/>
        <w:rPr>
          <w:rFonts w:ascii="宋体" w:hAnsi="宋体" w:eastAsia="宋体" w:cs="宋体"/>
          <w:b/>
          <w:bCs/>
          <w:sz w:val="21"/>
          <w:szCs w:val="21"/>
        </w:rPr>
      </w:pPr>
      <w:bookmarkStart w:id="273" w:name="_Toc989162"/>
      <w:r>
        <w:rPr>
          <w:rFonts w:hint="eastAsia" w:ascii="宋体" w:hAnsi="宋体" w:cs="宋体"/>
          <w:b/>
          <w:bCs/>
          <w:sz w:val="21"/>
          <w:szCs w:val="21"/>
          <w:lang w:val="en-US" w:eastAsia="zh-CN"/>
        </w:rPr>
        <w:t>1.</w:t>
      </w:r>
      <w:r>
        <w:rPr>
          <w:rFonts w:ascii="宋体" w:hAnsi="宋体" w:eastAsia="宋体" w:cs="宋体"/>
          <w:b/>
          <w:bCs/>
          <w:sz w:val="21"/>
          <w:szCs w:val="21"/>
        </w:rPr>
        <w:t>外币货币性项目</w:t>
      </w:r>
      <w:bookmarkEnd w:id="2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59,471.26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7.1586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425,730.96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368,967.45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8.4024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3,100,212.12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148,347.76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7.1586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1,061,962.27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1,277,542.03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8.4024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10,734,419.15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74" w:name="_Toc989163"/>
      <w:r>
        <w:rPr>
          <w:rFonts w:hint="eastAsia" w:ascii="宋体" w:hAnsi="宋体" w:cs="宋体"/>
          <w:b/>
          <w:bCs/>
          <w:sz w:val="21"/>
          <w:szCs w:val="21"/>
          <w:lang w:val="en-US" w:eastAsia="zh-CN"/>
        </w:rPr>
        <w:t>2.</w:t>
      </w:r>
      <w:r>
        <w:rPr>
          <w:rFonts w:ascii="宋体" w:hAnsi="宋体" w:eastAsia="宋体" w:cs="宋体"/>
          <w:b/>
          <w:bCs/>
          <w:sz w:val="21"/>
          <w:szCs w:val="21"/>
        </w:rPr>
        <w:t>境外经营实体说明，包括对于重要的境外经营实体，应披露其境外主要经营地、记账本位币及选择依据，记账本位币发生变化的还应披露原因。</w:t>
      </w:r>
      <w:bookmarkEnd w:id="27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75" w:name="_Toc989164"/>
      <w:r>
        <w:rPr>
          <w:rFonts w:hint="eastAsia" w:ascii="宋体" w:hAnsi="宋体" w:cs="宋体"/>
          <w:b/>
          <w:bCs/>
          <w:sz w:val="21"/>
          <w:szCs w:val="21"/>
          <w:lang w:eastAsia="zh-CN"/>
        </w:rPr>
        <w:t>（</w:t>
      </w:r>
      <w:r>
        <w:rPr>
          <w:rFonts w:hint="eastAsia" w:ascii="宋体" w:hAnsi="宋体" w:cs="宋体"/>
          <w:b/>
          <w:bCs/>
          <w:sz w:val="21"/>
          <w:szCs w:val="21"/>
          <w:lang w:val="en-US" w:eastAsia="zh-CN"/>
        </w:rPr>
        <w:t>五十六</w:t>
      </w:r>
      <w:r>
        <w:rPr>
          <w:rFonts w:hint="eastAsia" w:ascii="宋体" w:hAnsi="宋体" w:cs="宋体"/>
          <w:b/>
          <w:bCs/>
          <w:sz w:val="21"/>
          <w:szCs w:val="21"/>
          <w:lang w:eastAsia="zh-CN"/>
        </w:rPr>
        <w:t>）</w:t>
      </w:r>
      <w:r>
        <w:rPr>
          <w:rFonts w:ascii="宋体" w:hAnsi="宋体" w:eastAsia="宋体" w:cs="宋体"/>
          <w:b/>
          <w:bCs/>
          <w:sz w:val="21"/>
          <w:szCs w:val="21"/>
        </w:rPr>
        <w:t>租赁</w:t>
      </w:r>
      <w:bookmarkEnd w:id="275"/>
    </w:p>
    <w:p>
      <w:pPr>
        <w:keepNext/>
        <w:keepLines/>
        <w:spacing w:before="300" w:after="300" w:line="280" w:lineRule="exact"/>
        <w:jc w:val="left"/>
        <w:outlineLvl w:val="3"/>
        <w:rPr>
          <w:rFonts w:ascii="宋体" w:hAnsi="宋体" w:eastAsia="宋体" w:cs="宋体"/>
          <w:b/>
          <w:bCs/>
          <w:sz w:val="21"/>
          <w:szCs w:val="21"/>
        </w:rPr>
      </w:pPr>
      <w:bookmarkStart w:id="276" w:name="_Toc989165"/>
      <w:r>
        <w:rPr>
          <w:rFonts w:hint="eastAsia" w:ascii="宋体" w:hAnsi="宋体" w:cs="宋体"/>
          <w:b/>
          <w:bCs/>
          <w:sz w:val="21"/>
          <w:szCs w:val="21"/>
          <w:lang w:val="en-US" w:eastAsia="zh-CN"/>
        </w:rPr>
        <w:t>1.</w:t>
      </w:r>
      <w:r>
        <w:rPr>
          <w:rFonts w:ascii="宋体" w:hAnsi="宋体" w:eastAsia="宋体" w:cs="宋体"/>
          <w:b/>
          <w:bCs/>
          <w:sz w:val="21"/>
          <w:szCs w:val="21"/>
        </w:rPr>
        <w:t>本公司作为承租方</w:t>
      </w:r>
      <w:bookmarkEnd w:id="27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77" w:name="_Toc989166"/>
      <w:r>
        <w:rPr>
          <w:rFonts w:hint="eastAsia" w:ascii="宋体" w:hAnsi="宋体" w:cs="宋体"/>
          <w:b/>
          <w:bCs/>
          <w:sz w:val="21"/>
          <w:szCs w:val="21"/>
          <w:lang w:val="en-US" w:eastAsia="zh-CN"/>
        </w:rPr>
        <w:t>2.</w:t>
      </w:r>
      <w:r>
        <w:rPr>
          <w:rFonts w:ascii="宋体" w:hAnsi="宋体" w:eastAsia="宋体" w:cs="宋体"/>
          <w:b/>
          <w:bCs/>
          <w:sz w:val="21"/>
          <w:szCs w:val="21"/>
        </w:rPr>
        <w:t>本公司作为出租方</w:t>
      </w:r>
      <w:bookmarkEnd w:id="277"/>
    </w:p>
    <w:p>
      <w:pPr>
        <w:spacing w:before="100" w:after="100" w:line="240" w:lineRule="exact"/>
        <w:jc w:val="left"/>
        <w:rPr>
          <w:rFonts w:ascii="宋体" w:hAnsi="宋体" w:eastAsia="宋体" w:cs="宋体"/>
          <w:sz w:val="18"/>
          <w:szCs w:val="18"/>
        </w:rPr>
      </w:pPr>
      <w:r>
        <w:rPr>
          <w:rFonts w:ascii="宋体" w:hAnsi="宋体" w:eastAsia="宋体" w:cs="宋体"/>
          <w:sz w:val="18"/>
          <w:szCs w:val="18"/>
        </w:rPr>
        <w:t>作为出租人的经营租赁</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租赁收入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其中：未计入租赁收款额的可变租赁付款额相关的收入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经营租赁收入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3,810,023.40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3,810,023.40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作为出租人的融资租赁</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未来五年每年未折现租赁收款额</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642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每年未折现租赁收款额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第一年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7,316,331.18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9,643,091.57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第二年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6,143,094.94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7,754,353.15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第三年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6,078,116.97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6,072,099.96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第四年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5,219,088.44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6,060,099.96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第五年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2,920,237.47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2,834,036.64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五年后未折现租赁收款额总额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27,676,869.00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32,363,681.28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未折现租赁收款额与租赁投资净额的调节表</w:t>
      </w:r>
    </w:p>
    <w:p>
      <w:pPr>
        <w:keepNext/>
        <w:keepLines/>
        <w:spacing w:before="300" w:after="300" w:line="280" w:lineRule="exact"/>
        <w:jc w:val="left"/>
        <w:outlineLvl w:val="3"/>
        <w:rPr>
          <w:rFonts w:ascii="宋体" w:hAnsi="宋体" w:eastAsia="宋体" w:cs="宋体"/>
          <w:b/>
          <w:bCs/>
          <w:sz w:val="21"/>
          <w:szCs w:val="21"/>
        </w:rPr>
      </w:pPr>
      <w:bookmarkStart w:id="278" w:name="_Toc989167"/>
      <w:r>
        <w:rPr>
          <w:rFonts w:hint="eastAsia" w:ascii="宋体" w:hAnsi="宋体" w:cs="宋体"/>
          <w:b/>
          <w:bCs/>
          <w:sz w:val="21"/>
          <w:szCs w:val="21"/>
          <w:lang w:val="en-US" w:eastAsia="zh-CN"/>
        </w:rPr>
        <w:t>3.</w:t>
      </w:r>
      <w:r>
        <w:rPr>
          <w:rFonts w:ascii="宋体" w:hAnsi="宋体" w:eastAsia="宋体" w:cs="宋体"/>
          <w:b/>
          <w:bCs/>
          <w:sz w:val="21"/>
          <w:szCs w:val="21"/>
        </w:rPr>
        <w:t>作为生产商或经销商确认融资租赁销售损益</w:t>
      </w:r>
      <w:bookmarkEnd w:id="27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279" w:name="_Toc989168"/>
      <w:r>
        <w:rPr>
          <w:rFonts w:ascii="宋体" w:hAnsi="宋体" w:eastAsia="宋体" w:cs="宋体"/>
          <w:b/>
          <w:bCs/>
          <w:sz w:val="24"/>
          <w:szCs w:val="24"/>
        </w:rPr>
        <w:t>八、研发支出</w:t>
      </w:r>
      <w:bookmarkEnd w:id="2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人工费用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14,267,735.36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12,705,336.16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折旧和摊销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9,472,716.24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8,594,565.71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研发领料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9,087,238.67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4,602,940.31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水电燃料</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1,127,336.11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875,537.94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研发测试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3,270,358.60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3,642,911.65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2,028,996.91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2,315,878.51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39,254,381.89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32,737,170.28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其中：费用化研发支出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25,360,545.67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17,049,482.22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资本化研发支出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13,893,836.22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15,687,688.06</w:t>
            </w:r>
          </w:p>
        </w:tc>
      </w:tr>
    </w:tbl>
    <w:p>
      <w:pPr>
        <w:keepNext/>
        <w:keepLines/>
        <w:spacing w:before="300" w:after="300" w:line="280" w:lineRule="exact"/>
        <w:jc w:val="left"/>
        <w:outlineLvl w:val="2"/>
        <w:rPr>
          <w:rFonts w:ascii="宋体" w:hAnsi="宋体" w:eastAsia="宋体" w:cs="宋体"/>
          <w:b/>
          <w:bCs/>
          <w:sz w:val="21"/>
          <w:szCs w:val="21"/>
          <w:highlight w:val="none"/>
        </w:rPr>
      </w:pPr>
      <w:bookmarkStart w:id="280" w:name="_Toc989169"/>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一</w:t>
      </w:r>
      <w:r>
        <w:rPr>
          <w:rFonts w:hint="eastAsia" w:ascii="宋体" w:hAnsi="宋体" w:cs="宋体"/>
          <w:b/>
          <w:bCs/>
          <w:sz w:val="21"/>
          <w:szCs w:val="21"/>
          <w:highlight w:val="none"/>
          <w:lang w:eastAsia="zh-CN"/>
        </w:rPr>
        <w:t>）</w:t>
      </w:r>
      <w:r>
        <w:rPr>
          <w:rFonts w:ascii="宋体" w:hAnsi="宋体" w:eastAsia="宋体" w:cs="宋体"/>
          <w:b/>
          <w:bCs/>
          <w:sz w:val="21"/>
          <w:szCs w:val="21"/>
          <w:highlight w:val="none"/>
        </w:rPr>
        <w:t>符合资本化条件的研发项目</w:t>
      </w:r>
      <w:bookmarkEnd w:id="2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25,360,545.67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25,360,545.67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开发支出：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-金属碳化物粉末制备技术（一）</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1,440,924.24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2,177,616.13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644,751.97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2,973,788.40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-军机机轮刹车系统研制（二）</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20,311,438.13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20,311,438.13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-小额开发项目合计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35,695,940.86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11,716,220.09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1,720,722.37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45,691,438.58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57,448,303.23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39,254,381.89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644,751.97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27,081,268.04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68,976,665.11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减：减值准备</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36,855,666.49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39,254,381.89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644,751.97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27,081,268.04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48,384,028.37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重要的资本化研发项目</w:t>
      </w:r>
    </w:p>
    <w:p>
      <w:pPr>
        <w:spacing w:before="0" w:after="0" w:line="0" w:lineRule="exact"/>
        <w:jc w:val="left"/>
      </w:pP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研发进度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预计完成时间</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预计经济利益产生方式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开始资本化的时点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开始资本化的具体依据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开发支出减值准备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减值测试情况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军机机轮刹车系统研制（二）</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20,514,966.84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20,514,966.84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小额开发项目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77,669.90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77,669.90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20,592,636.74</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pageBreakBefore w:val="0"/>
        <w:widowControl w:val="0"/>
        <w:kinsoku/>
        <w:wordWrap/>
        <w:overflowPunct/>
        <w:topLinePunct w:val="0"/>
        <w:autoSpaceDE/>
        <w:autoSpaceDN/>
        <w:bidi w:val="0"/>
        <w:adjustRightInd/>
        <w:snapToGrid/>
        <w:spacing w:before="300" w:line="280" w:lineRule="exact"/>
        <w:jc w:val="left"/>
        <w:textAlignment w:val="auto"/>
        <w:outlineLvl w:val="2"/>
        <w:rPr>
          <w:rFonts w:hint="eastAsia" w:ascii="宋体" w:hAnsi="宋体" w:eastAsia="宋体" w:cs="宋体"/>
          <w:b/>
          <w:bCs/>
          <w:sz w:val="21"/>
          <w:szCs w:val="21"/>
          <w:lang w:eastAsia="zh-CN"/>
        </w:rPr>
      </w:pPr>
      <w:bookmarkStart w:id="281" w:name="_Toc989170"/>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）重要外购在研项目</w:t>
      </w:r>
    </w:p>
    <w:p>
      <w:pPr>
        <w:pStyle w:val="4"/>
        <w:keepNext w:val="0"/>
        <w:keepLines w:val="0"/>
        <w:widowControl/>
        <w:suppressLineNumbers w:val="0"/>
        <w:ind w:firstLine="420" w:firstLineChars="200"/>
        <w:rPr>
          <w:sz w:val="21"/>
          <w:szCs w:val="21"/>
        </w:rPr>
      </w:pPr>
      <w:r>
        <w:rPr>
          <w:rFonts w:hint="eastAsia" w:ascii="宋体" w:hAnsi="宋体" w:eastAsia="宋体" w:cs="宋体"/>
          <w:sz w:val="21"/>
          <w:szCs w:val="21"/>
        </w:rPr>
        <w:t>无。</w:t>
      </w:r>
    </w:p>
    <w:p>
      <w:pPr>
        <w:keepNext/>
        <w:keepLines/>
        <w:spacing w:before="300" w:after="300" w:line="320" w:lineRule="exact"/>
        <w:jc w:val="left"/>
        <w:outlineLvl w:val="1"/>
        <w:rPr>
          <w:rFonts w:ascii="宋体" w:hAnsi="宋体" w:eastAsia="宋体" w:cs="宋体"/>
          <w:b/>
          <w:bCs/>
          <w:sz w:val="24"/>
          <w:szCs w:val="24"/>
        </w:rPr>
      </w:pPr>
      <w:r>
        <w:rPr>
          <w:rFonts w:ascii="宋体" w:hAnsi="宋体" w:eastAsia="宋体" w:cs="宋体"/>
          <w:b/>
          <w:bCs/>
          <w:sz w:val="24"/>
          <w:szCs w:val="24"/>
        </w:rPr>
        <w:t>九、合并范围的变更</w:t>
      </w:r>
      <w:bookmarkEnd w:id="281"/>
    </w:p>
    <w:p>
      <w:pPr>
        <w:pStyle w:val="4"/>
        <w:keepNext w:val="0"/>
        <w:keepLines w:val="0"/>
        <w:widowControl/>
        <w:suppressLineNumbers w:val="0"/>
        <w:spacing w:before="100" w:beforeAutospacing="0" w:after="100" w:afterAutospacing="0"/>
        <w:ind w:left="0" w:right="0" w:firstLine="210"/>
        <w:jc w:val="left"/>
        <w:rPr>
          <w:rFonts w:hint="default" w:ascii="Times New Roman" w:hAnsi="Times New Roman" w:cs="Times New Roman"/>
          <w:sz w:val="24"/>
          <w:szCs w:val="24"/>
        </w:rPr>
      </w:pPr>
      <w:r>
        <w:rPr>
          <w:rFonts w:hint="eastAsia" w:ascii="宋体" w:hAnsi="宋体" w:eastAsia="宋体" w:cs="宋体"/>
          <w:sz w:val="21"/>
          <w:szCs w:val="21"/>
        </w:rPr>
        <w:t>本公司无合并范围发生变化的情况。</w:t>
      </w:r>
    </w:p>
    <w:p>
      <w:pPr>
        <w:keepNext/>
        <w:keepLines/>
        <w:spacing w:before="300" w:after="300" w:line="320" w:lineRule="exact"/>
        <w:jc w:val="left"/>
        <w:outlineLvl w:val="1"/>
        <w:rPr>
          <w:rFonts w:ascii="宋体" w:hAnsi="宋体" w:eastAsia="宋体" w:cs="宋体"/>
          <w:b/>
          <w:bCs/>
          <w:sz w:val="24"/>
          <w:szCs w:val="24"/>
        </w:rPr>
      </w:pPr>
      <w:bookmarkStart w:id="282" w:name="_Toc989172"/>
      <w:r>
        <w:rPr>
          <w:rFonts w:ascii="宋体" w:hAnsi="宋体" w:eastAsia="宋体" w:cs="宋体"/>
          <w:b/>
          <w:bCs/>
          <w:sz w:val="24"/>
          <w:szCs w:val="24"/>
        </w:rPr>
        <w:t>十、在其他主体中的权益</w:t>
      </w:r>
      <w:bookmarkEnd w:id="282"/>
    </w:p>
    <w:p>
      <w:pPr>
        <w:keepNext/>
        <w:keepLines/>
        <w:spacing w:before="300" w:after="300" w:line="280" w:lineRule="exact"/>
        <w:jc w:val="left"/>
        <w:outlineLvl w:val="2"/>
        <w:rPr>
          <w:rFonts w:ascii="宋体" w:hAnsi="宋体" w:eastAsia="宋体" w:cs="宋体"/>
          <w:b/>
          <w:bCs/>
          <w:sz w:val="21"/>
          <w:szCs w:val="21"/>
        </w:rPr>
      </w:pPr>
      <w:bookmarkStart w:id="283" w:name="_Toc989173"/>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在子公司中的权益</w:t>
      </w:r>
      <w:bookmarkEnd w:id="283"/>
    </w:p>
    <w:p>
      <w:pPr>
        <w:keepNext/>
        <w:keepLines/>
        <w:spacing w:before="300" w:after="300" w:line="280" w:lineRule="exact"/>
        <w:jc w:val="left"/>
        <w:outlineLvl w:val="3"/>
        <w:rPr>
          <w:rFonts w:ascii="宋体" w:hAnsi="宋体" w:eastAsia="宋体" w:cs="宋体"/>
          <w:b/>
          <w:bCs/>
          <w:sz w:val="21"/>
          <w:szCs w:val="21"/>
        </w:rPr>
      </w:pPr>
      <w:bookmarkStart w:id="284" w:name="_Toc989174"/>
      <w:r>
        <w:rPr>
          <w:rFonts w:hint="eastAsia" w:ascii="宋体" w:hAnsi="宋体" w:cs="宋体"/>
          <w:b/>
          <w:bCs/>
          <w:sz w:val="21"/>
          <w:szCs w:val="21"/>
          <w:lang w:val="en-US" w:eastAsia="zh-CN"/>
        </w:rPr>
        <w:t>1.</w:t>
      </w:r>
      <w:r>
        <w:rPr>
          <w:rFonts w:ascii="宋体" w:hAnsi="宋体" w:eastAsia="宋体" w:cs="宋体"/>
          <w:b/>
          <w:bCs/>
          <w:sz w:val="21"/>
          <w:szCs w:val="21"/>
        </w:rPr>
        <w:t>企业集团的构成</w:t>
      </w:r>
      <w:bookmarkEnd w:id="2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307,298,955.00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长沙市</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非同一控制下企业合并</w:t>
            </w:r>
          </w:p>
        </w:tc>
      </w:tr>
    </w:tbl>
    <w:p>
      <w:pPr>
        <w:keepNext/>
        <w:keepLines/>
        <w:spacing w:before="300" w:after="300" w:line="280" w:lineRule="exact"/>
        <w:jc w:val="left"/>
        <w:outlineLvl w:val="3"/>
        <w:rPr>
          <w:rFonts w:ascii="宋体" w:hAnsi="宋体" w:eastAsia="宋体" w:cs="宋体"/>
          <w:b/>
          <w:bCs/>
          <w:sz w:val="21"/>
          <w:szCs w:val="21"/>
        </w:rPr>
      </w:pPr>
      <w:bookmarkStart w:id="285" w:name="_Toc989175"/>
      <w:r>
        <w:rPr>
          <w:rFonts w:hint="eastAsia" w:ascii="宋体" w:hAnsi="宋体" w:cs="宋体"/>
          <w:b/>
          <w:bCs/>
          <w:sz w:val="21"/>
          <w:szCs w:val="21"/>
          <w:lang w:val="en-US" w:eastAsia="zh-CN"/>
        </w:rPr>
        <w:t>2.</w:t>
      </w:r>
      <w:r>
        <w:rPr>
          <w:rFonts w:ascii="宋体" w:hAnsi="宋体" w:eastAsia="宋体" w:cs="宋体"/>
          <w:b/>
          <w:bCs/>
          <w:sz w:val="21"/>
          <w:szCs w:val="21"/>
        </w:rPr>
        <w:t>重要的非全资子公司</w:t>
      </w:r>
      <w:bookmarkEnd w:id="2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-437,671.81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21,374,264.14</w:t>
            </w:r>
          </w:p>
        </w:tc>
      </w:tr>
    </w:tbl>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286" w:name="_Toc989176"/>
      <w:r>
        <w:rPr>
          <w:rFonts w:hint="eastAsia" w:ascii="宋体" w:hAnsi="宋体" w:eastAsia="宋体" w:cs="宋体"/>
          <w:b/>
          <w:bCs/>
          <w:sz w:val="21"/>
          <w:szCs w:val="21"/>
          <w:lang w:val="en-US" w:eastAsia="zh-CN"/>
        </w:rPr>
        <w:t>3.重要非全资子公司的主要财务信息</w:t>
      </w:r>
      <w:bookmarkEnd w:id="2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698,603,004.50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664,756,573.19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1,363,359,577.69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604,424,411.90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28,268,970.30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632,693,382.20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668,239,263.20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669,726,228.49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1,337,965,491.69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562,407,870.81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29,953,821.00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592,361,691.81</w:t>
            </w: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215,857,405.01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-14,937,604.39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-14,937,604.39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-14,413,837.17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174,058,320.55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-9,385,624.37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-9,385,624.37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-50,643,292.37</w:t>
            </w:r>
          </w:p>
        </w:tc>
      </w:tr>
    </w:tbl>
    <w:p>
      <w:pPr>
        <w:keepNext/>
        <w:keepLines/>
        <w:spacing w:before="300" w:after="300" w:line="280" w:lineRule="exact"/>
        <w:jc w:val="left"/>
        <w:outlineLvl w:val="2"/>
        <w:rPr>
          <w:rFonts w:ascii="宋体" w:hAnsi="宋体" w:eastAsia="宋体" w:cs="宋体"/>
          <w:b/>
          <w:bCs/>
          <w:sz w:val="21"/>
          <w:szCs w:val="21"/>
        </w:rPr>
      </w:pPr>
      <w:bookmarkStart w:id="287" w:name="_Toc989177"/>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在合营企业或联营企业中的权益</w:t>
      </w:r>
      <w:bookmarkEnd w:id="287"/>
    </w:p>
    <w:p>
      <w:pPr>
        <w:keepNext/>
        <w:keepLines/>
        <w:spacing w:before="300" w:after="300" w:line="280" w:lineRule="exact"/>
        <w:jc w:val="left"/>
        <w:outlineLvl w:val="3"/>
        <w:rPr>
          <w:rFonts w:ascii="宋体" w:hAnsi="宋体" w:eastAsia="宋体" w:cs="宋体"/>
          <w:b/>
          <w:bCs/>
          <w:sz w:val="21"/>
          <w:szCs w:val="21"/>
        </w:rPr>
      </w:pPr>
      <w:bookmarkStart w:id="288" w:name="_Toc989178"/>
      <w:r>
        <w:rPr>
          <w:rFonts w:hint="eastAsia" w:ascii="宋体" w:hAnsi="宋体" w:cs="宋体"/>
          <w:b/>
          <w:bCs/>
          <w:sz w:val="21"/>
          <w:szCs w:val="21"/>
          <w:lang w:val="en-US" w:eastAsia="zh-CN"/>
        </w:rPr>
        <w:t>1.</w:t>
      </w:r>
      <w:r>
        <w:rPr>
          <w:rFonts w:ascii="宋体" w:hAnsi="宋体" w:eastAsia="宋体" w:cs="宋体"/>
          <w:b/>
          <w:bCs/>
          <w:sz w:val="21"/>
          <w:szCs w:val="21"/>
        </w:rPr>
        <w:t>重要的合营企业或联营企业</w:t>
      </w:r>
      <w:bookmarkEnd w:id="288"/>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制造业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权益法</w:t>
            </w:r>
          </w:p>
        </w:tc>
      </w:tr>
    </w:tbl>
    <w:p>
      <w:pPr>
        <w:keepNext/>
        <w:keepLines/>
        <w:spacing w:before="300" w:after="300" w:line="280" w:lineRule="exact"/>
        <w:jc w:val="left"/>
        <w:outlineLvl w:val="3"/>
        <w:rPr>
          <w:rFonts w:ascii="宋体" w:hAnsi="宋体" w:eastAsia="宋体" w:cs="宋体"/>
          <w:b/>
          <w:bCs/>
          <w:sz w:val="21"/>
          <w:szCs w:val="21"/>
        </w:rPr>
      </w:pPr>
      <w:bookmarkStart w:id="289" w:name="_Toc989179"/>
      <w:r>
        <w:rPr>
          <w:rFonts w:hint="eastAsia" w:ascii="宋体" w:hAnsi="宋体" w:cs="宋体"/>
          <w:b/>
          <w:bCs/>
          <w:sz w:val="21"/>
          <w:szCs w:val="21"/>
          <w:lang w:val="en-US" w:eastAsia="zh-CN"/>
        </w:rPr>
        <w:t>2.</w:t>
      </w:r>
      <w:r>
        <w:rPr>
          <w:rFonts w:ascii="宋体" w:hAnsi="宋体" w:eastAsia="宋体" w:cs="宋体"/>
          <w:b/>
          <w:bCs/>
          <w:sz w:val="21"/>
          <w:szCs w:val="21"/>
        </w:rPr>
        <w:t>重要联营企业的主要财务信息</w:t>
      </w:r>
      <w:bookmarkEnd w:id="2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81,765,662.11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85,167,201.77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150,342,405.16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160,655,174.02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232,108,067.27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245,822,375.79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74,444,620.32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71,085,560.52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171,800,475.83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172,251,709.16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246,245,096.15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243,337,269.68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-14,137,028.88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2,485,106.11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-6,927,144.15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1,217,701.99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-1,662,539.43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-1,662,539.43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-1,662,539.43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-1,662,539.43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16,993,969.50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4,940,291.81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-16,622,135.09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-8,655,364.32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-16,622,135.09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-8,655,364.32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90" w:name="_Toc989180"/>
      <w:r>
        <w:rPr>
          <w:rFonts w:hint="eastAsia" w:ascii="宋体" w:hAnsi="宋体" w:cs="宋体"/>
          <w:b/>
          <w:bCs/>
          <w:sz w:val="21"/>
          <w:szCs w:val="21"/>
          <w:lang w:val="en-US" w:eastAsia="zh-CN"/>
        </w:rPr>
        <w:t>3.</w:t>
      </w:r>
      <w:r>
        <w:rPr>
          <w:rFonts w:ascii="宋体" w:hAnsi="宋体" w:eastAsia="宋体" w:cs="宋体"/>
          <w:b/>
          <w:bCs/>
          <w:sz w:val="21"/>
          <w:szCs w:val="21"/>
        </w:rPr>
        <w:t>合营企业或联营企业发生的超额亏损</w:t>
      </w:r>
      <w:bookmarkEnd w:id="2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本期末累积未确认的损失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-444,837.44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-8,144,846.19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-8,589,683.63</w:t>
            </w:r>
          </w:p>
        </w:tc>
      </w:tr>
    </w:tbl>
    <w:p>
      <w:pPr>
        <w:keepNext/>
        <w:keepLines/>
        <w:spacing w:before="300" w:after="300" w:line="320" w:lineRule="exact"/>
        <w:jc w:val="left"/>
        <w:outlineLvl w:val="1"/>
        <w:rPr>
          <w:rFonts w:ascii="宋体" w:hAnsi="宋体" w:eastAsia="宋体" w:cs="宋体"/>
          <w:b/>
          <w:bCs/>
          <w:sz w:val="24"/>
          <w:szCs w:val="24"/>
        </w:rPr>
      </w:pPr>
      <w:bookmarkStart w:id="291" w:name="_Toc989181"/>
      <w:r>
        <w:rPr>
          <w:rFonts w:ascii="宋体" w:hAnsi="宋体" w:eastAsia="宋体" w:cs="宋体"/>
          <w:b/>
          <w:bCs/>
          <w:sz w:val="24"/>
          <w:szCs w:val="24"/>
        </w:rPr>
        <w:t>十一、政府补助</w:t>
      </w:r>
      <w:bookmarkEnd w:id="291"/>
    </w:p>
    <w:p>
      <w:pPr>
        <w:keepNext/>
        <w:keepLines/>
        <w:spacing w:before="300" w:after="300" w:line="280" w:lineRule="exact"/>
        <w:jc w:val="left"/>
        <w:outlineLvl w:val="2"/>
        <w:rPr>
          <w:rFonts w:ascii="宋体" w:hAnsi="宋体" w:eastAsia="宋体" w:cs="宋体"/>
          <w:b/>
          <w:bCs/>
          <w:sz w:val="21"/>
          <w:szCs w:val="21"/>
        </w:rPr>
      </w:pPr>
      <w:bookmarkStart w:id="292" w:name="_Toc989182"/>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报告期末按应收金额确认的政府补助</w:t>
      </w:r>
      <w:bookmarkEnd w:id="29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未能在预计时点收到预计金额的政府补助的原因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93" w:name="_Toc989183"/>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涉及政府补助的负债项目</w:t>
      </w:r>
      <w:bookmarkEnd w:id="293"/>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本期转入其他收益金额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本期其他变动</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9,024,762.01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8,868,698.45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国家炭/炭复合材料工程技术研究中心项目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1,075,000.00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925,000.00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305吨高性能碳/碳复合材料研发与产业化项目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4,798,839.72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939,423.84</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3,859,415.88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湘江新区经济发展局-第四批中央专项资金</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6,592,988.72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358,233.48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6,234,755.24</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大批量高密度碳/碳刹车材料制备关键技术研究与应用</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湖南省企业科技创新创业团队支持计划</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166,666.67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333,333.34</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333,333.33</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28,755,457.36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1,684,850.70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27,070,606.66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湖南省重大科技专项</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2,002,655.09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2,002,655.09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2021年智能化改造项目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6,015,069.42</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516,583.98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5,498,485.44</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军民融合产业发展项目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5,877,274.97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400,048.38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5,477,226.59</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2018年金属碳化物车间建设项目支持资金</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2,137,500.00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2,062,500.00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2024年湖南省JMRH产业发展专项</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大飞机地面动力学试验平台试验能力提升项目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67,049,213.96</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5,636,537.28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63,812,676.68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pageBreakBefore w:val="0"/>
        <w:widowControl w:val="0"/>
        <w:kinsoku/>
        <w:wordWrap/>
        <w:overflowPunct/>
        <w:topLinePunct w:val="0"/>
        <w:autoSpaceDE/>
        <w:autoSpaceDN/>
        <w:bidi w:val="0"/>
        <w:adjustRightInd/>
        <w:snapToGrid/>
        <w:spacing w:before="420" w:after="300" w:line="280" w:lineRule="exact"/>
        <w:jc w:val="left"/>
        <w:textAlignment w:val="auto"/>
        <w:outlineLvl w:val="2"/>
        <w:rPr>
          <w:rFonts w:ascii="宋体" w:hAnsi="宋体" w:eastAsia="宋体" w:cs="宋体"/>
          <w:b/>
          <w:bCs/>
          <w:sz w:val="21"/>
          <w:szCs w:val="21"/>
        </w:rPr>
      </w:pPr>
      <w:bookmarkStart w:id="294" w:name="_Toc989184"/>
      <w:r>
        <w:rPr>
          <w:rFonts w:hint="eastAsia" w:ascii="宋体" w:hAnsi="宋体" w:cs="宋体"/>
          <w:b/>
          <w:bCs/>
          <w:sz w:val="21"/>
          <w:szCs w:val="21"/>
          <w:lang w:eastAsia="zh-CN"/>
        </w:rPr>
        <w:t>（</w:t>
      </w:r>
      <w:r>
        <w:rPr>
          <w:rFonts w:hint="eastAsia" w:ascii="宋体" w:hAnsi="宋体" w:cs="宋体"/>
          <w:b/>
          <w:bCs/>
          <w:sz w:val="21"/>
          <w:szCs w:val="21"/>
          <w:lang w:val="en-US" w:eastAsia="zh-CN"/>
        </w:rPr>
        <w:t>三</w:t>
      </w:r>
      <w:r>
        <w:rPr>
          <w:rFonts w:hint="eastAsia" w:ascii="宋体" w:hAnsi="宋体" w:cs="宋体"/>
          <w:b/>
          <w:bCs/>
          <w:sz w:val="21"/>
          <w:szCs w:val="21"/>
          <w:lang w:eastAsia="zh-CN"/>
        </w:rPr>
        <w:t>）</w:t>
      </w:r>
      <w:r>
        <w:rPr>
          <w:rFonts w:ascii="宋体" w:hAnsi="宋体" w:eastAsia="宋体" w:cs="宋体"/>
          <w:b/>
          <w:bCs/>
          <w:sz w:val="21"/>
          <w:szCs w:val="21"/>
        </w:rPr>
        <w:t>计入当期损益的政府补助</w:t>
      </w:r>
      <w:bookmarkEnd w:id="294"/>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549"/>
        <w:gridCol w:w="2877"/>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会计科目</w:t>
            </w:r>
          </w:p>
        </w:tc>
        <w:tc>
          <w:tcPr>
            <w:tcW w:w="2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国产炭纤维增强、低成本、高性能炭/炭复合材料产业化项目</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财务局305吨高性能碳/碳复合材料研发与产业化项目</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939,423.84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808,575.78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C/C复合材料技术产业化项目专项资金</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156,063.56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大批量高密度碳/碳刹车材料制备关键技术研究与应用</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603,000.00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湘江新区经济发展局-第四批中央专项资金</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358,233.48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266,580.16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收到2022年度湖南省工业企业技术改造经济贡献增量奖补资金</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663,700.00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收到湘江新区2022年度支持企业开展标准化建设补助</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高效精密硬质合金工模具与高强韧性特粗晶硬质合金掘进刀具麓谷基地产业化项目设备</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1,684,850.70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3,255,056.88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高新技术企业奖补</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2024年度第一批创新型省份建设专项资金+创新创业大赛资金</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军民融合产业专项发展资金</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400,048.38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448,616.34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智能化改造项目</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516,583.98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574,267.49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扩岗补贴</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2018年金属碳化物车间建设项目支持资金</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低烧结敏感性纳米碳化钨粉末制备项目款</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2024年湖南省JMRH产业发展专项</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收专精特新小巨人补贴</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湖南省企业科技创新创业团队支持计划</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333,333.34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大型固体运载火箭发动机喷管用碳/碳喉衬材料制备关键技术</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8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6,875,037.28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7,172,360.21</w:t>
            </w:r>
          </w:p>
        </w:tc>
      </w:tr>
    </w:tbl>
    <w:p>
      <w:pPr>
        <w:keepNext/>
        <w:keepLines/>
        <w:spacing w:before="300" w:after="300" w:line="320" w:lineRule="exact"/>
        <w:jc w:val="left"/>
        <w:outlineLvl w:val="1"/>
        <w:rPr>
          <w:rFonts w:ascii="宋体" w:hAnsi="宋体" w:eastAsia="宋体" w:cs="宋体"/>
          <w:b/>
          <w:bCs/>
          <w:sz w:val="24"/>
          <w:szCs w:val="24"/>
        </w:rPr>
      </w:pPr>
      <w:bookmarkStart w:id="295" w:name="_Toc989185"/>
      <w:r>
        <w:rPr>
          <w:rFonts w:ascii="宋体" w:hAnsi="宋体" w:eastAsia="宋体" w:cs="宋体"/>
          <w:b/>
          <w:bCs/>
          <w:sz w:val="24"/>
          <w:szCs w:val="24"/>
        </w:rPr>
        <w:t>十二、与金融工具相关的风险</w:t>
      </w:r>
      <w:bookmarkEnd w:id="295"/>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本公司报告期的金融工具，金融资产主要为因经营而直接产生的贷款与应收款项，如货币资金、应收票据、应收账款、其他应收款等；金融负债主要为因经营而直接产生的其他金融负债，如应付票据、应付账款、长短期借款等。这些金融工具的主要目的在于为本公司的运营融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本公司的金融工具导致的主要风险主要包括信用风险、流动风险及市场风险。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（1）信用风险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本公司的金融资产主要为货币资金、应收票据、应收账款、其他应收款、交易性金融资产。信用风险主要来源于客户等未能如期偿付的应收款项，最大的风险敞口等于这些金融工具的账面金额。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1）信用风险显著增加判断标准：</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本公司在每个资产负债表日评估相关金融工具的信用风险自初始确认后是否已显著增加。</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当触发以下一个或多个定量、定性标准时，本公司认为金融工具的信用风险已发生显著增加：</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①</w:t>
      </w:r>
      <w:r>
        <w:rPr>
          <w:rFonts w:hint="eastAsia" w:ascii="宋体" w:hAnsi="宋体" w:eastAsia="宋体" w:cs="宋体"/>
          <w:color w:val="000000"/>
          <w:sz w:val="21"/>
          <w:szCs w:val="21"/>
        </w:rPr>
        <w:t>定量标准主要为报告日剩余存续期违约概率较初始确认时上升超过100%。</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②</w:t>
      </w:r>
      <w:r>
        <w:rPr>
          <w:rFonts w:hint="eastAsia" w:ascii="宋体" w:hAnsi="宋体" w:eastAsia="宋体" w:cs="宋体"/>
          <w:color w:val="000000"/>
          <w:sz w:val="21"/>
          <w:szCs w:val="21"/>
        </w:rPr>
        <w:t>定性标准主要债务人经营或财务情况出现重大不利变化、预警客户清单等。</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2）已发生信用减值资产的定义：</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为确定是否发生信用减值，本公司所采用的界定标准，与内部针对相关金融工具的信用风险管理目标保持一致，同时考虑定量、定性指标。本公司评估债务人是否发生信用减值时，主要考虑以下因素：</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①</w:t>
      </w:r>
      <w:r>
        <w:rPr>
          <w:rFonts w:hint="eastAsia" w:ascii="宋体" w:hAnsi="宋体" w:eastAsia="宋体" w:cs="宋体"/>
          <w:color w:val="000000"/>
          <w:sz w:val="21"/>
          <w:szCs w:val="21"/>
        </w:rPr>
        <w:t>发行方或债务人发生重大财务困难；</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②</w:t>
      </w:r>
      <w:r>
        <w:rPr>
          <w:rFonts w:hint="eastAsia" w:ascii="宋体" w:hAnsi="宋体" w:eastAsia="宋体" w:cs="宋体"/>
          <w:color w:val="000000"/>
          <w:sz w:val="21"/>
          <w:szCs w:val="21"/>
        </w:rPr>
        <w:t>债务人违反合同，如偿付利息或本金违约或逾期等；</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③</w:t>
      </w:r>
      <w:r>
        <w:rPr>
          <w:rFonts w:hint="eastAsia" w:ascii="宋体" w:hAnsi="宋体" w:eastAsia="宋体" w:cs="宋体"/>
          <w:color w:val="000000"/>
          <w:sz w:val="21"/>
          <w:szCs w:val="21"/>
        </w:rPr>
        <w:t>债权人出于与债务人财务困难有关的经济或合同考虑，给予债务人在任何其他情况下都不会做出的让步；</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④</w:t>
      </w:r>
      <w:r>
        <w:rPr>
          <w:rFonts w:hint="eastAsia" w:ascii="宋体" w:hAnsi="宋体" w:eastAsia="宋体" w:cs="宋体"/>
          <w:color w:val="000000"/>
          <w:sz w:val="21"/>
          <w:szCs w:val="21"/>
        </w:rPr>
        <w:t>债务人很可能破产或进行其他财务重组；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⑤</w:t>
      </w:r>
      <w:r>
        <w:rPr>
          <w:rFonts w:hint="eastAsia" w:ascii="宋体" w:hAnsi="宋体" w:eastAsia="宋体" w:cs="宋体"/>
          <w:color w:val="000000"/>
          <w:sz w:val="21"/>
          <w:szCs w:val="21"/>
        </w:rPr>
        <w:t>发行方或债务人财务困难导致该金融资产的活跃市场消失；</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⑥</w:t>
      </w:r>
      <w:r>
        <w:rPr>
          <w:rFonts w:hint="eastAsia" w:ascii="宋体" w:hAnsi="宋体" w:eastAsia="宋体" w:cs="宋体"/>
          <w:color w:val="000000"/>
          <w:sz w:val="21"/>
          <w:szCs w:val="21"/>
        </w:rPr>
        <w:t>以大幅折扣购买或源生一项金融资产，该折扣反映了发生信用损失的事实；</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金融资产发生信用减值，有可能是多个事件的共同作用所致，未必是可单独识别的事件所致。</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3）预期信用损失计量的参数</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根据信用风险是否发生显著增加以及是否已发生信用减值，本公司对不同的资产分别以12 个月或整个存续期的预期信用损失计量减值准备。预期信用损失计量的关键参数包括违约损失率和违约风险敞口。本公司考虑历史统计数据(回款期限以及还款方式等)的定量分析及前瞻性信息，建立违约概率、违约损失率及违约风险敞口的违约损失率模型。</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相关定义如下：</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①</w:t>
      </w:r>
      <w:r>
        <w:rPr>
          <w:rFonts w:hint="eastAsia" w:ascii="宋体" w:hAnsi="宋体" w:eastAsia="宋体" w:cs="宋体"/>
          <w:color w:val="000000"/>
          <w:sz w:val="21"/>
          <w:szCs w:val="21"/>
        </w:rPr>
        <w:t>违约概率是指债务人在未来12个月或在整个剩余存续期，无法履行其偿付义务的可能性。本公司的违约概率以应收款项历史迁移率模型为基础且考虑业绩增长因素进行调整，加入前瞻性信息，以反映当前宏观经济环境下债务人违约概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②</w:t>
      </w:r>
      <w:r>
        <w:rPr>
          <w:rFonts w:hint="eastAsia" w:ascii="宋体" w:hAnsi="宋体" w:eastAsia="宋体" w:cs="宋体"/>
          <w:color w:val="000000"/>
          <w:sz w:val="21"/>
          <w:szCs w:val="21"/>
        </w:rPr>
        <w:t>违约损失率是指本公司对违约风险暴露发生损失程度作出的预期。违约损失率为违约发生时风险敞口损失的百分比，以未来12个月内或整个存续期为基准进行计算；</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default" w:ascii="Times New Roman" w:hAnsi="Times New Roman" w:eastAsia="宋体" w:cs="Times New Roman"/>
          <w:sz w:val="21"/>
          <w:szCs w:val="21"/>
        </w:rPr>
        <w:t>③</w:t>
      </w:r>
      <w:r>
        <w:rPr>
          <w:rFonts w:hint="eastAsia" w:ascii="宋体" w:hAnsi="宋体" w:eastAsia="宋体" w:cs="宋体"/>
          <w:color w:val="000000"/>
          <w:sz w:val="21"/>
          <w:szCs w:val="21"/>
        </w:rPr>
        <w:t>违约风险敞口是指，在未来12个月或在整个剩余存续期中，在违约发生时，本公司应被偿付的金额。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前瞻性信息</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信用风险显著增加的评估及预期信用损失的计算均涉及前瞻性信息。本公司通过进行历史数据分析，识别出影响各业务类型信用风险及预期信用损失的关键经济指标。</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本公司的货币资金主要为银行存款、保证金性质的其他货币资金，主要存放于在国内A股上市的部分商业银行；应收票据主要为银行承兑汇票；交易性金融资产为购买银行的理财产品。本公司管理层认为上述金融资产不存在重大的信用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 xml:space="preserve">本公司应收账款主要为飞机刹车材料、军用及民用CC复合材料和粉末冶金材料销售形成的应收账款，其中：飞机刹车材料和军用CC复合材料销售客户，主要为国内航空公司、部队等军方和军工产品配套企业等，相应主要客户较为稳定且优质，报告期末，本公司管理层根据公司坏账准备计提政策，合理的计提了坏账准备。本公司管理层认为，上述应收账款不存在重大信用风险。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本公司其他应收款，主要为企业往来款、备用金等，已根据公司相应坏账准备计提政策，合理的计提了减值准备，本公司管理层认为，其他应收款所产生的信用风险是可控的。</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（2）流动性风险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本公司采用循环流动性计划工具管理资金短缺风险。该工具既考虑其金融工具的到期日，也考虑本公司运营产生的预计现金流量。</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金融负债按未折现的合同现金流量所做的到期期限分析</w:t>
      </w:r>
    </w:p>
    <w:tbl>
      <w:tblPr>
        <w:tblStyle w:val="5"/>
        <w:tblW w:w="457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35"/>
        <w:gridCol w:w="1689"/>
        <w:gridCol w:w="1443"/>
        <w:gridCol w:w="2096"/>
        <w:gridCol w:w="15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项目</w:t>
            </w:r>
          </w:p>
        </w:tc>
        <w:tc>
          <w:tcPr>
            <w:tcW w:w="3760" w:type="pct"/>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期末余额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3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年以内</w:t>
            </w:r>
          </w:p>
        </w:tc>
        <w:tc>
          <w:tcPr>
            <w:tcW w:w="8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年以上</w:t>
            </w:r>
          </w:p>
        </w:tc>
        <w:tc>
          <w:tcPr>
            <w:tcW w:w="11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未折现合同金额合计</w:t>
            </w:r>
          </w:p>
        </w:tc>
        <w:tc>
          <w:tcPr>
            <w:tcW w:w="86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账面价值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短期借款</w:t>
            </w:r>
          </w:p>
        </w:tc>
        <w:tc>
          <w:tcPr>
            <w:tcW w:w="9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bookmarkStart w:id="296" w:name="OLE_LINK5"/>
            <w:r>
              <w:rPr>
                <w:rFonts w:hint="default" w:ascii="Times New Roman" w:hAnsi="Times New Roman" w:cs="Times New Roman"/>
                <w:color w:val="000000"/>
                <w:sz w:val="18"/>
                <w:szCs w:val="18"/>
              </w:rPr>
              <w:t>396,967,850.00</w:t>
            </w:r>
            <w:bookmarkEnd w:id="296"/>
          </w:p>
        </w:tc>
        <w:tc>
          <w:tcPr>
            <w:tcW w:w="8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1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396,967,850.00 </w:t>
            </w:r>
          </w:p>
        </w:tc>
        <w:tc>
          <w:tcPr>
            <w:tcW w:w="86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386,500,000.00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应付票据</w:t>
            </w:r>
          </w:p>
        </w:tc>
        <w:tc>
          <w:tcPr>
            <w:tcW w:w="9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132,038,893.46 </w:t>
            </w:r>
          </w:p>
        </w:tc>
        <w:tc>
          <w:tcPr>
            <w:tcW w:w="8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1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132,038,893.46 </w:t>
            </w:r>
          </w:p>
        </w:tc>
        <w:tc>
          <w:tcPr>
            <w:tcW w:w="86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132,038,893.46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应付账款</w:t>
            </w:r>
          </w:p>
        </w:tc>
        <w:tc>
          <w:tcPr>
            <w:tcW w:w="9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151,666,807.12 </w:t>
            </w:r>
          </w:p>
        </w:tc>
        <w:tc>
          <w:tcPr>
            <w:tcW w:w="8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18,067,247.01 </w:t>
            </w:r>
          </w:p>
        </w:tc>
        <w:tc>
          <w:tcPr>
            <w:tcW w:w="11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169,734,054.13 </w:t>
            </w:r>
          </w:p>
        </w:tc>
        <w:tc>
          <w:tcPr>
            <w:tcW w:w="86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169,734,054.13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其他应付款</w:t>
            </w:r>
          </w:p>
        </w:tc>
        <w:tc>
          <w:tcPr>
            <w:tcW w:w="9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6,347,074.78 </w:t>
            </w:r>
          </w:p>
        </w:tc>
        <w:tc>
          <w:tcPr>
            <w:tcW w:w="8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1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6,347,074.78 </w:t>
            </w:r>
          </w:p>
        </w:tc>
        <w:tc>
          <w:tcPr>
            <w:tcW w:w="86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6,347,074.78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其他流动负债</w:t>
            </w:r>
          </w:p>
        </w:tc>
        <w:tc>
          <w:tcPr>
            <w:tcW w:w="9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40,086,639.51 </w:t>
            </w:r>
          </w:p>
        </w:tc>
        <w:tc>
          <w:tcPr>
            <w:tcW w:w="8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1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40,086,639.51 </w:t>
            </w:r>
          </w:p>
        </w:tc>
        <w:tc>
          <w:tcPr>
            <w:tcW w:w="86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40,086,639.51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一年内到期的非流动负债</w:t>
            </w:r>
          </w:p>
        </w:tc>
        <w:tc>
          <w:tcPr>
            <w:tcW w:w="9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bookmarkStart w:id="297" w:name="OLE_LINK6"/>
            <w:r>
              <w:rPr>
                <w:rFonts w:hint="default" w:ascii="Times New Roman" w:hAnsi="Times New Roman" w:cs="Times New Roman"/>
                <w:color w:val="000000"/>
                <w:sz w:val="18"/>
                <w:szCs w:val="18"/>
              </w:rPr>
              <w:t xml:space="preserve">30,736,216.67 </w:t>
            </w:r>
            <w:bookmarkEnd w:id="297"/>
          </w:p>
        </w:tc>
        <w:tc>
          <w:tcPr>
            <w:tcW w:w="8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1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30,736,216.67 </w:t>
            </w:r>
          </w:p>
        </w:tc>
        <w:tc>
          <w:tcPr>
            <w:tcW w:w="86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29,800,000.00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239"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合计</w:t>
            </w:r>
          </w:p>
        </w:tc>
        <w:tc>
          <w:tcPr>
            <w:tcW w:w="936"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jc w:val="right"/>
              <w:textAlignment w:val="center"/>
              <w:rPr>
                <w:rFonts w:hint="default" w:ascii="Times New Roman" w:hAnsi="Times New Roman" w:eastAsia="宋体" w:cs="Times New Roman"/>
                <w:color w:val="000000"/>
                <w:kern w:val="0"/>
                <w:sz w:val="18"/>
                <w:szCs w:val="18"/>
                <w:lang w:val="en-US" w:eastAsia="zh-CN" w:bidi="ar"/>
              </w:rPr>
            </w:pPr>
            <w:bookmarkStart w:id="298" w:name="OLE_LINK4"/>
            <w:r>
              <w:rPr>
                <w:rFonts w:hint="eastAsia" w:ascii="Times New Roman" w:hAnsi="Times New Roman" w:eastAsia="宋体" w:cs="Times New Roman"/>
                <w:color w:val="000000"/>
                <w:kern w:val="0"/>
                <w:sz w:val="18"/>
                <w:szCs w:val="18"/>
                <w:lang w:val="en-US" w:eastAsia="zh-CN" w:bidi="ar"/>
              </w:rPr>
              <w:t>757</w:t>
            </w:r>
            <w:r>
              <w:rPr>
                <w:rFonts w:hint="eastAsia" w:cs="Times New Roman"/>
                <w:color w:val="000000"/>
                <w:kern w:val="0"/>
                <w:sz w:val="18"/>
                <w:szCs w:val="18"/>
                <w:lang w:val="en-US" w:eastAsia="zh-CN" w:bidi="ar"/>
              </w:rPr>
              <w:t>,</w:t>
            </w:r>
            <w:r>
              <w:rPr>
                <w:rFonts w:hint="eastAsia" w:ascii="Times New Roman" w:hAnsi="Times New Roman" w:eastAsia="宋体" w:cs="Times New Roman"/>
                <w:color w:val="000000"/>
                <w:kern w:val="0"/>
                <w:sz w:val="18"/>
                <w:szCs w:val="18"/>
                <w:lang w:val="en-US" w:eastAsia="zh-CN" w:bidi="ar"/>
              </w:rPr>
              <w:t>843</w:t>
            </w:r>
            <w:r>
              <w:rPr>
                <w:rFonts w:hint="eastAsia" w:cs="Times New Roman"/>
                <w:color w:val="000000"/>
                <w:kern w:val="0"/>
                <w:sz w:val="18"/>
                <w:szCs w:val="18"/>
                <w:lang w:val="en-US" w:eastAsia="zh-CN" w:bidi="ar"/>
              </w:rPr>
              <w:t>,</w:t>
            </w:r>
            <w:r>
              <w:rPr>
                <w:rFonts w:hint="eastAsia" w:ascii="Times New Roman" w:hAnsi="Times New Roman" w:eastAsia="宋体" w:cs="Times New Roman"/>
                <w:color w:val="000000"/>
                <w:kern w:val="0"/>
                <w:sz w:val="18"/>
                <w:szCs w:val="18"/>
                <w:lang w:val="en-US" w:eastAsia="zh-CN" w:bidi="ar"/>
              </w:rPr>
              <w:t>481.5</w:t>
            </w:r>
            <w:bookmarkEnd w:id="298"/>
            <w:r>
              <w:rPr>
                <w:rFonts w:hint="eastAsia" w:cs="Times New Roman"/>
                <w:color w:val="000000"/>
                <w:kern w:val="0"/>
                <w:sz w:val="18"/>
                <w:szCs w:val="18"/>
                <w:lang w:val="en-US" w:eastAsia="zh-CN" w:bidi="ar"/>
              </w:rPr>
              <w:t>4</w:t>
            </w:r>
          </w:p>
        </w:tc>
        <w:tc>
          <w:tcPr>
            <w:tcW w:w="800"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eastAsia="宋体" w:cs="Times New Roman"/>
                <w:color w:val="000000"/>
                <w:kern w:val="0"/>
                <w:sz w:val="18"/>
                <w:szCs w:val="18"/>
                <w:lang w:val="en-US" w:eastAsia="zh-CN" w:bidi="ar"/>
              </w:rPr>
            </w:pPr>
            <w:r>
              <w:rPr>
                <w:rFonts w:hint="default" w:ascii="Times New Roman" w:hAnsi="Times New Roman" w:eastAsia="宋体" w:cs="Times New Roman"/>
                <w:color w:val="000000"/>
                <w:kern w:val="0"/>
                <w:sz w:val="18"/>
                <w:szCs w:val="18"/>
                <w:lang w:val="en-US" w:eastAsia="zh-CN" w:bidi="ar"/>
              </w:rPr>
              <w:t xml:space="preserve">18,067,247.01 </w:t>
            </w:r>
          </w:p>
        </w:tc>
        <w:tc>
          <w:tcPr>
            <w:tcW w:w="116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775,910,728.55 </w:t>
            </w:r>
          </w:p>
        </w:tc>
        <w:tc>
          <w:tcPr>
            <w:tcW w:w="861"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xml:space="preserve">764,506,661.88 </w:t>
            </w:r>
          </w:p>
        </w:tc>
      </w:tr>
    </w:tbl>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default" w:ascii="Times New Roman" w:hAnsi="Times New Roman" w:eastAsia="宋体" w:cs="Times New Roman"/>
          <w:sz w:val="24"/>
          <w:szCs w:val="24"/>
        </w:rPr>
        <w:t> </w:t>
      </w:r>
    </w:p>
    <w:tbl>
      <w:tblPr>
        <w:tblStyle w:val="5"/>
        <w:tblW w:w="457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86"/>
        <w:gridCol w:w="1518"/>
        <w:gridCol w:w="1417"/>
        <w:gridCol w:w="2079"/>
        <w:gridCol w:w="15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项目</w:t>
            </w:r>
          </w:p>
        </w:tc>
        <w:tc>
          <w:tcPr>
            <w:tcW w:w="3621" w:type="pct"/>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4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年以内</w:t>
            </w:r>
          </w:p>
        </w:tc>
        <w:tc>
          <w:tcPr>
            <w:tcW w:w="785"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rPr>
              <w:t>1</w:t>
            </w:r>
            <w:r>
              <w:rPr>
                <w:rFonts w:hint="eastAsia" w:ascii="宋体" w:hAnsi="宋体" w:eastAsia="宋体" w:cs="宋体"/>
                <w:color w:val="000000"/>
                <w:sz w:val="18"/>
                <w:szCs w:val="18"/>
              </w:rPr>
              <w:t>年以上</w:t>
            </w:r>
          </w:p>
        </w:tc>
        <w:tc>
          <w:tcPr>
            <w:tcW w:w="11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未折现合同金额合计</w:t>
            </w:r>
          </w:p>
        </w:tc>
        <w:tc>
          <w:tcPr>
            <w:tcW w:w="843"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账面价值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短期借款</w:t>
            </w:r>
          </w:p>
        </w:tc>
        <w:tc>
          <w:tcPr>
            <w:tcW w:w="1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329,260,444.44</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7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329,260,444.44</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320,257,847.26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应付票据</w:t>
            </w:r>
          </w:p>
        </w:tc>
        <w:tc>
          <w:tcPr>
            <w:tcW w:w="1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113,510,103.41</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7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113,510,103.41</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113,510,103.41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应付账款</w:t>
            </w:r>
          </w:p>
        </w:tc>
        <w:tc>
          <w:tcPr>
            <w:tcW w:w="1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150,925,768.35</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31,191,867.46</w:t>
            </w:r>
          </w:p>
        </w:tc>
        <w:tc>
          <w:tcPr>
            <w:tcW w:w="17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182,117,635.81</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182,117,635.81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其他应付款</w:t>
            </w:r>
          </w:p>
        </w:tc>
        <w:tc>
          <w:tcPr>
            <w:tcW w:w="1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4,038,808.87</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2,341,084.61</w:t>
            </w:r>
          </w:p>
        </w:tc>
        <w:tc>
          <w:tcPr>
            <w:tcW w:w="17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6,379,893.48</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6,379,893.48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其他流动负债</w:t>
            </w:r>
          </w:p>
        </w:tc>
        <w:tc>
          <w:tcPr>
            <w:tcW w:w="1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49,490,019.02</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7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49,490,019.02</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49,490,019.02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rPr>
              <w:t>一年内到期的非流动负债</w:t>
            </w:r>
          </w:p>
        </w:tc>
        <w:tc>
          <w:tcPr>
            <w:tcW w:w="1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30,953,777.78</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 </w:t>
            </w:r>
          </w:p>
        </w:tc>
        <w:tc>
          <w:tcPr>
            <w:tcW w:w="17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30,953,777.78</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30,024,166.67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37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18"/>
                <w:szCs w:val="18"/>
              </w:rPr>
              <w:t>合计</w:t>
            </w:r>
          </w:p>
        </w:tc>
        <w:tc>
          <w:tcPr>
            <w:tcW w:w="134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678,178,921.87</w:t>
            </w:r>
          </w:p>
        </w:tc>
        <w:tc>
          <w:tcPr>
            <w:tcW w:w="12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33,532,952.07</w:t>
            </w:r>
          </w:p>
        </w:tc>
        <w:tc>
          <w:tcPr>
            <w:tcW w:w="17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711,711,873.94</w:t>
            </w:r>
          </w:p>
        </w:tc>
        <w:tc>
          <w:tcPr>
            <w:tcW w:w="13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color w:val="000000"/>
                <w:sz w:val="18"/>
                <w:szCs w:val="18"/>
              </w:rPr>
              <w:t>701,779,665.65</w:t>
            </w:r>
          </w:p>
        </w:tc>
      </w:tr>
    </w:tbl>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w:t>
      </w:r>
      <w:r>
        <w:rPr>
          <w:rFonts w:hint="default" w:ascii="Times New Roman" w:hAnsi="Times New Roman" w:eastAsia="宋体" w:cs="Times New Roman"/>
          <w:color w:val="000000"/>
          <w:sz w:val="21"/>
          <w:szCs w:val="21"/>
        </w:rPr>
        <w:t>3</w:t>
      </w:r>
      <w:r>
        <w:rPr>
          <w:rFonts w:hint="eastAsia" w:ascii="宋体" w:hAnsi="宋体" w:eastAsia="宋体" w:cs="宋体"/>
          <w:color w:val="000000"/>
          <w:sz w:val="21"/>
          <w:szCs w:val="21"/>
        </w:rPr>
        <w:t>）市场风险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金融工具的市场风险是指金融工具的公允价值或未来现金流量因市场价格变动而发生波动的风险，包括汇率风险、利率风险和其他价格风险。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1）利率风险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利率风险是指金融工具的公允价值或未来现金流量因市场利率变动而发生波动的风险。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本公司借款均为银行借款，借款合同对借款利率均进行了明确约定，故本公司金融负债不存在市场利率变动的重大风险 </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2）汇率风险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汇率风险是指金融工具的公允价值或未来现金流量因外汇汇率变动而发生波动的风险。</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承受外汇风险主要与所持有的美元、港币或欧元现金、银行存款和部分客户货款与人民币之间的汇率变动。但本公司管理层认为，美元、港币或欧元的现金和银行存款、部分客户货款与本公司总资产所占比例较小，故本公司所面临的外汇风险并不重大。 </w:t>
      </w:r>
      <w:r>
        <w:rPr>
          <w:rFonts w:hint="default" w:ascii="Times New Roman" w:hAnsi="Times New Roman" w:eastAsia="宋体" w:cs="Times New Roman"/>
          <w:color w:val="000000"/>
          <w:sz w:val="21"/>
          <w:szCs w:val="21"/>
        </w:rPr>
        <w:t> </w:t>
      </w:r>
    </w:p>
    <w:p>
      <w:pPr>
        <w:keepNext/>
        <w:keepLines/>
        <w:spacing w:before="300" w:after="300" w:line="320" w:lineRule="exact"/>
        <w:jc w:val="left"/>
        <w:outlineLvl w:val="1"/>
        <w:rPr>
          <w:rFonts w:ascii="宋体" w:hAnsi="宋体" w:eastAsia="宋体" w:cs="宋体"/>
          <w:b/>
          <w:bCs/>
          <w:sz w:val="24"/>
          <w:szCs w:val="24"/>
        </w:rPr>
      </w:pPr>
      <w:bookmarkStart w:id="299" w:name="_Toc989187"/>
      <w:r>
        <w:rPr>
          <w:rFonts w:ascii="宋体" w:hAnsi="宋体" w:eastAsia="宋体" w:cs="宋体"/>
          <w:b/>
          <w:bCs/>
          <w:sz w:val="24"/>
          <w:szCs w:val="24"/>
        </w:rPr>
        <w:t>十三、公允价值的披露</w:t>
      </w:r>
      <w:bookmarkEnd w:id="299"/>
    </w:p>
    <w:p>
      <w:pPr>
        <w:keepNext/>
        <w:keepLines/>
        <w:spacing w:before="300" w:after="300" w:line="280" w:lineRule="exact"/>
        <w:jc w:val="left"/>
        <w:outlineLvl w:val="2"/>
        <w:rPr>
          <w:rFonts w:ascii="宋体" w:hAnsi="宋体" w:eastAsia="宋体" w:cs="宋体"/>
          <w:b/>
          <w:bCs/>
          <w:sz w:val="21"/>
          <w:szCs w:val="21"/>
        </w:rPr>
      </w:pPr>
      <w:bookmarkStart w:id="300" w:name="_Toc989188"/>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以公允价值计量的资产和负债的期末公允价值</w:t>
      </w:r>
      <w:bookmarkEnd w:id="3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12,689,303.58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12,689,303.58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（三）其他权益工具投资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89,111,401.05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101,800,704.63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101,800,704.63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301" w:name="_Toc989189"/>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持续和非持续第一层次公允价值计量项目市价的确定依据</w:t>
      </w:r>
      <w:bookmarkEnd w:id="301"/>
    </w:p>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第一层次输入值是在计量日能够取得的相同资产或负债在活跃市场上未经调整的报价。</w:t>
      </w:r>
    </w:p>
    <w:p>
      <w:pPr>
        <w:keepNext/>
        <w:keepLines/>
        <w:spacing w:before="300" w:after="300" w:line="280" w:lineRule="exact"/>
        <w:jc w:val="left"/>
        <w:outlineLvl w:val="2"/>
        <w:rPr>
          <w:rFonts w:ascii="宋体" w:hAnsi="宋体" w:eastAsia="宋体" w:cs="宋体"/>
          <w:b/>
          <w:bCs/>
          <w:sz w:val="21"/>
          <w:szCs w:val="21"/>
        </w:rPr>
      </w:pPr>
      <w:bookmarkStart w:id="302" w:name="_Toc989190"/>
      <w:r>
        <w:rPr>
          <w:rFonts w:hint="eastAsia" w:ascii="宋体" w:hAnsi="宋体" w:cs="宋体"/>
          <w:b/>
          <w:bCs/>
          <w:sz w:val="21"/>
          <w:szCs w:val="21"/>
          <w:lang w:eastAsia="zh-CN"/>
        </w:rPr>
        <w:t>（三）</w:t>
      </w:r>
      <w:r>
        <w:rPr>
          <w:rFonts w:ascii="宋体" w:hAnsi="宋体" w:eastAsia="宋体" w:cs="宋体"/>
          <w:b/>
          <w:bCs/>
          <w:sz w:val="21"/>
          <w:szCs w:val="21"/>
        </w:rPr>
        <w:t>持续和非持续第二层次公允价值计量项目，采用的估值技术和重要参数的定性及定量信息</w:t>
      </w:r>
      <w:bookmarkEnd w:id="302"/>
    </w:p>
    <w:p>
      <w:pPr>
        <w:pStyle w:val="4"/>
        <w:keepNext w:val="0"/>
        <w:keepLines w:val="0"/>
        <w:widowControl/>
        <w:suppressLineNumbers w:val="0"/>
        <w:spacing w:before="100" w:beforeAutospacing="0" w:after="10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第二层次输入值是除第一层次输入值外相关资产或负债直接或间接可观察的输入值。</w:t>
      </w:r>
    </w:p>
    <w:p>
      <w:pPr>
        <w:keepNext/>
        <w:keepLines/>
        <w:numPr>
          <w:ilvl w:val="0"/>
          <w:numId w:val="2"/>
        </w:numPr>
        <w:spacing w:before="300" w:after="300" w:line="280" w:lineRule="exact"/>
        <w:jc w:val="left"/>
        <w:outlineLvl w:val="2"/>
      </w:pPr>
      <w:bookmarkStart w:id="303" w:name="_Toc989191"/>
      <w:r>
        <w:rPr>
          <w:rFonts w:ascii="宋体" w:hAnsi="宋体" w:eastAsia="宋体" w:cs="宋体"/>
          <w:b/>
          <w:bCs/>
          <w:sz w:val="21"/>
          <w:szCs w:val="21"/>
        </w:rPr>
        <w:t>持续和非持续</w:t>
      </w:r>
      <w:r>
        <w:rPr>
          <w:rFonts w:ascii="宋体" w:hAnsi="宋体" w:eastAsia="宋体" w:cs="宋体"/>
          <w:b/>
          <w:bCs/>
          <w:sz w:val="21"/>
          <w:szCs w:val="21"/>
          <w:highlight w:val="none"/>
        </w:rPr>
        <w:t>第三层次公允价值计量项目，采用的估值技术和重要参数的定性及定量信息</w:t>
      </w:r>
      <w:bookmarkEnd w:id="303"/>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eastAsia" w:ascii="宋体" w:hAnsi="宋体" w:eastAsia="宋体" w:cs="宋体"/>
          <w:sz w:val="21"/>
          <w:szCs w:val="21"/>
        </w:rPr>
        <w:t>①本公司持有的在市场上无可用的观察输入值及估值技术的其他权益工具投资，以第三层级估值作为公允价值的计量依据。其中，湖南沃尔博精密工具有限公司（曾用名：上海钨夫投资管理有限公司）、湖南飞机起降系统技术研发有限公司采用市场比较法对其估值。</w:t>
      </w:r>
      <w:r>
        <w:rPr>
          <w:rFonts w:hint="default" w:ascii="Times New Roman" w:hAnsi="Times New Roman" w:eastAsia="宋体" w:cs="Times New Roman"/>
          <w:color w:val="000000"/>
          <w:sz w:val="21"/>
          <w:szCs w:val="21"/>
        </w:rPr>
        <w:t> </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47"/>
        <w:gridCol w:w="1593"/>
        <w:gridCol w:w="1371"/>
        <w:gridCol w:w="181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项目</w:t>
            </w:r>
          </w:p>
        </w:tc>
        <w:tc>
          <w:tcPr>
            <w:tcW w:w="137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期末公允价值</w:t>
            </w:r>
          </w:p>
        </w:tc>
        <w:tc>
          <w:tcPr>
            <w:tcW w:w="118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估值技术</w:t>
            </w:r>
          </w:p>
        </w:tc>
        <w:tc>
          <w:tcPr>
            <w:tcW w:w="15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不可观察输入值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湖南沃尔博精密工具有限公司</w:t>
            </w:r>
          </w:p>
        </w:tc>
        <w:tc>
          <w:tcPr>
            <w:tcW w:w="1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51,350,000.00</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eastAsia" w:ascii="宋体" w:hAnsi="宋体" w:eastAsia="宋体" w:cs="宋体"/>
                <w:color w:val="000000"/>
                <w:sz w:val="18"/>
                <w:szCs w:val="18"/>
              </w:rPr>
              <w:t>交易价格法</w:t>
            </w:r>
          </w:p>
        </w:tc>
        <w:tc>
          <w:tcPr>
            <w:tcW w:w="1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近期交易价格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深圳富联智能制造产业创新中心有限公司</w:t>
            </w:r>
          </w:p>
        </w:tc>
        <w:tc>
          <w:tcPr>
            <w:tcW w:w="1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2,971,401.05</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eastAsia" w:ascii="宋体" w:hAnsi="宋体" w:eastAsia="宋体" w:cs="宋体"/>
                <w:color w:val="000000"/>
                <w:sz w:val="18"/>
                <w:szCs w:val="18"/>
              </w:rPr>
              <w:t>净资产价值</w:t>
            </w:r>
          </w:p>
        </w:tc>
        <w:tc>
          <w:tcPr>
            <w:tcW w:w="1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期末净资产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6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湖南飞机起降系统技术研发有限公司</w:t>
            </w:r>
          </w:p>
        </w:tc>
        <w:tc>
          <w:tcPr>
            <w:tcW w:w="137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default" w:ascii="Times New Roman" w:hAnsi="Times New Roman" w:cs="Times New Roman"/>
                <w:color w:val="000000"/>
                <w:sz w:val="18"/>
                <w:szCs w:val="18"/>
              </w:rPr>
              <w:t>34,790,000.00</w:t>
            </w:r>
          </w:p>
        </w:tc>
        <w:tc>
          <w:tcPr>
            <w:tcW w:w="11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4"/>
                <w:szCs w:val="24"/>
              </w:rPr>
            </w:pPr>
            <w:r>
              <w:rPr>
                <w:rFonts w:hint="eastAsia" w:ascii="宋体" w:hAnsi="宋体" w:eastAsia="宋体" w:cs="宋体"/>
                <w:color w:val="000000"/>
                <w:sz w:val="18"/>
                <w:szCs w:val="18"/>
              </w:rPr>
              <w:t>交易价格法</w:t>
            </w:r>
          </w:p>
        </w:tc>
        <w:tc>
          <w:tcPr>
            <w:tcW w:w="15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近期交易价格</w:t>
            </w:r>
          </w:p>
        </w:tc>
      </w:tr>
    </w:tbl>
    <w:p>
      <w:pPr>
        <w:pStyle w:val="4"/>
        <w:keepNext w:val="0"/>
        <w:keepLines w:val="0"/>
        <w:widowControl/>
        <w:suppressLineNumbers w:val="0"/>
        <w:spacing w:before="100" w:beforeAutospacing="0" w:after="100" w:afterAutospacing="0"/>
        <w:ind w:left="0" w:right="0"/>
        <w:jc w:val="left"/>
      </w:pPr>
      <w:r>
        <w:rPr>
          <w:rFonts w:hint="eastAsia" w:ascii="宋体" w:hAnsi="宋体" w:eastAsia="宋体" w:cs="宋体"/>
          <w:sz w:val="21"/>
          <w:szCs w:val="21"/>
        </w:rPr>
        <w:t>②应收款项融资为应收银行承兑汇票，其管理模式实质为既收取合同现金流量又背书转让或贴现，故公司将银行承兑汇票根据票面金额作为公允价值进行计量。</w:t>
      </w:r>
    </w:p>
    <w:p>
      <w:pPr>
        <w:keepNext/>
        <w:keepLines/>
        <w:spacing w:before="300" w:after="300" w:line="280" w:lineRule="exact"/>
        <w:jc w:val="left"/>
        <w:outlineLvl w:val="2"/>
        <w:rPr>
          <w:rFonts w:ascii="宋体" w:hAnsi="宋体" w:eastAsia="宋体" w:cs="宋体"/>
          <w:b/>
          <w:bCs/>
          <w:sz w:val="21"/>
          <w:szCs w:val="21"/>
        </w:rPr>
      </w:pPr>
      <w:bookmarkStart w:id="304" w:name="_Toc989192"/>
      <w:r>
        <w:rPr>
          <w:rFonts w:hint="eastAsia" w:ascii="宋体" w:hAnsi="宋体" w:cs="宋体"/>
          <w:b/>
          <w:bCs/>
          <w:sz w:val="21"/>
          <w:szCs w:val="21"/>
          <w:lang w:eastAsia="zh-CN"/>
        </w:rPr>
        <w:t>（五）</w:t>
      </w:r>
      <w:r>
        <w:rPr>
          <w:rFonts w:ascii="宋体" w:hAnsi="宋体" w:eastAsia="宋体" w:cs="宋体"/>
          <w:b/>
          <w:bCs/>
          <w:sz w:val="21"/>
          <w:szCs w:val="21"/>
        </w:rPr>
        <w:t>持续的第三层次公允价值计量项目，期初与期末账面价值间的调节信息及不可观察参数敏感性分析</w:t>
      </w:r>
      <w:bookmarkEnd w:id="304"/>
    </w:p>
    <w:p>
      <w:pPr>
        <w:pStyle w:val="4"/>
        <w:keepNext w:val="0"/>
        <w:keepLines w:val="0"/>
        <w:widowControl/>
        <w:suppressLineNumbers w:val="0"/>
        <w:spacing w:before="157" w:beforeAutospacing="0" w:after="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第三层次输入值是相关资产或负债的不可观察输入值。</w:t>
      </w:r>
    </w:p>
    <w:p>
      <w:pPr>
        <w:pStyle w:val="4"/>
        <w:keepNext w:val="0"/>
        <w:keepLines w:val="0"/>
        <w:widowControl/>
        <w:suppressLineNumbers w:val="0"/>
        <w:spacing w:before="157" w:beforeAutospacing="0" w:after="0" w:afterAutospacing="0"/>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公允价值计量结果所属的层次，由对公允价值计量整体而言具有重要意义的输入值所属的最低层次决定。</w:t>
      </w:r>
    </w:p>
    <w:p>
      <w:pPr>
        <w:keepNext/>
        <w:keepLines/>
        <w:spacing w:before="300" w:after="300" w:line="320" w:lineRule="exact"/>
        <w:jc w:val="left"/>
        <w:outlineLvl w:val="1"/>
        <w:rPr>
          <w:rFonts w:ascii="宋体" w:hAnsi="宋体" w:eastAsia="宋体" w:cs="宋体"/>
          <w:b/>
          <w:bCs/>
          <w:sz w:val="24"/>
          <w:szCs w:val="24"/>
        </w:rPr>
      </w:pPr>
      <w:bookmarkStart w:id="305" w:name="_Toc989193"/>
      <w:r>
        <w:rPr>
          <w:rFonts w:ascii="宋体" w:hAnsi="宋体" w:eastAsia="宋体" w:cs="宋体"/>
          <w:b/>
          <w:bCs/>
          <w:sz w:val="24"/>
          <w:szCs w:val="24"/>
        </w:rPr>
        <w:t>十四、关联方及关联交易</w:t>
      </w:r>
      <w:bookmarkEnd w:id="305"/>
    </w:p>
    <w:p>
      <w:pPr>
        <w:keepNext/>
        <w:keepLines/>
        <w:spacing w:before="300" w:after="300" w:line="280" w:lineRule="exact"/>
        <w:jc w:val="left"/>
        <w:outlineLvl w:val="2"/>
        <w:rPr>
          <w:rFonts w:ascii="宋体" w:hAnsi="宋体" w:eastAsia="宋体" w:cs="宋体"/>
          <w:b/>
          <w:bCs/>
          <w:sz w:val="21"/>
          <w:szCs w:val="21"/>
        </w:rPr>
      </w:pPr>
      <w:bookmarkStart w:id="306" w:name="_Toc989194"/>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本企业的母公司情况</w:t>
      </w:r>
      <w:bookmarkEnd w:id="306"/>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湖南省长沙市</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研究、开发、生产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16,326.53万元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本企业最终控制方是湖南省人民政府国有资产监督管理委员会。</w:t>
      </w:r>
    </w:p>
    <w:p>
      <w:pPr>
        <w:keepNext/>
        <w:keepLines/>
        <w:spacing w:before="300" w:after="300" w:line="280" w:lineRule="exact"/>
        <w:jc w:val="left"/>
        <w:outlineLvl w:val="2"/>
        <w:rPr>
          <w:rFonts w:ascii="宋体" w:hAnsi="宋体" w:eastAsia="宋体" w:cs="宋体"/>
          <w:b/>
          <w:bCs/>
          <w:sz w:val="21"/>
          <w:szCs w:val="21"/>
        </w:rPr>
      </w:pPr>
      <w:bookmarkStart w:id="307" w:name="_Toc989195"/>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本企业的子公司情况</w:t>
      </w:r>
      <w:bookmarkEnd w:id="307"/>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本企业子公司的情况详见附注十、在其他主体中的权益。</w:t>
      </w:r>
    </w:p>
    <w:p>
      <w:pPr>
        <w:keepNext/>
        <w:keepLines/>
        <w:spacing w:before="300" w:after="300" w:line="280" w:lineRule="exact"/>
        <w:jc w:val="left"/>
        <w:outlineLvl w:val="2"/>
        <w:rPr>
          <w:rFonts w:ascii="宋体" w:hAnsi="宋体" w:eastAsia="宋体" w:cs="宋体"/>
          <w:b/>
          <w:bCs/>
          <w:sz w:val="21"/>
          <w:szCs w:val="21"/>
        </w:rPr>
      </w:pPr>
      <w:bookmarkStart w:id="308" w:name="_Toc989196"/>
      <w:r>
        <w:rPr>
          <w:rFonts w:hint="eastAsia" w:ascii="宋体" w:hAnsi="宋体" w:cs="宋体"/>
          <w:b/>
          <w:bCs/>
          <w:sz w:val="21"/>
          <w:szCs w:val="21"/>
          <w:lang w:eastAsia="zh-CN"/>
        </w:rPr>
        <w:t>（三）</w:t>
      </w:r>
      <w:r>
        <w:rPr>
          <w:rFonts w:ascii="宋体" w:hAnsi="宋体" w:eastAsia="宋体" w:cs="宋体"/>
          <w:b/>
          <w:bCs/>
          <w:sz w:val="21"/>
          <w:szCs w:val="21"/>
        </w:rPr>
        <w:t>本企业合营和联营企业情况</w:t>
      </w:r>
      <w:bookmarkEnd w:id="308"/>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本企业重要的合营或联营企业详见附注附注十、在其他主体中的权益。</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联营企业</w:t>
            </w:r>
          </w:p>
        </w:tc>
      </w:tr>
    </w:tbl>
    <w:p>
      <w:pPr>
        <w:keepNext/>
        <w:keepLines/>
        <w:spacing w:before="300" w:after="300" w:line="280" w:lineRule="exact"/>
        <w:jc w:val="left"/>
        <w:outlineLvl w:val="2"/>
        <w:rPr>
          <w:rFonts w:ascii="宋体" w:hAnsi="宋体" w:eastAsia="宋体" w:cs="宋体"/>
          <w:b/>
          <w:bCs/>
          <w:sz w:val="21"/>
          <w:szCs w:val="21"/>
        </w:rPr>
      </w:pPr>
      <w:bookmarkStart w:id="309" w:name="_Toc989197"/>
      <w:r>
        <w:rPr>
          <w:rFonts w:hint="eastAsia" w:ascii="宋体" w:hAnsi="宋体" w:cs="宋体"/>
          <w:b/>
          <w:bCs/>
          <w:sz w:val="21"/>
          <w:szCs w:val="21"/>
          <w:lang w:eastAsia="zh-CN"/>
        </w:rPr>
        <w:t>（</w:t>
      </w:r>
      <w:r>
        <w:rPr>
          <w:rFonts w:hint="eastAsia" w:ascii="宋体" w:hAnsi="宋体" w:cs="宋体"/>
          <w:b/>
          <w:bCs/>
          <w:sz w:val="21"/>
          <w:szCs w:val="21"/>
          <w:lang w:val="en-US" w:eastAsia="zh-CN"/>
        </w:rPr>
        <w:t>四</w:t>
      </w:r>
      <w:r>
        <w:rPr>
          <w:rFonts w:hint="eastAsia" w:ascii="宋体" w:hAnsi="宋体" w:cs="宋体"/>
          <w:b/>
          <w:bCs/>
          <w:sz w:val="21"/>
          <w:szCs w:val="21"/>
          <w:lang w:eastAsia="zh-CN"/>
        </w:rPr>
        <w:t>）</w:t>
      </w:r>
      <w:r>
        <w:rPr>
          <w:rFonts w:ascii="宋体" w:hAnsi="宋体" w:eastAsia="宋体" w:cs="宋体"/>
          <w:b/>
          <w:bCs/>
          <w:sz w:val="21"/>
          <w:szCs w:val="21"/>
        </w:rPr>
        <w:t>其他关联方情况</w:t>
      </w:r>
      <w:bookmarkEnd w:id="309"/>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湖南建院建设工程检测有限责任公司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湖南省建设项目投资管理有限责任公司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湖南湘江研究院教育管理有限公司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湖南湘江研究院有限责任公司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Werkzeugtechnologie GmbH</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Precision Tools India Pvt.Ltd</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湖南省国锦湘安实业有限公司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湖南省建筑设计院集团股份有限公司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同一控制人</w:t>
            </w:r>
          </w:p>
        </w:tc>
      </w:tr>
    </w:tbl>
    <w:p>
      <w:pPr>
        <w:keepNext/>
        <w:keepLines/>
        <w:spacing w:before="300" w:after="300" w:line="280" w:lineRule="exact"/>
        <w:jc w:val="left"/>
        <w:outlineLvl w:val="2"/>
        <w:rPr>
          <w:rFonts w:ascii="宋体" w:hAnsi="宋体" w:eastAsia="宋体" w:cs="宋体"/>
          <w:b/>
          <w:bCs/>
          <w:sz w:val="21"/>
          <w:szCs w:val="21"/>
        </w:rPr>
      </w:pPr>
      <w:bookmarkStart w:id="310" w:name="_Toc989198"/>
      <w:r>
        <w:rPr>
          <w:rFonts w:hint="eastAsia" w:ascii="宋体" w:hAnsi="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cs="宋体"/>
          <w:b/>
          <w:bCs/>
          <w:sz w:val="21"/>
          <w:szCs w:val="21"/>
          <w:lang w:eastAsia="zh-CN"/>
        </w:rPr>
        <w:t>）</w:t>
      </w:r>
      <w:r>
        <w:rPr>
          <w:rFonts w:ascii="宋体" w:hAnsi="宋体" w:eastAsia="宋体" w:cs="宋体"/>
          <w:b/>
          <w:bCs/>
          <w:sz w:val="21"/>
          <w:szCs w:val="21"/>
        </w:rPr>
        <w:t>关联交易情况</w:t>
      </w:r>
      <w:bookmarkEnd w:id="310"/>
    </w:p>
    <w:p>
      <w:pPr>
        <w:keepNext/>
        <w:keepLines/>
        <w:spacing w:before="300" w:after="300" w:line="280" w:lineRule="exact"/>
        <w:jc w:val="left"/>
        <w:outlineLvl w:val="3"/>
        <w:rPr>
          <w:rFonts w:ascii="宋体" w:hAnsi="宋体" w:eastAsia="宋体" w:cs="宋体"/>
          <w:b/>
          <w:bCs/>
          <w:sz w:val="21"/>
          <w:szCs w:val="21"/>
        </w:rPr>
      </w:pPr>
      <w:bookmarkStart w:id="311" w:name="_Toc989199"/>
      <w:r>
        <w:rPr>
          <w:rFonts w:hint="eastAsia" w:ascii="宋体" w:hAnsi="宋体" w:cs="宋体"/>
          <w:b/>
          <w:bCs/>
          <w:sz w:val="21"/>
          <w:szCs w:val="21"/>
          <w:lang w:val="en-US" w:eastAsia="zh-CN"/>
        </w:rPr>
        <w:t>1.</w:t>
      </w:r>
      <w:r>
        <w:rPr>
          <w:rFonts w:ascii="宋体" w:hAnsi="宋体" w:eastAsia="宋体" w:cs="宋体"/>
          <w:b/>
          <w:bCs/>
          <w:sz w:val="21"/>
          <w:szCs w:val="21"/>
        </w:rPr>
        <w:t>购销商品、提供和接受劳务的关联交易</w:t>
      </w:r>
      <w:bookmarkEnd w:id="311"/>
    </w:p>
    <w:p>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91"/>
        <w:gridCol w:w="1641"/>
        <w:gridCol w:w="128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9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2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9,509.70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577,295.95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湖南省建设项目投资管理有限责任公司</w:t>
            </w:r>
          </w:p>
        </w:tc>
        <w:tc>
          <w:tcPr>
            <w:tcW w:w="16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监理、造价咨询服务费</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54,594.70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16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购买铣刀钻头</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105,614.32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16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购买材料</w:t>
            </w: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4,759.38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9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6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8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66,863.78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682,910.27</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pPr>
      <w:r>
        <w:rPr>
          <w:rFonts w:ascii="宋体" w:hAnsi="宋体" w:eastAsia="宋体" w:cs="宋体"/>
          <w:sz w:val="18"/>
          <w:szCs w:val="18"/>
        </w:rPr>
        <w:t>单位：元</w:t>
      </w:r>
    </w:p>
    <w:tbl>
      <w:tblPr>
        <w:tblStyle w:val="5"/>
        <w:tblW w:w="96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5"/>
        <w:gridCol w:w="2415"/>
        <w:gridCol w:w="2415"/>
        <w:gridCol w:w="24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5" w:hRule="atLeast"/>
        </w:trPr>
        <w:tc>
          <w:tcPr>
            <w:tcW w:w="24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霍尼韦尔博云航空系统（湖南）有限公司</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销售产品和劳务</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1,053,202.40</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1,045,789.48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yellow"/>
              </w:rPr>
            </w:pPr>
            <w:r>
              <w:rPr>
                <w:rFonts w:hint="eastAsia" w:ascii="宋体" w:hAnsi="宋体" w:eastAsia="宋体" w:cs="宋体"/>
                <w:i w:val="0"/>
                <w:iCs w:val="0"/>
                <w:color w:val="000000"/>
                <w:kern w:val="0"/>
                <w:sz w:val="18"/>
                <w:szCs w:val="18"/>
                <w:u w:val="none"/>
                <w:lang w:val="en-US" w:eastAsia="zh-CN" w:bidi="ar"/>
              </w:rPr>
              <w:t>中南大学粉末冶金工程研究中心有限公司</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宋体" w:hAnsi="宋体" w:eastAsia="宋体" w:cs="宋体"/>
                <w:sz w:val="18"/>
                <w:szCs w:val="18"/>
                <w:highlight w:val="yellow"/>
                <w:lang w:eastAsia="zh-CN"/>
              </w:rPr>
            </w:pPr>
            <w:r>
              <w:rPr>
                <w:rFonts w:hint="eastAsia" w:ascii="宋体" w:hAnsi="宋体" w:eastAsia="宋体" w:cs="宋体"/>
                <w:i w:val="0"/>
                <w:iCs w:val="0"/>
                <w:color w:val="000000"/>
                <w:kern w:val="0"/>
                <w:sz w:val="18"/>
                <w:szCs w:val="18"/>
                <w:u w:val="none"/>
                <w:lang w:val="en-US" w:eastAsia="zh-CN" w:bidi="ar"/>
              </w:rPr>
              <w:t>餐费、水电费</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87,232.76</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79,341.76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yellow"/>
              </w:rPr>
            </w:pPr>
            <w:r>
              <w:rPr>
                <w:rFonts w:hint="eastAsia" w:ascii="宋体" w:hAnsi="宋体" w:eastAsia="宋体" w:cs="宋体"/>
                <w:i w:val="0"/>
                <w:iCs w:val="0"/>
                <w:color w:val="000000"/>
                <w:kern w:val="0"/>
                <w:sz w:val="18"/>
                <w:szCs w:val="18"/>
                <w:u w:val="none"/>
                <w:lang w:val="en-US" w:eastAsia="zh-CN" w:bidi="ar"/>
              </w:rPr>
              <w:t>湖南博云投资管理有限公司</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yellow"/>
              </w:rPr>
            </w:pPr>
            <w:r>
              <w:rPr>
                <w:rFonts w:hint="eastAsia" w:ascii="宋体" w:hAnsi="宋体" w:eastAsia="宋体" w:cs="宋体"/>
                <w:i w:val="0"/>
                <w:iCs w:val="0"/>
                <w:color w:val="000000"/>
                <w:kern w:val="0"/>
                <w:sz w:val="18"/>
                <w:szCs w:val="18"/>
                <w:u w:val="none"/>
                <w:lang w:val="en-US" w:eastAsia="zh-CN" w:bidi="ar"/>
              </w:rPr>
              <w:t>餐费、水电费</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33,787.79</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24,646.56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cyan"/>
              </w:rPr>
            </w:pPr>
            <w:r>
              <w:rPr>
                <w:rFonts w:hint="eastAsia" w:ascii="宋体" w:hAnsi="宋体" w:eastAsia="宋体" w:cs="宋体"/>
                <w:i w:val="0"/>
                <w:iCs w:val="0"/>
                <w:color w:val="000000"/>
                <w:kern w:val="0"/>
                <w:sz w:val="18"/>
                <w:szCs w:val="18"/>
                <w:u w:val="none"/>
                <w:lang w:val="en-US" w:eastAsia="zh-CN" w:bidi="ar"/>
              </w:rPr>
              <w:t>湖南炜铂科技有限公司</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cyan"/>
              </w:rPr>
            </w:pPr>
            <w:r>
              <w:rPr>
                <w:rFonts w:hint="eastAsia" w:ascii="宋体" w:hAnsi="宋体" w:eastAsia="宋体" w:cs="宋体"/>
                <w:i w:val="0"/>
                <w:iCs w:val="0"/>
                <w:color w:val="000000"/>
                <w:kern w:val="0"/>
                <w:sz w:val="18"/>
                <w:szCs w:val="18"/>
                <w:u w:val="none"/>
                <w:lang w:val="en-US" w:eastAsia="zh-CN" w:bidi="ar"/>
              </w:rPr>
              <w:t>材料销售</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182,300.88</w:t>
            </w:r>
          </w:p>
        </w:tc>
        <w:tc>
          <w:tcPr>
            <w:tcW w:w="2415" w:type="dxa"/>
            <w:tcBorders>
              <w:top w:val="single" w:color="auto" w:sz="2" w:space="0"/>
              <w:left w:val="single" w:color="auto" w:sz="2" w:space="0"/>
              <w:bottom w:val="single" w:color="auto" w:sz="2" w:space="0"/>
              <w:right w:val="single" w:color="auto" w:sz="2" w:space="0"/>
            </w:tcBorders>
            <w:vAlign w:val="center"/>
          </w:tcPr>
          <w:p>
            <w:pPr>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湖南飞机起降系统技术研发有限公司</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餐费</w:t>
            </w:r>
          </w:p>
        </w:tc>
        <w:tc>
          <w:tcPr>
            <w:tcW w:w="2415" w:type="dxa"/>
            <w:tcBorders>
              <w:top w:val="single" w:color="auto" w:sz="2" w:space="0"/>
              <w:left w:val="single" w:color="auto" w:sz="2" w:space="0"/>
              <w:bottom w:val="single" w:color="auto" w:sz="2" w:space="0"/>
              <w:right w:val="single" w:color="auto" w:sz="2" w:space="0"/>
            </w:tcBorders>
            <w:vAlign w:val="center"/>
          </w:tcPr>
          <w:p>
            <w:pPr>
              <w:jc w:val="right"/>
              <w:rPr>
                <w:rFonts w:ascii="宋体" w:hAnsi="宋体" w:eastAsia="宋体" w:cs="宋体"/>
                <w:sz w:val="18"/>
                <w:szCs w:val="18"/>
              </w:rPr>
            </w:pP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1,415.09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cyan"/>
              </w:rPr>
            </w:pPr>
            <w:r>
              <w:rPr>
                <w:rFonts w:hint="eastAsia" w:ascii="宋体" w:hAnsi="宋体" w:eastAsia="宋体" w:cs="宋体"/>
                <w:i w:val="0"/>
                <w:iCs w:val="0"/>
                <w:color w:val="000000"/>
                <w:kern w:val="0"/>
                <w:sz w:val="18"/>
                <w:szCs w:val="18"/>
                <w:u w:val="none"/>
                <w:lang w:val="en-US" w:eastAsia="zh-CN" w:bidi="ar"/>
              </w:rPr>
              <w:t>湖南沃尔博精密工具有限公司</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cyan"/>
              </w:rPr>
            </w:pPr>
            <w:r>
              <w:rPr>
                <w:rFonts w:hint="eastAsia" w:ascii="宋体" w:hAnsi="宋体" w:eastAsia="宋体" w:cs="宋体"/>
                <w:i w:val="0"/>
                <w:iCs w:val="0"/>
                <w:color w:val="000000"/>
                <w:kern w:val="0"/>
                <w:sz w:val="18"/>
                <w:szCs w:val="18"/>
                <w:u w:val="none"/>
                <w:lang w:val="en-US" w:eastAsia="zh-CN" w:bidi="ar"/>
              </w:rPr>
              <w:t>销售产品和劳务</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餐费、技术服务费</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304,130.73 </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121,175.17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湖南省建筑设计院集团股份有限公司</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水电费</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15,557.06</w:t>
            </w:r>
          </w:p>
        </w:tc>
        <w:tc>
          <w:tcPr>
            <w:tcW w:w="2415" w:type="dxa"/>
            <w:tcBorders>
              <w:top w:val="single" w:color="auto" w:sz="2" w:space="0"/>
              <w:left w:val="single" w:color="auto" w:sz="2" w:space="0"/>
              <w:bottom w:val="single" w:color="auto" w:sz="2" w:space="0"/>
              <w:right w:val="single" w:color="auto" w:sz="2" w:space="0"/>
            </w:tcBorders>
            <w:vAlign w:val="center"/>
          </w:tcPr>
          <w:p>
            <w:pPr>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湖南省机械设备进出口有限公司</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销售产品和劳务</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720,415.83</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788,240.56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3" w:hRule="atLeast"/>
        </w:trPr>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highlight w:val="green"/>
              </w:rPr>
            </w:pPr>
            <w:r>
              <w:rPr>
                <w:rFonts w:hint="eastAsia" w:ascii="宋体" w:hAnsi="宋体" w:eastAsia="宋体" w:cs="宋体"/>
                <w:i w:val="0"/>
                <w:iCs w:val="0"/>
                <w:color w:val="000000"/>
                <w:kern w:val="0"/>
                <w:sz w:val="18"/>
                <w:szCs w:val="18"/>
                <w:u w:val="none"/>
                <w:lang w:val="en-US" w:eastAsia="zh-CN" w:bidi="ar"/>
              </w:rPr>
              <w:t>合计</w:t>
            </w:r>
          </w:p>
        </w:tc>
        <w:tc>
          <w:tcPr>
            <w:tcW w:w="2415" w:type="dxa"/>
            <w:tcBorders>
              <w:top w:val="single" w:color="auto" w:sz="2" w:space="0"/>
              <w:left w:val="single" w:color="auto" w:sz="2" w:space="0"/>
              <w:bottom w:val="single" w:color="auto" w:sz="2" w:space="0"/>
              <w:right w:val="single" w:color="auto" w:sz="2" w:space="0"/>
            </w:tcBorders>
            <w:vAlign w:val="center"/>
          </w:tcPr>
          <w:p>
            <w:pPr>
              <w:jc w:val="left"/>
              <w:rPr>
                <w:rFonts w:ascii="宋体" w:hAnsi="宋体" w:eastAsia="宋体" w:cs="宋体"/>
                <w:sz w:val="18"/>
                <w:szCs w:val="18"/>
                <w:highlight w:val="green"/>
              </w:rPr>
            </w:pP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2,396,627.45</w:t>
            </w:r>
          </w:p>
        </w:tc>
        <w:tc>
          <w:tcPr>
            <w:tcW w:w="2415"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2,060,608.62</w:t>
            </w:r>
          </w:p>
        </w:tc>
      </w:tr>
    </w:tbl>
    <w:p>
      <w:pPr>
        <w:keepNext/>
        <w:keepLines/>
        <w:spacing w:before="300" w:after="300" w:line="280" w:lineRule="exact"/>
        <w:jc w:val="left"/>
        <w:outlineLvl w:val="3"/>
        <w:rPr>
          <w:rFonts w:ascii="宋体" w:hAnsi="宋体" w:eastAsia="宋体" w:cs="宋体"/>
          <w:b/>
          <w:bCs/>
          <w:sz w:val="21"/>
          <w:szCs w:val="21"/>
        </w:rPr>
      </w:pPr>
      <w:bookmarkStart w:id="312" w:name="_Toc989200"/>
      <w:r>
        <w:rPr>
          <w:rFonts w:hint="eastAsia" w:ascii="宋体" w:hAnsi="宋体" w:cs="宋体"/>
          <w:b/>
          <w:bCs/>
          <w:sz w:val="21"/>
          <w:szCs w:val="21"/>
          <w:lang w:val="en-US" w:eastAsia="zh-CN"/>
        </w:rPr>
        <w:t>2.</w:t>
      </w:r>
      <w:r>
        <w:rPr>
          <w:rFonts w:ascii="宋体" w:hAnsi="宋体" w:eastAsia="宋体" w:cs="宋体"/>
          <w:b/>
          <w:bCs/>
          <w:sz w:val="21"/>
          <w:szCs w:val="21"/>
        </w:rPr>
        <w:t>关联租赁情况</w:t>
      </w:r>
      <w:bookmarkEnd w:id="312"/>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2,201.84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107,889.90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14,098.17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15,412.84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15,412.84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279,974.84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48,807.33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湖南省建筑设计院集团股份有限公司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457,667.06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164,074.35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1,027,220.83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82,355.04</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7"/>
        <w:gridCol w:w="649"/>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5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64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57" w:type="dxa"/>
            <w:vMerge w:val="continue"/>
            <w:tcBorders>
              <w:top w:val="single" w:color="auto" w:sz="2" w:space="0"/>
              <w:left w:val="single" w:color="auto" w:sz="2" w:space="0"/>
              <w:bottom w:val="single" w:color="auto" w:sz="2" w:space="0"/>
              <w:right w:val="single" w:color="auto" w:sz="2" w:space="0"/>
            </w:tcBorders>
            <w:vAlign w:val="center"/>
          </w:tcPr>
          <w:p/>
        </w:tc>
        <w:tc>
          <w:tcPr>
            <w:tcW w:w="649"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6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18,360.00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6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8,655.86</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1,442.64</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5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649"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17,835.86</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19,802.64</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13" w:name="_Toc989201"/>
      <w:r>
        <w:rPr>
          <w:rFonts w:hint="eastAsia" w:ascii="宋体" w:hAnsi="宋体" w:cs="宋体"/>
          <w:b/>
          <w:bCs/>
          <w:sz w:val="21"/>
          <w:szCs w:val="21"/>
          <w:lang w:val="en-US" w:eastAsia="zh-CN"/>
        </w:rPr>
        <w:t>3.</w:t>
      </w:r>
      <w:r>
        <w:rPr>
          <w:rFonts w:ascii="宋体" w:hAnsi="宋体" w:eastAsia="宋体" w:cs="宋体"/>
          <w:b/>
          <w:bCs/>
          <w:sz w:val="21"/>
          <w:szCs w:val="21"/>
        </w:rPr>
        <w:t>关键管理人员报酬</w:t>
      </w:r>
      <w:bookmarkEnd w:id="3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关键管理人员薪酬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976,956.00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902,380.00</w:t>
            </w:r>
          </w:p>
        </w:tc>
      </w:tr>
    </w:tbl>
    <w:p>
      <w:pPr>
        <w:keepNext/>
        <w:keepLines/>
        <w:spacing w:before="300" w:after="300" w:line="280" w:lineRule="exact"/>
        <w:jc w:val="left"/>
        <w:outlineLvl w:val="2"/>
        <w:rPr>
          <w:rFonts w:ascii="宋体" w:hAnsi="宋体" w:eastAsia="宋体" w:cs="宋体"/>
          <w:b/>
          <w:bCs/>
          <w:sz w:val="21"/>
          <w:szCs w:val="21"/>
        </w:rPr>
      </w:pPr>
      <w:bookmarkStart w:id="314" w:name="_Toc989202"/>
      <w:r>
        <w:rPr>
          <w:rFonts w:hint="eastAsia" w:ascii="宋体" w:hAnsi="宋体" w:cs="宋体"/>
          <w:b/>
          <w:bCs/>
          <w:sz w:val="21"/>
          <w:szCs w:val="21"/>
          <w:lang w:eastAsia="zh-CN"/>
        </w:rPr>
        <w:t>（</w:t>
      </w:r>
      <w:r>
        <w:rPr>
          <w:rFonts w:hint="eastAsia" w:ascii="宋体" w:hAnsi="宋体" w:cs="宋体"/>
          <w:b/>
          <w:bCs/>
          <w:sz w:val="21"/>
          <w:szCs w:val="21"/>
          <w:lang w:val="en-US" w:eastAsia="zh-CN"/>
        </w:rPr>
        <w:t>六</w:t>
      </w:r>
      <w:r>
        <w:rPr>
          <w:rFonts w:hint="eastAsia" w:ascii="宋体" w:hAnsi="宋体" w:cs="宋体"/>
          <w:b/>
          <w:bCs/>
          <w:sz w:val="21"/>
          <w:szCs w:val="21"/>
          <w:lang w:eastAsia="zh-CN"/>
        </w:rPr>
        <w:t>）</w:t>
      </w:r>
      <w:r>
        <w:rPr>
          <w:rFonts w:ascii="宋体" w:hAnsi="宋体" w:eastAsia="宋体" w:cs="宋体"/>
          <w:b/>
          <w:bCs/>
          <w:sz w:val="21"/>
          <w:szCs w:val="21"/>
        </w:rPr>
        <w:t>关联方应收应付款项</w:t>
      </w:r>
      <w:bookmarkEnd w:id="314"/>
    </w:p>
    <w:p>
      <w:pPr>
        <w:keepNext/>
        <w:keepLines/>
        <w:spacing w:before="300" w:after="300" w:line="280" w:lineRule="exact"/>
        <w:jc w:val="left"/>
        <w:outlineLvl w:val="3"/>
        <w:rPr>
          <w:rFonts w:ascii="宋体" w:hAnsi="宋体" w:eastAsia="宋体" w:cs="宋体"/>
          <w:b/>
          <w:bCs/>
          <w:sz w:val="21"/>
          <w:szCs w:val="21"/>
        </w:rPr>
      </w:pPr>
      <w:bookmarkStart w:id="315" w:name="_Toc989203"/>
      <w:r>
        <w:rPr>
          <w:rFonts w:hint="eastAsia" w:ascii="宋体" w:hAnsi="宋体" w:cs="宋体"/>
          <w:b/>
          <w:bCs/>
          <w:sz w:val="21"/>
          <w:szCs w:val="21"/>
          <w:lang w:val="en-US" w:eastAsia="zh-CN"/>
        </w:rPr>
        <w:t>1.</w:t>
      </w:r>
      <w:r>
        <w:rPr>
          <w:rFonts w:ascii="宋体" w:hAnsi="宋体" w:eastAsia="宋体" w:cs="宋体"/>
          <w:b/>
          <w:bCs/>
          <w:sz w:val="21"/>
          <w:szCs w:val="21"/>
        </w:rPr>
        <w:t>应收项目</w:t>
      </w:r>
      <w:bookmarkEnd w:id="3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66"/>
        <w:gridCol w:w="184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84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84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126,336.83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6,316.84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17,634.53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881.73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2,015.51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17,804,317.04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9,399,820.02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17,804,317.04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2,489,907.87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湖南建院建设工程检测有限责任公司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46,341.32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108,270.48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5,413.52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1,436.70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Precision Tools India Pvt.Ltd</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158,329.55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7,916.48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Werkzeugtechnologie GmbH</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263,463.47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23,040.61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346,989.56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48,823.85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90,764.52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4,538.23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98,085.12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418,720.10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hint="eastAsia" w:ascii="宋体" w:hAnsi="宋体" w:eastAsia="宋体" w:cs="宋体"/>
                <w:i w:val="0"/>
                <w:iCs w:val="0"/>
                <w:caps w:val="0"/>
                <w:color w:val="333333"/>
                <w:spacing w:val="0"/>
                <w:sz w:val="18"/>
                <w:szCs w:val="18"/>
                <w:shd w:val="clear" w:fill="FFFFFF"/>
              </w:rPr>
              <w:t>20,936.01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35,559.27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1,777.96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14,675.70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预付账款</w:t>
            </w: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6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84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316" w:name="_Toc989204"/>
      <w:r>
        <w:rPr>
          <w:rFonts w:hint="eastAsia" w:ascii="宋体" w:hAnsi="宋体" w:cs="宋体"/>
          <w:b/>
          <w:bCs/>
          <w:sz w:val="21"/>
          <w:szCs w:val="21"/>
          <w:lang w:val="en-US" w:eastAsia="zh-CN"/>
        </w:rPr>
        <w:t>2.</w:t>
      </w:r>
      <w:r>
        <w:rPr>
          <w:rFonts w:ascii="宋体" w:hAnsi="宋体" w:eastAsia="宋体" w:cs="宋体"/>
          <w:b/>
          <w:bCs/>
          <w:sz w:val="21"/>
          <w:szCs w:val="21"/>
        </w:rPr>
        <w:t>应付项目</w:t>
      </w:r>
      <w:bookmarkEnd w:id="3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82"/>
        <w:gridCol w:w="2638"/>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63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63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63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湖南省建设项目投资管理有限责任公司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57,870.38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63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5,378.10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63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63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中南大学粉末冶金工程研究中心有限公司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63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湖南博云投资管理有限公司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63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38,030.52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8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63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湖南兴湘投资控股集团有限公司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223,819.60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223,819.60</w:t>
            </w:r>
          </w:p>
        </w:tc>
      </w:tr>
    </w:tbl>
    <w:p>
      <w:pPr>
        <w:keepNext/>
        <w:keepLines/>
        <w:spacing w:before="300" w:after="300" w:line="280" w:lineRule="exact"/>
        <w:jc w:val="left"/>
        <w:outlineLvl w:val="2"/>
        <w:rPr>
          <w:rFonts w:ascii="宋体" w:hAnsi="宋体" w:eastAsia="宋体" w:cs="宋体"/>
          <w:b/>
          <w:bCs/>
          <w:sz w:val="21"/>
          <w:szCs w:val="21"/>
        </w:rPr>
      </w:pPr>
      <w:bookmarkStart w:id="317" w:name="_Toc989205"/>
      <w:r>
        <w:rPr>
          <w:rFonts w:hint="eastAsia" w:ascii="宋体" w:hAnsi="宋体" w:cs="宋体"/>
          <w:b/>
          <w:bCs/>
          <w:sz w:val="21"/>
          <w:szCs w:val="21"/>
          <w:lang w:eastAsia="zh-CN"/>
        </w:rPr>
        <w:t>（七）</w:t>
      </w:r>
      <w:r>
        <w:rPr>
          <w:rFonts w:ascii="宋体" w:hAnsi="宋体" w:eastAsia="宋体" w:cs="宋体"/>
          <w:b/>
          <w:bCs/>
          <w:sz w:val="21"/>
          <w:szCs w:val="21"/>
        </w:rPr>
        <w:t>关联方承诺</w:t>
      </w:r>
      <w:bookmarkEnd w:id="317"/>
    </w:p>
    <w:p>
      <w:pPr>
        <w:pStyle w:val="4"/>
        <w:keepNext w:val="0"/>
        <w:keepLines w:val="0"/>
        <w:widowControl/>
        <w:suppressLineNumbers w:val="0"/>
        <w:spacing w:before="157" w:beforeAutospacing="0" w:after="0" w:afterAutospacing="0" w:line="280" w:lineRule="atLeast"/>
        <w:ind w:left="0" w:right="0" w:firstLine="420"/>
        <w:jc w:val="left"/>
        <w:rPr>
          <w:rFonts w:hint="default" w:ascii="Times New Roman" w:hAnsi="Times New Roman" w:cs="Times New Roman"/>
          <w:sz w:val="21"/>
          <w:szCs w:val="21"/>
        </w:rPr>
      </w:pPr>
      <w:r>
        <w:rPr>
          <w:rFonts w:hint="eastAsia" w:ascii="宋体" w:hAnsi="宋体" w:eastAsia="宋体" w:cs="宋体"/>
          <w:color w:val="000000"/>
          <w:sz w:val="21"/>
          <w:szCs w:val="21"/>
        </w:rPr>
        <w:t>代为培育承诺:</w:t>
      </w:r>
    </w:p>
    <w:p>
      <w:pPr>
        <w:pStyle w:val="4"/>
        <w:keepNext w:val="0"/>
        <w:keepLines w:val="0"/>
        <w:widowControl/>
        <w:suppressLineNumbers w:val="0"/>
        <w:spacing w:before="0" w:beforeAutospacing="0" w:after="0" w:afterAutospacing="0"/>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公司于</w:t>
      </w:r>
      <w:r>
        <w:rPr>
          <w:rFonts w:hint="default" w:ascii="Times New Roman" w:hAnsi="Times New Roman" w:eastAsia="宋体" w:cs="Times New Roman"/>
          <w:color w:val="000000"/>
          <w:sz w:val="21"/>
          <w:szCs w:val="21"/>
        </w:rPr>
        <w:t>2024</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11</w:t>
      </w:r>
      <w:r>
        <w:rPr>
          <w:rFonts w:hint="eastAsia" w:ascii="宋体" w:hAnsi="宋体" w:eastAsia="宋体" w:cs="宋体"/>
          <w:color w:val="000000"/>
          <w:sz w:val="21"/>
          <w:szCs w:val="21"/>
        </w:rPr>
        <w:t>日审议通过了《湖南博云新材料股份有限公司关于与控股股东和兴湘资本签署〈代为培育协议〉暨关联交易的议案》，同意公司与控股股东中南大学粉末冶金工程研究中心有限公司（以下简称</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粉冶中心</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）及湖南兴湘资本管理有限公司（以下简称</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兴湘资本</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）签署《代为培育协议》。</w:t>
      </w:r>
    </w:p>
    <w:p>
      <w:pPr>
        <w:pStyle w:val="4"/>
        <w:keepNext w:val="0"/>
        <w:keepLines w:val="0"/>
        <w:widowControl/>
        <w:suppressLineNumbers w:val="0"/>
        <w:spacing w:before="0" w:beforeAutospacing="0" w:after="0" w:afterAutospacing="0"/>
        <w:ind w:left="0" w:right="0" w:firstLine="420"/>
        <w:jc w:val="both"/>
        <w:rPr>
          <w:rFonts w:hint="default" w:ascii="Times New Roman" w:hAnsi="Times New Roman" w:cs="Times New Roman"/>
          <w:sz w:val="24"/>
          <w:szCs w:val="24"/>
        </w:rPr>
      </w:pPr>
      <w:r>
        <w:rPr>
          <w:rFonts w:hint="eastAsia" w:ascii="宋体" w:hAnsi="宋体" w:eastAsia="宋体" w:cs="宋体"/>
          <w:color w:val="000000"/>
          <w:sz w:val="21"/>
          <w:szCs w:val="21"/>
        </w:rPr>
        <w:t>由粉冶中心和兴湘资本按照市场原则为公司代为培育符合公司需要的，但暂不适合公司实施的飞机机轮刹车系统部分核心部件关键技术研究与产品开发项目（主要包括飞机铝合金轮毂部分组件、高性能低成本碳盘和控制系统部分附件，以下简称</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培育标的</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）的研发、生产。培育标的成熟达到注入上市公司的条件时，粉冶中心和兴湘资本应立即书面通知公司，并启动将所持炜铂科技股权注入公司的程序。</w:t>
      </w:r>
    </w:p>
    <w:p>
      <w:pPr>
        <w:keepNext/>
        <w:keepLines/>
        <w:spacing w:before="300" w:after="300" w:line="280" w:lineRule="exact"/>
        <w:jc w:val="left"/>
        <w:outlineLvl w:val="2"/>
        <w:rPr>
          <w:rFonts w:ascii="宋体" w:hAnsi="宋体" w:eastAsia="宋体" w:cs="宋体"/>
          <w:b/>
          <w:bCs/>
          <w:sz w:val="21"/>
          <w:szCs w:val="21"/>
        </w:rPr>
      </w:pPr>
      <w:bookmarkStart w:id="318" w:name="_Toc989206"/>
      <w:r>
        <w:rPr>
          <w:rFonts w:hint="eastAsia" w:ascii="宋体" w:hAnsi="宋体" w:cs="宋体"/>
          <w:b/>
          <w:bCs/>
          <w:sz w:val="21"/>
          <w:szCs w:val="21"/>
          <w:lang w:eastAsia="zh-CN"/>
        </w:rPr>
        <w:t>（</w:t>
      </w:r>
      <w:r>
        <w:rPr>
          <w:rFonts w:hint="eastAsia" w:ascii="宋体" w:hAnsi="宋体" w:cs="宋体"/>
          <w:b/>
          <w:bCs/>
          <w:sz w:val="21"/>
          <w:szCs w:val="21"/>
          <w:lang w:val="en-US" w:eastAsia="zh-CN"/>
        </w:rPr>
        <w:t>八</w:t>
      </w:r>
      <w:r>
        <w:rPr>
          <w:rFonts w:hint="eastAsia" w:ascii="宋体" w:hAnsi="宋体" w:cs="宋体"/>
          <w:b/>
          <w:bCs/>
          <w:sz w:val="21"/>
          <w:szCs w:val="21"/>
          <w:lang w:eastAsia="zh-CN"/>
        </w:rPr>
        <w:t>）</w:t>
      </w:r>
      <w:r>
        <w:rPr>
          <w:rFonts w:ascii="宋体" w:hAnsi="宋体" w:eastAsia="宋体" w:cs="宋体"/>
          <w:b/>
          <w:bCs/>
          <w:sz w:val="21"/>
          <w:szCs w:val="21"/>
        </w:rPr>
        <w:t>其他</w:t>
      </w:r>
      <w:bookmarkEnd w:id="318"/>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ascii="仿宋_GB2312" w:eastAsia="仿宋_GB2312" w:cs="仿宋_GB2312"/>
          <w:sz w:val="32"/>
          <w:szCs w:val="32"/>
        </w:rPr>
      </w:pPr>
      <w:r>
        <w:rPr>
          <w:rFonts w:hint="eastAsia" w:ascii="宋体" w:hAnsi="宋体" w:eastAsia="宋体" w:cs="宋体"/>
          <w:color w:val="000000"/>
          <w:sz w:val="21"/>
          <w:szCs w:val="21"/>
        </w:rPr>
        <w:t>无。</w:t>
      </w:r>
    </w:p>
    <w:p>
      <w:pPr>
        <w:keepNext/>
        <w:keepLines/>
        <w:spacing w:before="300" w:after="300" w:line="320" w:lineRule="exact"/>
        <w:jc w:val="left"/>
        <w:outlineLvl w:val="1"/>
        <w:rPr>
          <w:rFonts w:ascii="宋体" w:hAnsi="宋体" w:eastAsia="宋体" w:cs="宋体"/>
          <w:b/>
          <w:bCs/>
          <w:sz w:val="24"/>
          <w:szCs w:val="24"/>
        </w:rPr>
      </w:pPr>
      <w:bookmarkStart w:id="319" w:name="_Toc989207"/>
      <w:r>
        <w:rPr>
          <w:rFonts w:ascii="宋体" w:hAnsi="宋体" w:eastAsia="宋体" w:cs="宋体"/>
          <w:b/>
          <w:bCs/>
          <w:sz w:val="24"/>
          <w:szCs w:val="24"/>
        </w:rPr>
        <w:t>十五、承诺及或有事项</w:t>
      </w:r>
      <w:bookmarkEnd w:id="319"/>
    </w:p>
    <w:p>
      <w:pPr>
        <w:keepNext/>
        <w:keepLines/>
        <w:spacing w:before="300" w:after="300" w:line="280" w:lineRule="exact"/>
        <w:jc w:val="left"/>
        <w:outlineLvl w:val="2"/>
        <w:rPr>
          <w:rFonts w:ascii="宋体" w:hAnsi="宋体" w:eastAsia="宋体" w:cs="宋体"/>
          <w:b/>
          <w:bCs/>
          <w:sz w:val="21"/>
          <w:szCs w:val="21"/>
        </w:rPr>
      </w:pPr>
      <w:bookmarkStart w:id="320" w:name="_Toc989208"/>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重要承诺事项</w:t>
      </w:r>
      <w:bookmarkEnd w:id="320"/>
    </w:p>
    <w:p>
      <w:pPr>
        <w:keepNext/>
        <w:keepLines/>
        <w:pageBreakBefore w:val="0"/>
        <w:widowControl w:val="0"/>
        <w:kinsoku/>
        <w:wordWrap/>
        <w:overflowPunct/>
        <w:topLinePunct w:val="0"/>
        <w:autoSpaceDE/>
        <w:autoSpaceDN/>
        <w:bidi w:val="0"/>
        <w:adjustRightInd/>
        <w:snapToGrid/>
        <w:spacing w:before="300" w:line="280" w:lineRule="exact"/>
        <w:ind w:firstLine="420" w:firstLineChars="200"/>
        <w:jc w:val="left"/>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资产负债表日存在的重要承诺：</w:t>
      </w:r>
    </w:p>
    <w:p>
      <w:pPr>
        <w:pStyle w:val="4"/>
        <w:keepNext w:val="0"/>
        <w:keepLines w:val="0"/>
        <w:widowControl/>
        <w:suppressLineNumbers w:val="0"/>
        <w:spacing w:before="0" w:beforeAutospacing="0" w:after="0" w:afterAutospacing="0"/>
        <w:ind w:left="0" w:right="0" w:firstLine="420"/>
        <w:jc w:val="both"/>
        <w:rPr>
          <w:rFonts w:hint="default" w:ascii="宋体" w:hAnsi="宋体" w:eastAsia="宋体" w:cs="宋体"/>
          <w:color w:val="000000"/>
          <w:sz w:val="21"/>
          <w:szCs w:val="21"/>
        </w:rPr>
      </w:pPr>
      <w:r>
        <w:rPr>
          <w:rFonts w:hint="default" w:ascii="宋体" w:hAnsi="宋体" w:eastAsia="宋体" w:cs="宋体"/>
          <w:color w:val="000000"/>
          <w:sz w:val="21"/>
          <w:szCs w:val="21"/>
        </w:rPr>
        <w:t>截至资产负债表日，公司已开立未到期的信用证为3,100,212.12元，其中：到期日为2025年12月25日的信用证，信用证保证金2,684,224.89元；到期日为2026年2月25日的信用证，信用证保证金415,987.23元。</w:t>
      </w:r>
    </w:p>
    <w:p>
      <w:pPr>
        <w:keepNext/>
        <w:keepLines/>
        <w:spacing w:before="300" w:after="300" w:line="280" w:lineRule="exact"/>
        <w:jc w:val="left"/>
        <w:outlineLvl w:val="2"/>
        <w:rPr>
          <w:rFonts w:ascii="宋体" w:hAnsi="宋体" w:eastAsia="宋体" w:cs="宋体"/>
          <w:b/>
          <w:bCs/>
          <w:sz w:val="21"/>
          <w:szCs w:val="21"/>
        </w:rPr>
      </w:pPr>
      <w:bookmarkStart w:id="321" w:name="_Toc989209"/>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或有事项</w:t>
      </w:r>
      <w:bookmarkEnd w:id="321"/>
    </w:p>
    <w:p>
      <w:pPr>
        <w:spacing w:before="40" w:after="40" w:line="240" w:lineRule="exact"/>
        <w:ind w:firstLine="420" w:firstLineChars="20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公司不存在需要披露的重要或有事项。</w:t>
      </w:r>
    </w:p>
    <w:p>
      <w:pPr>
        <w:keepNext/>
        <w:keepLines/>
        <w:spacing w:before="300" w:after="300" w:line="320" w:lineRule="exact"/>
        <w:jc w:val="left"/>
        <w:outlineLvl w:val="1"/>
        <w:rPr>
          <w:rFonts w:ascii="宋体" w:hAnsi="宋体" w:eastAsia="宋体" w:cs="宋体"/>
          <w:b/>
          <w:bCs/>
          <w:sz w:val="24"/>
          <w:szCs w:val="24"/>
        </w:rPr>
      </w:pPr>
      <w:bookmarkStart w:id="322" w:name="_Toc989212"/>
      <w:r>
        <w:rPr>
          <w:rFonts w:ascii="宋体" w:hAnsi="宋体" w:eastAsia="宋体" w:cs="宋体"/>
          <w:b/>
          <w:bCs/>
          <w:sz w:val="24"/>
          <w:szCs w:val="24"/>
        </w:rPr>
        <w:t>十六、资产负债表日后事项</w:t>
      </w:r>
      <w:bookmarkEnd w:id="322"/>
    </w:p>
    <w:p>
      <w:pPr>
        <w:keepNext/>
        <w:keepLines/>
        <w:spacing w:before="300" w:after="300" w:line="280" w:lineRule="exact"/>
        <w:jc w:val="left"/>
        <w:outlineLvl w:val="2"/>
        <w:rPr>
          <w:rFonts w:ascii="宋体" w:hAnsi="宋体" w:eastAsia="宋体" w:cs="宋体"/>
          <w:b/>
          <w:bCs/>
          <w:sz w:val="21"/>
          <w:szCs w:val="21"/>
          <w:highlight w:val="none"/>
        </w:rPr>
      </w:pPr>
      <w:bookmarkStart w:id="323" w:name="_Toc989213"/>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一</w:t>
      </w:r>
      <w:r>
        <w:rPr>
          <w:rFonts w:hint="eastAsia" w:ascii="宋体" w:hAnsi="宋体" w:cs="宋体"/>
          <w:b/>
          <w:bCs/>
          <w:sz w:val="21"/>
          <w:szCs w:val="21"/>
          <w:highlight w:val="none"/>
          <w:lang w:eastAsia="zh-CN"/>
        </w:rPr>
        <w:t>）</w:t>
      </w:r>
      <w:r>
        <w:rPr>
          <w:rFonts w:ascii="宋体" w:hAnsi="宋体" w:eastAsia="宋体" w:cs="宋体"/>
          <w:b/>
          <w:bCs/>
          <w:sz w:val="21"/>
          <w:szCs w:val="21"/>
          <w:highlight w:val="none"/>
        </w:rPr>
        <w:t>利润分配情况</w:t>
      </w:r>
      <w:bookmarkEnd w:id="323"/>
    </w:p>
    <w:p>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ascii="宋体" w:hAnsi="宋体" w:eastAsia="宋体" w:cs="宋体"/>
          <w:color w:val="000000"/>
          <w:kern w:val="0"/>
          <w:sz w:val="21"/>
          <w:szCs w:val="21"/>
          <w:lang w:val="en-US" w:eastAsia="zh-CN" w:bidi="ar"/>
        </w:rPr>
        <w:t>无。</w:t>
      </w:r>
    </w:p>
    <w:p>
      <w:pPr>
        <w:keepNext/>
        <w:keepLines/>
        <w:spacing w:before="300" w:after="300" w:line="280" w:lineRule="exact"/>
        <w:jc w:val="left"/>
        <w:outlineLvl w:val="2"/>
      </w:pPr>
      <w:bookmarkStart w:id="324" w:name="_Toc989214"/>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其他资产负债表日后事项说明</w:t>
      </w:r>
      <w:bookmarkEnd w:id="324"/>
      <w:r>
        <w:rPr>
          <w:rFonts w:hint="eastAsia" w:ascii="宋体" w:hAnsi="宋体" w:eastAsia="宋体" w:cs="宋体"/>
          <w:sz w:val="18"/>
          <w:szCs w:val="18"/>
        </w:rPr>
        <w:t> </w:t>
      </w:r>
    </w:p>
    <w:p>
      <w:pPr>
        <w:pStyle w:val="4"/>
        <w:keepNext w:val="0"/>
        <w:keepLines w:val="0"/>
        <w:widowControl/>
        <w:suppressLineNumbers w:val="0"/>
        <w:spacing w:before="0" w:beforeAutospacing="0" w:after="0" w:afterAutospacing="0"/>
        <w:ind w:right="0" w:firstLine="420" w:firstLineChars="200"/>
        <w:jc w:val="both"/>
        <w:rPr>
          <w:rFonts w:hint="default" w:ascii="宋体" w:hAnsi="宋体" w:eastAsia="宋体" w:cs="宋体"/>
          <w:color w:val="000000"/>
          <w:sz w:val="21"/>
          <w:szCs w:val="21"/>
        </w:rPr>
      </w:pPr>
      <w:r>
        <w:rPr>
          <w:rFonts w:hint="eastAsia" w:ascii="宋体" w:hAnsi="宋体" w:eastAsia="宋体" w:cs="宋体"/>
          <w:color w:val="000000"/>
          <w:sz w:val="21"/>
          <w:szCs w:val="21"/>
        </w:rPr>
        <w:t>截至本财务报表批准报出日，本公司无需要披露的资产负债表日后非调整事项。</w:t>
      </w:r>
    </w:p>
    <w:p>
      <w:pPr>
        <w:keepNext/>
        <w:keepLines/>
        <w:spacing w:before="300" w:after="300" w:line="320" w:lineRule="exact"/>
        <w:jc w:val="left"/>
        <w:outlineLvl w:val="1"/>
        <w:rPr>
          <w:rFonts w:ascii="宋体" w:hAnsi="宋体" w:eastAsia="宋体" w:cs="宋体"/>
          <w:b/>
          <w:bCs/>
          <w:sz w:val="24"/>
          <w:szCs w:val="24"/>
        </w:rPr>
      </w:pPr>
      <w:bookmarkStart w:id="325" w:name="_Toc989215"/>
      <w:r>
        <w:rPr>
          <w:rFonts w:ascii="宋体" w:hAnsi="宋体" w:eastAsia="宋体" w:cs="宋体"/>
          <w:b/>
          <w:bCs/>
          <w:sz w:val="24"/>
          <w:szCs w:val="24"/>
        </w:rPr>
        <w:t>十七、资本管理</w:t>
      </w:r>
      <w:bookmarkEnd w:id="325"/>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本公司资本管理的主要目标是确保本公司持续经营的能力，并保持健康的资本比率，以支持业务发展并使股东价值最大化。</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本公司管理资本结构并根据经济形势以及相关资产的风险特征的变化对其进行调整。为维持或调整资本结构，本公司可以调整对股东的利润分配、向股东归还资本或发行新股。</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本公司不受外部强制性资本要求约束。与上期相比，公司资本管理目标、政策或程序未发生变化。</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本公司采用杠杆比率来管理资本，杠杆比率是指净负债和调整后资本加净负债的比率。净负债包括金融负债减去金融资产。资本包括所有者权益减去其他综合收益，公司于资产负债表日的杠杆比率如下：</w:t>
      </w:r>
    </w:p>
    <w:tbl>
      <w:tblPr>
        <w:tblStyle w:val="5"/>
        <w:tblW w:w="458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167"/>
        <w:gridCol w:w="2470"/>
        <w:gridCol w:w="23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default" w:ascii="Times New Roman" w:hAnsi="Times New Roman" w:cs="Times New Roman"/>
                <w:color w:val="000000"/>
                <w:sz w:val="18"/>
                <w:szCs w:val="18"/>
              </w:rPr>
              <w:t> </w:t>
            </w:r>
          </w:p>
        </w:tc>
        <w:tc>
          <w:tcPr>
            <w:tcW w:w="213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期末余额</w:t>
            </w:r>
          </w:p>
        </w:tc>
        <w:tc>
          <w:tcPr>
            <w:tcW w:w="20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4"/>
                <w:szCs w:val="24"/>
              </w:rPr>
            </w:pPr>
            <w:r>
              <w:rPr>
                <w:rFonts w:hint="eastAsia" w:ascii="宋体" w:hAnsi="宋体" w:eastAsia="宋体" w:cs="宋体"/>
                <w:color w:val="000000"/>
                <w:sz w:val="18"/>
                <w:szCs w:val="18"/>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金融负债</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764,506,661.88</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701,779,665.65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减：金融资产</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1,075,260,130.62</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1,033,314,276.35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净负债小计</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-310,753,468.74</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-331,534,610.70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资本</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2,076,425,432.08</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2,068,401,374.30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净负债和资本合计</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1,765,671,963.34</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1,736,866,763.60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6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18"/>
                <w:szCs w:val="18"/>
              </w:rPr>
              <w:t>杠杆比率</w:t>
            </w:r>
          </w:p>
        </w:tc>
        <w:tc>
          <w:tcPr>
            <w:tcW w:w="21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-17.60%</w:t>
            </w:r>
          </w:p>
        </w:tc>
        <w:tc>
          <w:tcPr>
            <w:tcW w:w="20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right"/>
              <w:textAlignment w:val="center"/>
              <w:rPr>
                <w:rFonts w:hint="default" w:ascii="Times New Roman" w:hAnsi="Times New Roman" w:cs="Times New Roman"/>
                <w:sz w:val="21"/>
                <w:szCs w:val="21"/>
              </w:rPr>
            </w:pPr>
            <w:r>
              <w:rPr>
                <w:rFonts w:hint="default" w:ascii="Times New Roman" w:hAnsi="Times New Roman" w:cs="Times New Roman"/>
                <w:i w:val="0"/>
                <w:iCs w:val="0"/>
                <w:color w:val="000000"/>
                <w:sz w:val="18"/>
                <w:szCs w:val="18"/>
              </w:rPr>
              <w:t>-19.09%</w:t>
            </w:r>
          </w:p>
        </w:tc>
      </w:tr>
    </w:tbl>
    <w:p>
      <w:pPr>
        <w:keepNext/>
        <w:keepLines/>
        <w:spacing w:before="300" w:after="300" w:line="320" w:lineRule="exact"/>
        <w:jc w:val="left"/>
        <w:outlineLvl w:val="1"/>
        <w:rPr>
          <w:rFonts w:ascii="宋体" w:hAnsi="宋体" w:eastAsia="宋体" w:cs="宋体"/>
          <w:b/>
          <w:bCs/>
          <w:sz w:val="24"/>
          <w:szCs w:val="24"/>
        </w:rPr>
      </w:pPr>
      <w:bookmarkStart w:id="326" w:name="_Toc989216"/>
      <w:r>
        <w:rPr>
          <w:rFonts w:ascii="宋体" w:hAnsi="宋体" w:eastAsia="宋体" w:cs="宋体"/>
          <w:b/>
          <w:bCs/>
          <w:sz w:val="24"/>
          <w:szCs w:val="24"/>
        </w:rPr>
        <w:t>十八、其他重要事项</w:t>
      </w:r>
      <w:bookmarkEnd w:id="326"/>
    </w:p>
    <w:p>
      <w:pPr>
        <w:keepNext/>
        <w:keepLines/>
        <w:spacing w:before="300" w:after="300" w:line="280" w:lineRule="exact"/>
        <w:jc w:val="left"/>
        <w:outlineLvl w:val="2"/>
        <w:rPr>
          <w:rFonts w:ascii="宋体" w:hAnsi="宋体" w:eastAsia="宋体" w:cs="宋体"/>
          <w:b/>
          <w:bCs/>
          <w:sz w:val="21"/>
          <w:szCs w:val="21"/>
        </w:rPr>
      </w:pPr>
      <w:bookmarkStart w:id="327" w:name="_Toc989217"/>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分部信息</w:t>
      </w:r>
      <w:bookmarkEnd w:id="327"/>
    </w:p>
    <w:p>
      <w:pPr>
        <w:keepNext/>
        <w:keepLines/>
        <w:spacing w:before="300" w:after="300" w:line="280" w:lineRule="exact"/>
        <w:jc w:val="left"/>
        <w:outlineLvl w:val="3"/>
        <w:rPr>
          <w:rFonts w:ascii="宋体" w:hAnsi="宋体" w:eastAsia="宋体" w:cs="宋体"/>
          <w:b/>
          <w:bCs/>
          <w:sz w:val="21"/>
          <w:szCs w:val="21"/>
        </w:rPr>
      </w:pPr>
      <w:bookmarkStart w:id="328" w:name="_Toc989218"/>
      <w:r>
        <w:rPr>
          <w:rFonts w:hint="eastAsia" w:ascii="宋体" w:hAnsi="宋体" w:cs="宋体"/>
          <w:b/>
          <w:bCs/>
          <w:sz w:val="21"/>
          <w:szCs w:val="21"/>
          <w:lang w:val="en-US" w:eastAsia="zh-CN"/>
        </w:rPr>
        <w:t>1.</w:t>
      </w:r>
      <w:r>
        <w:rPr>
          <w:rFonts w:ascii="宋体" w:hAnsi="宋体" w:eastAsia="宋体" w:cs="宋体"/>
          <w:b/>
          <w:bCs/>
          <w:sz w:val="21"/>
          <w:szCs w:val="21"/>
        </w:rPr>
        <w:t>报告分部的确定依据与会计政策</w:t>
      </w:r>
      <w:bookmarkEnd w:id="328"/>
    </w:p>
    <w:p>
      <w:pPr>
        <w:pStyle w:val="4"/>
        <w:keepNext w:val="0"/>
        <w:keepLines w:val="0"/>
        <w:widowControl/>
        <w:suppressLineNumbers w:val="0"/>
        <w:spacing w:before="0" w:beforeAutospacing="1" w:after="0" w:afterAutospacing="1"/>
        <w:ind w:left="0" w:right="0" w:firstLine="420" w:firstLineChars="200"/>
      </w:pPr>
      <w:bookmarkStart w:id="329" w:name="_Toc989219"/>
      <w:r>
        <w:rPr>
          <w:rFonts w:hint="eastAsia" w:ascii="宋体" w:hAnsi="宋体" w:eastAsia="宋体" w:cs="宋体"/>
          <w:color w:val="000000"/>
          <w:sz w:val="21"/>
          <w:szCs w:val="21"/>
          <w:highlight w:val="none"/>
        </w:rPr>
        <w:t>本公司业务分航空航天产品及</w:t>
      </w:r>
      <w:r>
        <w:rPr>
          <w:rFonts w:hint="eastAsia" w:ascii="宋体" w:hAnsi="宋体" w:eastAsia="宋体" w:cs="宋体"/>
          <w:color w:val="000000"/>
          <w:sz w:val="21"/>
          <w:szCs w:val="21"/>
        </w:rPr>
        <w:t>碳</w:t>
      </w:r>
      <w:r>
        <w:rPr>
          <w:rFonts w:hint="default" w:ascii="Times New Roman" w:hAnsi="Times New Roman" w:eastAsia="宋体" w:cs="Times New Roman"/>
          <w:color w:val="000000"/>
          <w:sz w:val="21"/>
          <w:szCs w:val="21"/>
        </w:rPr>
        <w:t>/</w:t>
      </w:r>
      <w:r>
        <w:rPr>
          <w:rFonts w:hint="eastAsia" w:ascii="宋体" w:hAnsi="宋体" w:eastAsia="宋体" w:cs="宋体"/>
          <w:color w:val="000000"/>
          <w:sz w:val="21"/>
          <w:szCs w:val="21"/>
        </w:rPr>
        <w:t>碳复合材料业务和粉末冶金业务，因这两种业务具有不同的风险及报酬，故本公司将上述两种业务分成两个分部。</w:t>
      </w:r>
    </w:p>
    <w:p>
      <w:pPr>
        <w:keepNext/>
        <w:keepLines/>
        <w:spacing w:before="300" w:after="300" w:line="280" w:lineRule="exact"/>
        <w:jc w:val="left"/>
        <w:outlineLvl w:val="3"/>
        <w:rPr>
          <w:rFonts w:ascii="宋体" w:hAnsi="宋体" w:eastAsia="宋体" w:cs="宋体"/>
          <w:b/>
          <w:bCs/>
          <w:sz w:val="21"/>
          <w:szCs w:val="21"/>
        </w:rPr>
      </w:pPr>
      <w:r>
        <w:rPr>
          <w:rFonts w:hint="eastAsia" w:ascii="宋体" w:hAnsi="宋体" w:cs="宋体"/>
          <w:b/>
          <w:bCs/>
          <w:sz w:val="21"/>
          <w:szCs w:val="21"/>
          <w:lang w:val="en-US" w:eastAsia="zh-CN"/>
        </w:rPr>
        <w:t>2.</w:t>
      </w:r>
      <w:r>
        <w:rPr>
          <w:rFonts w:ascii="宋体" w:hAnsi="宋体" w:eastAsia="宋体" w:cs="宋体"/>
          <w:b/>
          <w:bCs/>
          <w:sz w:val="21"/>
          <w:szCs w:val="21"/>
        </w:rPr>
        <w:t>报告分部的财务信息</w:t>
      </w:r>
      <w:bookmarkEnd w:id="3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7D7D7" w:themeFill="background1" w:themeFillShade="D8"/>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7D7D7" w:themeFill="background1" w:themeFillShade="D8"/>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航空航天及碳/碳复合材料业务</w:t>
            </w:r>
          </w:p>
        </w:tc>
        <w:tc>
          <w:tcPr>
            <w:tcW w:w="1928" w:type="dxa"/>
            <w:tcBorders>
              <w:top w:val="single" w:color="auto" w:sz="2" w:space="0"/>
              <w:left w:val="single" w:color="auto" w:sz="2" w:space="0"/>
              <w:bottom w:val="single" w:color="auto" w:sz="2" w:space="0"/>
              <w:right w:val="single" w:color="auto" w:sz="2" w:space="0"/>
            </w:tcBorders>
            <w:shd w:val="clear" w:color="auto" w:fill="D7D7D7" w:themeFill="background1" w:themeFillShade="D8"/>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粉末冶金业务</w:t>
            </w:r>
          </w:p>
        </w:tc>
        <w:tc>
          <w:tcPr>
            <w:tcW w:w="1928" w:type="dxa"/>
            <w:tcBorders>
              <w:top w:val="single" w:color="auto" w:sz="2" w:space="0"/>
              <w:left w:val="single" w:color="auto" w:sz="2" w:space="0"/>
              <w:bottom w:val="single" w:color="auto" w:sz="2" w:space="0"/>
              <w:right w:val="single" w:color="auto" w:sz="2" w:space="0"/>
            </w:tcBorders>
            <w:shd w:val="clear" w:color="auto" w:fill="D7D7D7" w:themeFill="background1" w:themeFillShade="D8"/>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对外交易收入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134,255,481.92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261,337,127.34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395,592,609.26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分部间交易收入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对联营企业及合营企业的投资收益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110,847.15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信用减值损失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-9,438,755.45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-3,198,501.75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-12,637,257.20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折旧费及摊销费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19,285,843.98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26,569,981.16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45,855,825.14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利润总额（亏损总额）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28,238,705.68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-20,697,972.07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7,540,733.61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2,483,195.02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-2,966,519.19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-483,324.17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净利润（净亏损）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25,755,510.66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-17,731,452.88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8,024,057.78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1,399,186,395.77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1,607,931,670.60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3,007,118,066.37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271,480,436.64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654,250,671.79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925,731,108.43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其他重要的非现金项目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折旧费和摊销费以外的其他非现金费用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-17,706.84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-1,392,552.15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-1,410,258.99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对联营企业和合营企业的长期股权投资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长期股权投资以外的其他非流动资产增加额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-47,689.01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-10,144,096.78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-10,191,785.79</w:t>
            </w:r>
          </w:p>
        </w:tc>
      </w:tr>
    </w:tbl>
    <w:p>
      <w:pPr>
        <w:keepNext/>
        <w:keepLines/>
        <w:spacing w:before="300" w:after="300" w:line="280" w:lineRule="exact"/>
        <w:jc w:val="left"/>
        <w:outlineLvl w:val="2"/>
        <w:rPr>
          <w:rFonts w:ascii="宋体" w:hAnsi="宋体" w:eastAsia="宋体" w:cs="宋体"/>
          <w:b/>
          <w:bCs/>
          <w:sz w:val="21"/>
          <w:szCs w:val="21"/>
        </w:rPr>
      </w:pPr>
      <w:bookmarkStart w:id="330" w:name="_Toc989220"/>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其他</w:t>
      </w:r>
      <w:bookmarkEnd w:id="330"/>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为子公司湖南博云东方粉末冶金有限公司提供的担保</w:t>
      </w:r>
    </w:p>
    <w:p>
      <w:pPr>
        <w:pStyle w:val="4"/>
        <w:keepNext w:val="0"/>
        <w:keepLines w:val="0"/>
        <w:widowControl/>
        <w:suppressLineNumbers w:val="0"/>
        <w:spacing w:before="0" w:beforeAutospacing="0" w:after="0" w:afterAutospacing="0" w:line="360" w:lineRule="atLeast"/>
        <w:ind w:left="0" w:right="0" w:firstLine="420"/>
        <w:jc w:val="left"/>
        <w:rPr>
          <w:rFonts w:hint="default" w:ascii="Times New Roman" w:hAnsi="Times New Roman" w:cs="Times New Roman"/>
          <w:sz w:val="24"/>
          <w:szCs w:val="24"/>
        </w:rPr>
      </w:pPr>
      <w:r>
        <w:rPr>
          <w:rFonts w:hint="eastAsia" w:ascii="宋体" w:hAnsi="宋体" w:eastAsia="宋体" w:cs="宋体"/>
          <w:color w:val="000000"/>
          <w:sz w:val="21"/>
          <w:szCs w:val="21"/>
        </w:rPr>
        <w:t>2020年08月21日，本公司与中国建设银行股份有限公司长沙河西支行签订了编号为“HTC430783700ZGDB202000003”最高额保证合同，为中国建设银行股份有限公司长沙河西支行向本公司子公司湖南博云东方粉末冶金有限公司提供的最高额度为4,000万元人民币的授信提供连带责任保证，授信期间为2020年08月21日至2025年08月21日。该保证合同已于2024年6月20日随子公司博云东方末笔担保贷款结清而终止。</w:t>
      </w:r>
    </w:p>
    <w:p>
      <w:pPr>
        <w:pStyle w:val="4"/>
        <w:keepNext w:val="0"/>
        <w:keepLines w:val="0"/>
        <w:widowControl/>
        <w:suppressLineNumbers w:val="0"/>
        <w:spacing w:before="0" w:beforeAutospacing="0" w:after="0" w:afterAutospacing="0" w:line="360" w:lineRule="atLeast"/>
        <w:ind w:left="0" w:right="0"/>
        <w:jc w:val="left"/>
        <w:rPr>
          <w:rFonts w:hint="default" w:ascii="Times New Roman" w:hAnsi="Times New Roman" w:cs="Times New Roman"/>
          <w:sz w:val="24"/>
          <w:szCs w:val="24"/>
        </w:rPr>
      </w:pPr>
      <w:r>
        <w:rPr>
          <w:rFonts w:hint="eastAsia" w:ascii="宋体" w:hAnsi="宋体" w:eastAsia="宋体" w:cs="宋体"/>
          <w:color w:val="000000"/>
          <w:sz w:val="21"/>
          <w:szCs w:val="21"/>
        </w:rPr>
        <w:t>  截至</w:t>
      </w:r>
      <w:r>
        <w:rPr>
          <w:rFonts w:hint="default" w:ascii="Times New Roman" w:hAnsi="Times New Roman" w:eastAsia="宋体" w:cs="Times New Roman"/>
          <w:color w:val="000000"/>
          <w:sz w:val="21"/>
          <w:szCs w:val="21"/>
        </w:rPr>
        <w:t>2025</w:t>
      </w:r>
      <w:r>
        <w:rPr>
          <w:rFonts w:hint="eastAsia" w:ascii="宋体" w:hAnsi="宋体" w:eastAsia="宋体" w:cs="宋体"/>
          <w:color w:val="000000"/>
          <w:sz w:val="21"/>
          <w:szCs w:val="21"/>
        </w:rPr>
        <w:t>年</w:t>
      </w:r>
      <w:r>
        <w:rPr>
          <w:rFonts w:hint="default" w:ascii="Times New Roman" w:hAnsi="Times New Roman" w:eastAsia="宋体" w:cs="Times New Roman"/>
          <w:color w:val="000000"/>
          <w:sz w:val="21"/>
          <w:szCs w:val="21"/>
        </w:rPr>
        <w:t>6</w:t>
      </w:r>
      <w:r>
        <w:rPr>
          <w:rFonts w:hint="eastAsia" w:ascii="宋体" w:hAnsi="宋体" w:eastAsia="宋体" w:cs="宋体"/>
          <w:color w:val="000000"/>
          <w:sz w:val="21"/>
          <w:szCs w:val="21"/>
        </w:rPr>
        <w:t>月</w:t>
      </w:r>
      <w:r>
        <w:rPr>
          <w:rFonts w:hint="default" w:ascii="Times New Roman" w:hAnsi="Times New Roman" w:eastAsia="宋体" w:cs="Times New Roman"/>
          <w:color w:val="000000"/>
          <w:sz w:val="21"/>
          <w:szCs w:val="21"/>
        </w:rPr>
        <w:t>30</w:t>
      </w:r>
      <w:r>
        <w:rPr>
          <w:rFonts w:hint="eastAsia" w:ascii="宋体" w:hAnsi="宋体" w:eastAsia="宋体" w:cs="宋体"/>
          <w:color w:val="000000"/>
          <w:sz w:val="21"/>
          <w:szCs w:val="21"/>
        </w:rPr>
        <w:t>日，本公司为子公司湖南博云东方粉末冶金有限公司在该行担保的借款余额为0元。</w:t>
      </w:r>
    </w:p>
    <w:p>
      <w:pPr>
        <w:keepNext/>
        <w:keepLines/>
        <w:spacing w:before="300" w:after="300" w:line="320" w:lineRule="exact"/>
        <w:jc w:val="left"/>
        <w:outlineLvl w:val="1"/>
        <w:rPr>
          <w:rFonts w:ascii="宋体" w:hAnsi="宋体" w:eastAsia="宋体" w:cs="宋体"/>
          <w:b/>
          <w:bCs/>
          <w:sz w:val="24"/>
          <w:szCs w:val="24"/>
        </w:rPr>
      </w:pPr>
      <w:bookmarkStart w:id="331" w:name="_Toc989221"/>
      <w:r>
        <w:rPr>
          <w:rFonts w:ascii="宋体" w:hAnsi="宋体" w:eastAsia="宋体" w:cs="宋体"/>
          <w:b/>
          <w:bCs/>
          <w:sz w:val="24"/>
          <w:szCs w:val="24"/>
        </w:rPr>
        <w:t>十九、母公司财务报表主要项目注释</w:t>
      </w:r>
      <w:bookmarkEnd w:id="331"/>
    </w:p>
    <w:p>
      <w:pPr>
        <w:keepNext/>
        <w:keepLines/>
        <w:spacing w:before="300" w:after="300" w:line="280" w:lineRule="exact"/>
        <w:jc w:val="left"/>
        <w:outlineLvl w:val="2"/>
        <w:rPr>
          <w:rFonts w:ascii="宋体" w:hAnsi="宋体" w:eastAsia="宋体" w:cs="宋体"/>
          <w:b/>
          <w:bCs/>
          <w:sz w:val="21"/>
          <w:szCs w:val="21"/>
        </w:rPr>
      </w:pPr>
      <w:bookmarkStart w:id="332" w:name="_Toc989222"/>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应收账款</w:t>
      </w:r>
      <w:bookmarkEnd w:id="332"/>
    </w:p>
    <w:p>
      <w:pPr>
        <w:keepNext/>
        <w:keepLines/>
        <w:spacing w:before="300" w:after="300" w:line="280" w:lineRule="exact"/>
        <w:jc w:val="left"/>
        <w:outlineLvl w:val="3"/>
        <w:rPr>
          <w:rFonts w:ascii="宋体" w:hAnsi="宋体" w:eastAsia="宋体" w:cs="宋体"/>
          <w:b/>
          <w:bCs/>
          <w:sz w:val="21"/>
          <w:szCs w:val="21"/>
        </w:rPr>
      </w:pPr>
      <w:bookmarkStart w:id="333" w:name="_Toc989223"/>
      <w:r>
        <w:rPr>
          <w:rFonts w:hint="eastAsia" w:ascii="宋体" w:hAnsi="宋体" w:cs="宋体"/>
          <w:b/>
          <w:bCs/>
          <w:sz w:val="21"/>
          <w:szCs w:val="21"/>
          <w:lang w:val="en-US" w:eastAsia="zh-CN"/>
        </w:rPr>
        <w:t>1.</w:t>
      </w:r>
      <w:r>
        <w:rPr>
          <w:rFonts w:ascii="宋体" w:hAnsi="宋体" w:eastAsia="宋体" w:cs="宋体"/>
          <w:b/>
          <w:bCs/>
          <w:sz w:val="21"/>
          <w:szCs w:val="21"/>
        </w:rPr>
        <w:t>按账龄披露</w:t>
      </w:r>
      <w:bookmarkEnd w:id="333"/>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110,224,473.71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88,933,046.46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55,202,804.20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59,079,509.87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17,504,626.90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22,618,388.75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90,450,699.26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90,757,289.66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40,909,185.04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42,207,199.96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2,381,424.52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47,160,089.70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45,770,089.70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273,382,604.07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261,388,234.74</w:t>
            </w:r>
          </w:p>
        </w:tc>
      </w:tr>
    </w:tbl>
    <w:p>
      <w:pPr>
        <w:keepNext/>
        <w:keepLines/>
        <w:spacing w:before="300" w:after="300" w:line="280" w:lineRule="exact"/>
        <w:jc w:val="left"/>
        <w:outlineLvl w:val="3"/>
        <w:rPr>
          <w:rFonts w:ascii="宋体" w:hAnsi="宋体" w:eastAsia="宋体" w:cs="宋体"/>
          <w:b/>
          <w:bCs/>
          <w:sz w:val="21"/>
          <w:szCs w:val="21"/>
        </w:rPr>
      </w:pPr>
      <w:bookmarkStart w:id="334" w:name="_Toc989224"/>
      <w:r>
        <w:rPr>
          <w:rFonts w:hint="eastAsia" w:ascii="宋体" w:hAnsi="宋体" w:cs="宋体"/>
          <w:b/>
          <w:bCs/>
          <w:sz w:val="21"/>
          <w:szCs w:val="21"/>
          <w:lang w:val="en-US" w:eastAsia="zh-CN"/>
        </w:rPr>
        <w:t>2.</w:t>
      </w:r>
      <w:r>
        <w:rPr>
          <w:rFonts w:ascii="宋体" w:hAnsi="宋体" w:eastAsia="宋体" w:cs="宋体"/>
          <w:b/>
          <w:bCs/>
          <w:sz w:val="21"/>
          <w:szCs w:val="21"/>
        </w:rPr>
        <w:t>按坏账计提方法分类披露</w:t>
      </w:r>
      <w:bookmarkEnd w:id="3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54,359,773.28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54,359,773.28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219,022,830.79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28,167,766.12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190,855,064.67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215,173,307.65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28,841,473.57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186,331,834.08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273,382,604.07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82,527,539.40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190,855,064.67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261,388,234.74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75,056,400.66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186,331,834.08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按单项计提坏账准备类别名称：54,359,773.28元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亚洲硅业（青海）有限公司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9,856,000.00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厦门航空公司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5,660,592.00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小额难以收回应收账款合计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30,698,335.09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30,698,335.09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38,843,181.28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38,843,181.28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54,359,773.28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54,359,773.28</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按组合计提坏账准备类别名称：28,167,766.12元</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一年以内</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110,224,473.71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5,511,223.69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一至二年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49,442,630.07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4,944,263.01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二至三年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15,437,235.82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3,087,447.16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三至四年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40,147,066.67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12,044,120.00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四至五年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2,381,424.52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1,190,712.26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219,022,830.79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28,167,766.12</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35" w:name="_Toc989225"/>
      <w:r>
        <w:rPr>
          <w:rFonts w:hint="eastAsia" w:ascii="宋体" w:hAnsi="宋体" w:cs="宋体"/>
          <w:b/>
          <w:bCs/>
          <w:sz w:val="21"/>
          <w:szCs w:val="21"/>
          <w:lang w:val="en-US" w:eastAsia="zh-CN"/>
        </w:rPr>
        <w:t>3.</w:t>
      </w:r>
      <w:r>
        <w:rPr>
          <w:rFonts w:ascii="宋体" w:hAnsi="宋体" w:eastAsia="宋体" w:cs="宋体"/>
          <w:b/>
          <w:bCs/>
          <w:sz w:val="21"/>
          <w:szCs w:val="21"/>
        </w:rPr>
        <w:t>本期计提、收回或转回的坏账准备情况</w:t>
      </w:r>
      <w:bookmarkEnd w:id="335"/>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按单项计提坏账准备的应收账款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46,214,927.09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8,144,846.19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54,359,773.28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28,841,473.57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-673,707.45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28,167,766.12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75,056,400.66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7,471,138.74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82,527,539.40</w:t>
            </w:r>
          </w:p>
        </w:tc>
      </w:tr>
    </w:tbl>
    <w:p>
      <w:pPr>
        <w:spacing w:before="100" w:after="100" w:line="240" w:lineRule="exact"/>
        <w:jc w:val="left"/>
      </w:pPr>
      <w:r>
        <w:rPr>
          <w:rFonts w:ascii="宋体" w:hAnsi="宋体" w:eastAsia="宋体" w:cs="宋体"/>
          <w:sz w:val="18"/>
          <w:szCs w:val="18"/>
        </w:rPr>
        <w:t>其中本期坏账准备收回或转回金额重要的：</w:t>
      </w:r>
    </w:p>
    <w:p>
      <w:pPr>
        <w:pStyle w:val="4"/>
        <w:keepNext w:val="0"/>
        <w:keepLines w:val="0"/>
        <w:widowControl/>
        <w:suppressLineNumbers w:val="0"/>
      </w:pPr>
      <w:r>
        <w:rPr>
          <w:rFonts w:hint="eastAsia" w:ascii="宋体" w:hAnsi="宋体" w:eastAsia="宋体" w:cs="宋体"/>
          <w:sz w:val="18"/>
          <w:szCs w:val="18"/>
        </w:rPr>
        <w:t>按欠款方归集的期末余额前五名应收账款和合同资产汇总金额207,800,101.60元，占应收账款和合同资产期末余额合计数的比例76.01%，相应计提的坏账准备期末余额汇总金额33,495,991.95元。</w:t>
      </w:r>
    </w:p>
    <w:p>
      <w:pPr>
        <w:keepNext/>
        <w:keepLines/>
        <w:spacing w:before="300" w:after="300" w:line="280" w:lineRule="exact"/>
        <w:jc w:val="left"/>
        <w:outlineLvl w:val="2"/>
        <w:rPr>
          <w:rFonts w:ascii="宋体" w:hAnsi="宋体" w:eastAsia="宋体" w:cs="宋体"/>
          <w:b/>
          <w:bCs/>
          <w:sz w:val="21"/>
          <w:szCs w:val="21"/>
        </w:rPr>
      </w:pPr>
      <w:bookmarkStart w:id="336" w:name="_Toc989226"/>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其他应收款</w:t>
      </w:r>
      <w:bookmarkEnd w:id="3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608,385.69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608,385.69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r>
    </w:tbl>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337" w:name="_Toc989228"/>
      <w:r>
        <w:rPr>
          <w:rFonts w:hint="eastAsia" w:ascii="宋体" w:hAnsi="宋体" w:eastAsia="宋体" w:cs="宋体"/>
          <w:b/>
          <w:bCs/>
          <w:sz w:val="21"/>
          <w:szCs w:val="21"/>
          <w:lang w:val="en-US" w:eastAsia="zh-CN"/>
        </w:rPr>
        <w:t>1.其他应收款按款项性质分类情况</w:t>
      </w:r>
      <w:bookmarkEnd w:id="33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2,424,588.31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2,333,598.81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备用金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281,435.00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101,830.00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2,706,023.31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2,435,428.81</w:t>
            </w:r>
          </w:p>
        </w:tc>
      </w:tr>
    </w:tbl>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338" w:name="_Toc989229"/>
      <w:r>
        <w:rPr>
          <w:rFonts w:hint="eastAsia" w:ascii="宋体" w:hAnsi="宋体" w:eastAsia="宋体" w:cs="宋体"/>
          <w:b/>
          <w:bCs/>
          <w:sz w:val="21"/>
          <w:szCs w:val="21"/>
          <w:lang w:val="en-US" w:eastAsia="zh-CN"/>
        </w:rPr>
        <w:t>2.按账龄披露</w:t>
      </w:r>
      <w:bookmarkEnd w:id="3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639,482.07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369,862.82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2,065,565.99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2,065,565.99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2,065,565.99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2,063,208.09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2,706,023.31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2,435,428.81</w:t>
            </w:r>
          </w:p>
        </w:tc>
      </w:tr>
    </w:tbl>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339" w:name="_Toc989230"/>
      <w:r>
        <w:rPr>
          <w:rFonts w:hint="eastAsia" w:ascii="宋体" w:hAnsi="宋体" w:eastAsia="宋体" w:cs="宋体"/>
          <w:b/>
          <w:bCs/>
          <w:sz w:val="21"/>
          <w:szCs w:val="21"/>
          <w:lang w:val="en-US" w:eastAsia="zh-CN"/>
        </w:rPr>
        <w:t>3.按坏账计提方法分类披露</w:t>
      </w:r>
      <w:bookmarkEnd w:id="3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2,029,088.72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74.98%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1,420,703.03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70.02%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608,385.69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1,758,494.22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1,405,945.59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79.95%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2,706,023.31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2,097,637.62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608,385.69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2,435,428.81</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2,082,880.18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352,548.63</w:t>
            </w: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按单项计提坏账准备类别名称： 676,934.59元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小额难以收回其他应收款合计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预计无法收回</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按组合计提坏账准备类别名称：1,420,703.03元</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639,482.07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31,974.10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975.25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1,388,631.40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1,388,631.40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2,029,088.72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1,420,703.03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按预期信用损失一般模型计提坏账准备：</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2025年1月1日余额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89,409.19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2,082,880.18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2025年1月1日余额在本期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2025年6月30日余额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104,166.63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1,993,470.99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2,097,637.62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340" w:name="_Toc989231"/>
      <w:r>
        <w:rPr>
          <w:rFonts w:hint="eastAsia" w:ascii="宋体" w:hAnsi="宋体" w:eastAsia="宋体" w:cs="宋体"/>
          <w:b/>
          <w:bCs/>
          <w:sz w:val="21"/>
          <w:szCs w:val="21"/>
          <w:lang w:val="en-US" w:eastAsia="zh-CN"/>
        </w:rPr>
        <w:t>4.本期计提、收回或转回的坏账准备情况</w:t>
      </w:r>
      <w:bookmarkEnd w:id="340"/>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676,934.59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按账龄组合计提坏账准备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1,405,945.59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1,420,703.03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2,082,880.18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2,097,637.62</w:t>
            </w:r>
          </w:p>
        </w:tc>
      </w:tr>
    </w:tbl>
    <w:p>
      <w:pPr>
        <w:keepNext/>
        <w:keepLines/>
        <w:spacing w:before="300" w:after="300" w:line="280" w:lineRule="exact"/>
        <w:jc w:val="left"/>
        <w:outlineLvl w:val="3"/>
        <w:rPr>
          <w:rFonts w:hint="eastAsia" w:ascii="宋体" w:hAnsi="宋体" w:eastAsia="宋体" w:cs="宋体"/>
          <w:b/>
          <w:bCs/>
          <w:sz w:val="21"/>
          <w:szCs w:val="21"/>
          <w:lang w:val="en-US" w:eastAsia="zh-CN"/>
        </w:rPr>
      </w:pPr>
      <w:bookmarkStart w:id="341" w:name="_Toc989295"/>
      <w:r>
        <w:rPr>
          <w:rFonts w:hint="eastAsia" w:ascii="宋体" w:hAnsi="宋体" w:eastAsia="宋体" w:cs="宋体"/>
          <w:b/>
          <w:bCs/>
          <w:sz w:val="21"/>
          <w:szCs w:val="21"/>
          <w:lang w:val="en-US" w:eastAsia="zh-CN"/>
        </w:rPr>
        <w:t>5.按欠款方归集的期末余额前五名的其他应收款情况</w:t>
      </w:r>
      <w:bookmarkEnd w:id="341"/>
    </w:p>
    <w:p>
      <w:pPr>
        <w:pStyle w:val="4"/>
        <w:keepNext w:val="0"/>
        <w:keepLines w:val="0"/>
        <w:widowControl/>
        <w:suppressLineNumbers w:val="0"/>
      </w:pPr>
      <w:r>
        <w:rPr>
          <w:rFonts w:hint="eastAsia" w:ascii="宋体" w:hAnsi="宋体" w:eastAsia="宋体" w:cs="宋体"/>
          <w:sz w:val="18"/>
          <w:szCs w:val="18"/>
        </w:rPr>
        <w:t>按</w:t>
      </w:r>
      <w:r>
        <w:rPr>
          <w:rFonts w:hint="eastAsia" w:ascii="宋体" w:hAnsi="宋体" w:eastAsia="宋体" w:cs="宋体"/>
          <w:sz w:val="18"/>
          <w:szCs w:val="18"/>
          <w:shd w:val="clear"/>
        </w:rPr>
        <w:t>欠款方归集的期末余额前五名其他应收款金额</w:t>
      </w:r>
      <w:r>
        <w:rPr>
          <w:rFonts w:hint="eastAsia" w:ascii="宋体" w:hAnsi="宋体" w:eastAsia="宋体" w:cs="宋体"/>
          <w:color w:val="333333"/>
          <w:sz w:val="18"/>
          <w:szCs w:val="18"/>
          <w:shd w:val="clear"/>
        </w:rPr>
        <w:t>1,916,939.60</w:t>
      </w:r>
      <w:r>
        <w:rPr>
          <w:rFonts w:hint="eastAsia" w:ascii="宋体" w:hAnsi="宋体" w:eastAsia="宋体" w:cs="宋体"/>
          <w:sz w:val="18"/>
          <w:szCs w:val="18"/>
          <w:shd w:val="clear"/>
        </w:rPr>
        <w:t>元，占其他应收款合计数的比例</w:t>
      </w:r>
      <w:r>
        <w:rPr>
          <w:rFonts w:hint="eastAsia" w:ascii="宋体" w:hAnsi="宋体" w:eastAsia="宋体" w:cs="宋体"/>
          <w:color w:val="333333"/>
          <w:sz w:val="18"/>
          <w:szCs w:val="18"/>
          <w:shd w:val="clear"/>
        </w:rPr>
        <w:t>70.84%</w:t>
      </w:r>
      <w:r>
        <w:rPr>
          <w:rFonts w:hint="eastAsia" w:ascii="宋体" w:hAnsi="宋体" w:eastAsia="宋体" w:cs="宋体"/>
          <w:sz w:val="18"/>
          <w:szCs w:val="18"/>
          <w:shd w:val="clear"/>
        </w:rPr>
        <w:t>，相应计提的坏账准备期末余额汇总金额</w:t>
      </w:r>
      <w:r>
        <w:rPr>
          <w:rFonts w:hint="eastAsia" w:ascii="宋体" w:hAnsi="宋体" w:eastAsia="宋体" w:cs="宋体"/>
          <w:color w:val="333333"/>
          <w:sz w:val="18"/>
          <w:szCs w:val="18"/>
          <w:shd w:val="clear"/>
        </w:rPr>
        <w:t>1,772,663.86</w:t>
      </w:r>
      <w:r>
        <w:rPr>
          <w:rFonts w:hint="eastAsia" w:ascii="宋体" w:hAnsi="宋体" w:eastAsia="宋体" w:cs="宋体"/>
          <w:sz w:val="18"/>
          <w:szCs w:val="18"/>
          <w:shd w:val="clear"/>
        </w:rPr>
        <w:t>元。</w:t>
      </w:r>
    </w:p>
    <w:p>
      <w:pPr>
        <w:keepNext/>
        <w:keepLines/>
        <w:spacing w:before="300" w:after="300" w:line="280" w:lineRule="exact"/>
        <w:jc w:val="left"/>
        <w:outlineLvl w:val="2"/>
        <w:rPr>
          <w:rFonts w:ascii="宋体" w:hAnsi="宋体" w:eastAsia="宋体" w:cs="宋体"/>
          <w:b/>
          <w:bCs/>
          <w:sz w:val="21"/>
          <w:szCs w:val="21"/>
        </w:rPr>
      </w:pPr>
      <w:bookmarkStart w:id="342" w:name="_Toc989232"/>
      <w:r>
        <w:rPr>
          <w:rFonts w:hint="eastAsia" w:ascii="宋体" w:hAnsi="宋体" w:cs="宋体"/>
          <w:b/>
          <w:bCs/>
          <w:sz w:val="21"/>
          <w:szCs w:val="21"/>
          <w:lang w:eastAsia="zh-CN"/>
        </w:rPr>
        <w:t>（</w:t>
      </w:r>
      <w:r>
        <w:rPr>
          <w:rFonts w:hint="eastAsia" w:ascii="宋体" w:hAnsi="宋体" w:cs="宋体"/>
          <w:b/>
          <w:bCs/>
          <w:sz w:val="21"/>
          <w:szCs w:val="21"/>
          <w:lang w:val="en-US" w:eastAsia="zh-CN"/>
        </w:rPr>
        <w:t>三</w:t>
      </w:r>
      <w:r>
        <w:rPr>
          <w:rFonts w:hint="eastAsia" w:ascii="宋体" w:hAnsi="宋体" w:cs="宋体"/>
          <w:b/>
          <w:bCs/>
          <w:sz w:val="21"/>
          <w:szCs w:val="21"/>
          <w:lang w:eastAsia="zh-CN"/>
        </w:rPr>
        <w:t>）</w:t>
      </w:r>
      <w:r>
        <w:rPr>
          <w:rFonts w:ascii="宋体" w:hAnsi="宋体" w:eastAsia="宋体" w:cs="宋体"/>
          <w:b/>
          <w:bCs/>
          <w:sz w:val="21"/>
          <w:szCs w:val="21"/>
        </w:rPr>
        <w:t>长期股权投资</w:t>
      </w:r>
      <w:bookmarkEnd w:id="34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1,356,016,702.37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r>
    </w:tbl>
    <w:p>
      <w:pPr>
        <w:keepNext/>
        <w:keepLines/>
        <w:spacing w:before="300" w:after="300" w:line="280" w:lineRule="exact"/>
        <w:jc w:val="left"/>
        <w:outlineLvl w:val="3"/>
        <w:rPr>
          <w:rFonts w:ascii="宋体" w:hAnsi="宋体" w:eastAsia="宋体" w:cs="宋体"/>
          <w:b/>
          <w:bCs/>
          <w:sz w:val="21"/>
          <w:szCs w:val="21"/>
        </w:rPr>
      </w:pPr>
      <w:bookmarkStart w:id="343" w:name="_Toc989233"/>
      <w:r>
        <w:rPr>
          <w:rFonts w:hint="eastAsia" w:ascii="宋体" w:hAnsi="宋体" w:cs="宋体"/>
          <w:b/>
          <w:bCs/>
          <w:sz w:val="21"/>
          <w:szCs w:val="21"/>
          <w:lang w:val="en-US" w:eastAsia="zh-CN"/>
        </w:rPr>
        <w:t>1.</w:t>
      </w:r>
      <w:r>
        <w:rPr>
          <w:rFonts w:ascii="宋体" w:hAnsi="宋体" w:eastAsia="宋体" w:cs="宋体"/>
          <w:b/>
          <w:bCs/>
          <w:sz w:val="21"/>
          <w:szCs w:val="21"/>
        </w:rPr>
        <w:t>对子公司投资</w:t>
      </w:r>
      <w:bookmarkEnd w:id="3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湖南博云东方粉末冶金有限公司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635,317,977.02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365,546,273.46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长沙伟徽高科技新材料股份有限公司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203,904,255.51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1,204,768,505.99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151,248,196.38</w:t>
            </w:r>
          </w:p>
        </w:tc>
      </w:tr>
    </w:tbl>
    <w:p>
      <w:pPr>
        <w:keepNext/>
        <w:keepLines/>
        <w:spacing w:before="300" w:after="300" w:line="280" w:lineRule="exact"/>
        <w:jc w:val="left"/>
        <w:outlineLvl w:val="3"/>
        <w:rPr>
          <w:rFonts w:ascii="宋体" w:hAnsi="宋体" w:eastAsia="宋体" w:cs="宋体"/>
          <w:b/>
          <w:bCs/>
          <w:sz w:val="21"/>
          <w:szCs w:val="21"/>
        </w:rPr>
      </w:pPr>
      <w:bookmarkStart w:id="344" w:name="_Toc989234"/>
      <w:r>
        <w:rPr>
          <w:rFonts w:hint="eastAsia" w:ascii="宋体" w:hAnsi="宋体" w:cs="宋体"/>
          <w:b/>
          <w:bCs/>
          <w:sz w:val="21"/>
          <w:szCs w:val="21"/>
          <w:lang w:val="en-US" w:eastAsia="zh-CN"/>
        </w:rPr>
        <w:t>2.</w:t>
      </w:r>
      <w:r>
        <w:rPr>
          <w:rFonts w:ascii="宋体" w:hAnsi="宋体" w:eastAsia="宋体" w:cs="宋体"/>
          <w:b/>
          <w:bCs/>
          <w:sz w:val="21"/>
          <w:szCs w:val="21"/>
        </w:rPr>
        <w:t>对联营、合营企业投资</w:t>
      </w:r>
      <w:bookmarkEnd w:id="3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可收回金额按公允价值减去处置费用后的净额确定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可收回金额按预计未来现金流量的现值确定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numPr>
          <w:ilvl w:val="0"/>
          <w:numId w:val="3"/>
        </w:numPr>
        <w:spacing w:before="300" w:after="300" w:line="280" w:lineRule="exact"/>
        <w:jc w:val="left"/>
        <w:outlineLvl w:val="3"/>
        <w:rPr>
          <w:rFonts w:ascii="宋体" w:hAnsi="宋体" w:eastAsia="宋体" w:cs="宋体"/>
          <w:b/>
          <w:bCs/>
          <w:sz w:val="21"/>
          <w:szCs w:val="21"/>
        </w:rPr>
      </w:pPr>
      <w:bookmarkStart w:id="345" w:name="_Toc989235"/>
      <w:r>
        <w:rPr>
          <w:rFonts w:ascii="宋体" w:hAnsi="宋体" w:eastAsia="宋体" w:cs="宋体"/>
          <w:b/>
          <w:bCs/>
          <w:sz w:val="21"/>
          <w:szCs w:val="21"/>
        </w:rPr>
        <w:t>其他说明</w:t>
      </w:r>
      <w:bookmarkEnd w:id="345"/>
    </w:p>
    <w:p>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r>
        <w:rPr>
          <w:rFonts w:hint="eastAsia" w:ascii="宋体" w:hAnsi="宋体" w:eastAsia="宋体" w:cs="宋体"/>
          <w:b w:val="0"/>
          <w:bCs w:val="0"/>
          <w:sz w:val="21"/>
          <w:szCs w:val="21"/>
          <w:lang w:val="en-US" w:eastAsia="zh-CN"/>
        </w:rPr>
        <w:t>无。</w:t>
      </w:r>
    </w:p>
    <w:p>
      <w:pPr>
        <w:keepNext/>
        <w:keepLines/>
        <w:spacing w:before="300" w:after="300" w:line="280" w:lineRule="exact"/>
        <w:jc w:val="left"/>
        <w:outlineLvl w:val="2"/>
        <w:rPr>
          <w:rFonts w:ascii="宋体" w:hAnsi="宋体" w:eastAsia="宋体" w:cs="宋体"/>
          <w:b/>
          <w:bCs/>
          <w:sz w:val="21"/>
          <w:szCs w:val="21"/>
        </w:rPr>
      </w:pPr>
      <w:bookmarkStart w:id="346" w:name="_Toc989236"/>
      <w:r>
        <w:rPr>
          <w:rFonts w:hint="eastAsia" w:ascii="宋体" w:hAnsi="宋体" w:cs="宋体"/>
          <w:b/>
          <w:bCs/>
          <w:sz w:val="21"/>
          <w:szCs w:val="21"/>
          <w:lang w:eastAsia="zh-CN"/>
        </w:rPr>
        <w:t>（</w:t>
      </w:r>
      <w:r>
        <w:rPr>
          <w:rFonts w:hint="eastAsia" w:ascii="宋体" w:hAnsi="宋体" w:cs="宋体"/>
          <w:b/>
          <w:bCs/>
          <w:sz w:val="21"/>
          <w:szCs w:val="21"/>
          <w:lang w:val="en-US" w:eastAsia="zh-CN"/>
        </w:rPr>
        <w:t>四</w:t>
      </w:r>
      <w:r>
        <w:rPr>
          <w:rFonts w:hint="eastAsia" w:ascii="宋体" w:hAnsi="宋体" w:cs="宋体"/>
          <w:b/>
          <w:bCs/>
          <w:sz w:val="21"/>
          <w:szCs w:val="21"/>
          <w:lang w:eastAsia="zh-CN"/>
        </w:rPr>
        <w:t>）</w:t>
      </w:r>
      <w:r>
        <w:rPr>
          <w:rFonts w:ascii="宋体" w:hAnsi="宋体" w:eastAsia="宋体" w:cs="宋体"/>
          <w:b/>
          <w:bCs/>
          <w:sz w:val="21"/>
          <w:szCs w:val="21"/>
        </w:rPr>
        <w:t>营业收入和营业成本</w:t>
      </w:r>
      <w:bookmarkEnd w:id="3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60,275,259.77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28,229,101.86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1,843,803.39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468,097.63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1,137,365.51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348,920.36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102,303,000.32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44,216,673.51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61,412,625.28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28,578,022.22</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营业收入、营业成本的分解信息：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业务类型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国内</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93,644,785.94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42,042,975.79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国外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6,814,410.99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1,705,600.09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航空航天及民用碳/碳复合材料</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主营商品买卖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在某一时点确认</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在某一时段内确认</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100,459,196.93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43,748,575.88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spacing w:before="0" w:after="0" w:line="0" w:lineRule="exact"/>
        <w:jc w:val="left"/>
      </w:pP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公司提供的质量保证类型及相关义务</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109,319,252.49元，其中，64,000,000.00元预计将于2025年度确认收入，28,846,861.12元预计将于2026年度确认收入，16,472,391.37元预计将于2027年度确认收入。</w:t>
      </w:r>
    </w:p>
    <w:p>
      <w:pPr>
        <w:keepNext/>
        <w:keepLines/>
        <w:spacing w:before="300" w:after="300" w:line="280" w:lineRule="exact"/>
        <w:jc w:val="left"/>
        <w:outlineLvl w:val="2"/>
        <w:rPr>
          <w:rFonts w:ascii="宋体" w:hAnsi="宋体" w:eastAsia="宋体" w:cs="宋体"/>
          <w:b/>
          <w:bCs/>
          <w:sz w:val="21"/>
          <w:szCs w:val="21"/>
        </w:rPr>
      </w:pPr>
      <w:bookmarkStart w:id="347" w:name="_Toc989237"/>
      <w:r>
        <w:rPr>
          <w:rFonts w:hint="eastAsia" w:ascii="宋体" w:hAnsi="宋体" w:cs="宋体"/>
          <w:b/>
          <w:bCs/>
          <w:sz w:val="21"/>
          <w:szCs w:val="21"/>
          <w:lang w:eastAsia="zh-CN"/>
        </w:rPr>
        <w:t>（</w:t>
      </w:r>
      <w:r>
        <w:rPr>
          <w:rFonts w:hint="eastAsia" w:ascii="宋体" w:hAnsi="宋体" w:cs="宋体"/>
          <w:b/>
          <w:bCs/>
          <w:sz w:val="21"/>
          <w:szCs w:val="21"/>
          <w:lang w:val="en-US" w:eastAsia="zh-CN"/>
        </w:rPr>
        <w:t>五</w:t>
      </w:r>
      <w:r>
        <w:rPr>
          <w:rFonts w:hint="eastAsia" w:ascii="宋体" w:hAnsi="宋体" w:cs="宋体"/>
          <w:b/>
          <w:bCs/>
          <w:sz w:val="21"/>
          <w:szCs w:val="21"/>
          <w:lang w:eastAsia="zh-CN"/>
        </w:rPr>
        <w:t>）</w:t>
      </w:r>
      <w:r>
        <w:rPr>
          <w:rFonts w:ascii="宋体" w:hAnsi="宋体" w:eastAsia="宋体" w:cs="宋体"/>
          <w:b/>
          <w:bCs/>
          <w:sz w:val="21"/>
          <w:szCs w:val="21"/>
        </w:rPr>
        <w:t>投资收益</w:t>
      </w:r>
      <w:bookmarkEnd w:id="3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-4,241,128.53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1,828,492.00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-2,412,636.53</w:t>
            </w:r>
          </w:p>
        </w:tc>
      </w:tr>
    </w:tbl>
    <w:p>
      <w:pPr>
        <w:keepNext/>
        <w:keepLines/>
        <w:spacing w:before="300" w:after="300" w:line="280" w:lineRule="exact"/>
        <w:jc w:val="left"/>
        <w:outlineLvl w:val="2"/>
        <w:rPr>
          <w:rFonts w:hint="eastAsia" w:ascii="宋体" w:hAnsi="宋体" w:eastAsia="宋体" w:cs="宋体"/>
          <w:b/>
          <w:bCs/>
          <w:sz w:val="21"/>
          <w:szCs w:val="21"/>
          <w:lang w:eastAsia="zh-CN"/>
        </w:rPr>
      </w:pPr>
      <w:bookmarkStart w:id="348" w:name="_Toc989238"/>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六</w:t>
      </w:r>
      <w:r>
        <w:rPr>
          <w:rFonts w:hint="eastAsia" w:ascii="宋体" w:hAnsi="宋体" w:eastAsia="宋体" w:cs="宋体"/>
          <w:b/>
          <w:bCs/>
          <w:sz w:val="21"/>
          <w:szCs w:val="21"/>
          <w:lang w:eastAsia="zh-CN"/>
        </w:rPr>
        <w:t>）其他</w:t>
      </w:r>
      <w:bookmarkEnd w:id="348"/>
    </w:p>
    <w:p>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eastAsia="宋体"/>
          <w:b w:val="0"/>
          <w:bCs w:val="0"/>
          <w:lang w:val="en-US" w:eastAsia="zh-CN"/>
        </w:rPr>
      </w:pPr>
      <w:r>
        <w:rPr>
          <w:rFonts w:hint="eastAsia" w:ascii="宋体" w:hAnsi="宋体" w:eastAsia="宋体" w:cs="宋体"/>
          <w:b w:val="0"/>
          <w:bCs w:val="0"/>
          <w:sz w:val="21"/>
          <w:szCs w:val="21"/>
          <w:lang w:val="en-US" w:eastAsia="zh-CN"/>
        </w:rPr>
        <w:t>无。</w:t>
      </w:r>
    </w:p>
    <w:p>
      <w:pPr>
        <w:keepNext/>
        <w:keepLines/>
        <w:spacing w:before="300" w:after="300" w:line="320" w:lineRule="exact"/>
        <w:jc w:val="left"/>
        <w:outlineLvl w:val="1"/>
        <w:rPr>
          <w:rFonts w:ascii="宋体" w:hAnsi="宋体" w:eastAsia="宋体" w:cs="宋体"/>
          <w:b/>
          <w:bCs/>
          <w:sz w:val="24"/>
          <w:szCs w:val="24"/>
        </w:rPr>
      </w:pPr>
      <w:bookmarkStart w:id="349" w:name="_Toc989239"/>
      <w:r>
        <w:rPr>
          <w:rFonts w:ascii="宋体" w:hAnsi="宋体" w:eastAsia="宋体" w:cs="宋体"/>
          <w:b/>
          <w:bCs/>
          <w:sz w:val="24"/>
          <w:szCs w:val="24"/>
        </w:rPr>
        <w:t>二十、补充资料</w:t>
      </w:r>
      <w:bookmarkEnd w:id="349"/>
    </w:p>
    <w:p>
      <w:pPr>
        <w:keepNext/>
        <w:keepLines/>
        <w:spacing w:before="300" w:after="300" w:line="280" w:lineRule="exact"/>
        <w:jc w:val="left"/>
        <w:outlineLvl w:val="2"/>
        <w:rPr>
          <w:rFonts w:ascii="宋体" w:hAnsi="宋体" w:eastAsia="宋体" w:cs="宋体"/>
          <w:b/>
          <w:bCs/>
          <w:sz w:val="21"/>
          <w:szCs w:val="21"/>
        </w:rPr>
      </w:pPr>
      <w:bookmarkStart w:id="350" w:name="_Toc989240"/>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ascii="宋体" w:hAnsi="宋体" w:eastAsia="宋体" w:cs="宋体"/>
          <w:b/>
          <w:bCs/>
          <w:sz w:val="21"/>
          <w:szCs w:val="21"/>
        </w:rPr>
        <w:t>当期非经常性损益明细表</w:t>
      </w:r>
      <w:bookmarkEnd w:id="350"/>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-3,298.84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6,873,537.28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1,344,381.10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499,772.20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84,830.48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7,630,016.86</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51" w:name="_Toc989241"/>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ascii="宋体" w:hAnsi="宋体" w:eastAsia="宋体" w:cs="宋体"/>
          <w:b/>
          <w:bCs/>
          <w:sz w:val="21"/>
          <w:szCs w:val="21"/>
        </w:rPr>
        <w:t>净资产收益率及每股收益</w:t>
      </w:r>
      <w:bookmarkEnd w:id="351"/>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0.0148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0.0015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0.0015</w:t>
            </w:r>
          </w:p>
        </w:tc>
      </w:tr>
    </w:tbl>
    <w:p>
      <w:pPr>
        <w:keepNext/>
        <w:keepLines/>
        <w:spacing w:before="300" w:after="300" w:line="280" w:lineRule="exact"/>
        <w:jc w:val="left"/>
        <w:outlineLvl w:val="2"/>
        <w:rPr>
          <w:rFonts w:ascii="宋体" w:hAnsi="宋体" w:eastAsia="宋体" w:cs="宋体"/>
          <w:b/>
          <w:bCs/>
          <w:sz w:val="21"/>
          <w:szCs w:val="21"/>
        </w:rPr>
      </w:pPr>
      <w:bookmarkStart w:id="352" w:name="_Toc989242"/>
      <w:r>
        <w:rPr>
          <w:rFonts w:hint="eastAsia" w:ascii="宋体" w:hAnsi="宋体" w:cs="宋体"/>
          <w:b/>
          <w:bCs/>
          <w:sz w:val="21"/>
          <w:szCs w:val="21"/>
          <w:lang w:eastAsia="zh-CN"/>
        </w:rPr>
        <w:t>（三）</w:t>
      </w:r>
      <w:r>
        <w:rPr>
          <w:rFonts w:ascii="宋体" w:hAnsi="宋体" w:eastAsia="宋体" w:cs="宋体"/>
          <w:b/>
          <w:bCs/>
          <w:sz w:val="21"/>
          <w:szCs w:val="21"/>
        </w:rPr>
        <w:t>境内外会计准则下会计数据差异</w:t>
      </w:r>
      <w:bookmarkEnd w:id="352"/>
    </w:p>
    <w:p>
      <w:pPr>
        <w:keepNext/>
        <w:keepLines/>
        <w:spacing w:before="300" w:after="300" w:line="280" w:lineRule="exact"/>
        <w:jc w:val="left"/>
        <w:outlineLvl w:val="3"/>
        <w:rPr>
          <w:rFonts w:ascii="宋体" w:hAnsi="宋体" w:eastAsia="宋体" w:cs="宋体"/>
          <w:b/>
          <w:bCs/>
          <w:sz w:val="21"/>
          <w:szCs w:val="21"/>
        </w:rPr>
      </w:pPr>
      <w:bookmarkStart w:id="353" w:name="_Toc989243"/>
      <w:r>
        <w:rPr>
          <w:rFonts w:hint="eastAsia" w:ascii="宋体" w:hAnsi="宋体" w:cs="宋体"/>
          <w:b/>
          <w:bCs/>
          <w:sz w:val="21"/>
          <w:szCs w:val="21"/>
          <w:lang w:val="en-US" w:eastAsia="zh-CN"/>
        </w:rPr>
        <w:t>1.</w:t>
      </w:r>
      <w:r>
        <w:rPr>
          <w:rFonts w:ascii="宋体" w:hAnsi="宋体" w:eastAsia="宋体" w:cs="宋体"/>
          <w:b/>
          <w:bCs/>
          <w:sz w:val="21"/>
          <w:szCs w:val="21"/>
        </w:rPr>
        <w:t>同时按照国际会计准则与按中国会计准则披露的财务报告中净利润和净资产差异情况</w:t>
      </w:r>
      <w:bookmarkEnd w:id="353"/>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54" w:name="_Toc989244"/>
      <w:r>
        <w:rPr>
          <w:rFonts w:hint="eastAsia" w:ascii="宋体" w:hAnsi="宋体" w:cs="宋体"/>
          <w:b/>
          <w:bCs/>
          <w:sz w:val="21"/>
          <w:szCs w:val="21"/>
          <w:lang w:val="en-US" w:eastAsia="zh-CN"/>
        </w:rPr>
        <w:t>2.</w:t>
      </w:r>
      <w:r>
        <w:rPr>
          <w:rFonts w:ascii="宋体" w:hAnsi="宋体" w:eastAsia="宋体" w:cs="宋体"/>
          <w:b/>
          <w:bCs/>
          <w:sz w:val="21"/>
          <w:szCs w:val="21"/>
        </w:rPr>
        <w:t>同时按照境外会计准则与按中国会计准则披露的财务报告中净利润和净资产差异情况</w:t>
      </w:r>
      <w:bookmarkEnd w:id="354"/>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355" w:name="_Toc989245"/>
      <w:r>
        <w:rPr>
          <w:rFonts w:hint="eastAsia" w:ascii="宋体" w:hAnsi="宋体" w:cs="宋体"/>
          <w:b/>
          <w:bCs/>
          <w:sz w:val="21"/>
          <w:szCs w:val="21"/>
          <w:lang w:val="en-US" w:eastAsia="zh-CN"/>
        </w:rPr>
        <w:t>3.</w:t>
      </w:r>
      <w:r>
        <w:rPr>
          <w:rFonts w:ascii="宋体" w:hAnsi="宋体" w:eastAsia="宋体" w:cs="宋体"/>
          <w:b/>
          <w:bCs/>
          <w:sz w:val="21"/>
          <w:szCs w:val="21"/>
        </w:rPr>
        <w:t>境内外会计准则下会计数据差异原因说明，对已经境外审计机构审计的数据进行差异调节的，应注明该境外机构的名称</w:t>
      </w:r>
      <w:bookmarkEnd w:id="355"/>
    </w:p>
    <w:p>
      <w:pPr>
        <w:spacing w:before="0" w:after="0" w:line="240" w:lineRule="exact"/>
        <w:jc w:val="left"/>
        <w:rPr>
          <w:highlight w:val="none"/>
        </w:rPr>
      </w:pPr>
      <w:r>
        <w:rPr>
          <w:rFonts w:ascii="宋体" w:hAnsi="宋体" w:eastAsia="宋体" w:cs="宋体"/>
          <w:sz w:val="18"/>
          <w:szCs w:val="18"/>
          <w:highlight w:val="none"/>
        </w:rPr>
        <w:t xml:space="preserve">□适用 </w:t>
      </w:r>
      <w:r>
        <w:rPr>
          <w:rFonts w:ascii="宋体" w:hAnsi="宋体" w:eastAsia="宋体" w:cs="宋体"/>
          <w:sz w:val="18"/>
          <w:szCs w:val="18"/>
          <w:highlight w:val="none"/>
        </w:rPr>
        <w:sym w:font="Wingdings 2" w:char="F052"/>
      </w:r>
      <w:r>
        <w:rPr>
          <w:rFonts w:ascii="宋体" w:hAnsi="宋体" w:eastAsia="宋体" w:cs="宋体"/>
          <w:sz w:val="18"/>
          <w:szCs w:val="18"/>
          <w:highlight w:val="none"/>
        </w:rPr>
        <w:t>不适用</w:t>
      </w:r>
    </w:p>
    <w:p>
      <w:pPr>
        <w:keepNext/>
        <w:keepLines/>
        <w:spacing w:before="300" w:after="300" w:line="280" w:lineRule="exact"/>
        <w:jc w:val="left"/>
        <w:outlineLvl w:val="3"/>
        <w:rPr>
          <w:rFonts w:hint="eastAsia" w:ascii="宋体" w:hAnsi="宋体" w:cs="宋体"/>
          <w:b/>
          <w:bCs/>
          <w:sz w:val="21"/>
          <w:szCs w:val="21"/>
          <w:lang w:val="en-US" w:eastAsia="zh-CN"/>
        </w:rPr>
      </w:pPr>
      <w:bookmarkStart w:id="356" w:name="_Toc989246"/>
      <w:r>
        <w:rPr>
          <w:rFonts w:hint="eastAsia" w:ascii="宋体" w:hAnsi="宋体" w:cs="宋体"/>
          <w:b/>
          <w:bCs/>
          <w:sz w:val="21"/>
          <w:szCs w:val="21"/>
          <w:lang w:val="en-US" w:eastAsia="zh-CN"/>
        </w:rPr>
        <w:t>4.其他</w:t>
      </w:r>
      <w:bookmarkEnd w:id="356"/>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val="0"/>
          <w:bCs w:val="0"/>
          <w:lang w:val="en-US" w:eastAsia="zh-CN"/>
        </w:rPr>
      </w:pPr>
      <w:r>
        <w:rPr>
          <w:rFonts w:hint="eastAsia" w:ascii="宋体" w:hAnsi="宋体" w:eastAsia="宋体" w:cs="宋体"/>
          <w:b w:val="0"/>
          <w:bCs w:val="0"/>
          <w:sz w:val="21"/>
          <w:szCs w:val="21"/>
          <w:lang w:val="en-US" w:eastAsia="zh-CN"/>
        </w:rPr>
        <w:t>无。</w:t>
      </w:r>
    </w:p>
    <w:p>
      <w:r>
        <w:br w:type="page"/>
      </w:r>
    </w:p>
    <w:p>
      <w:pPr>
        <w:keepNext/>
        <w:keepLines/>
        <w:spacing w:before="340" w:after="330" w:line="773" w:lineRule="exact"/>
        <w:jc w:val="center"/>
        <w:outlineLvl w:val="0"/>
        <w:rPr>
          <w:rFonts w:ascii="宋体" w:hAnsi="宋体" w:eastAsia="宋体" w:cs="宋体"/>
          <w:b/>
          <w:bCs/>
          <w:sz w:val="32"/>
          <w:szCs w:val="32"/>
        </w:rPr>
      </w:pPr>
      <w:bookmarkStart w:id="357" w:name="_Toc989247"/>
      <w:r>
        <w:rPr>
          <w:rFonts w:ascii="宋体" w:hAnsi="宋体" w:eastAsia="宋体" w:cs="宋体"/>
          <w:b/>
          <w:bCs/>
          <w:sz w:val="32"/>
          <w:szCs w:val="32"/>
        </w:rPr>
        <w:t>第九节 其他报送数据</w:t>
      </w:r>
      <w:bookmarkEnd w:id="357"/>
    </w:p>
    <w:p>
      <w:pPr>
        <w:keepNext/>
        <w:keepLines/>
        <w:spacing w:before="300" w:after="300" w:line="320" w:lineRule="exact"/>
        <w:jc w:val="left"/>
        <w:outlineLvl w:val="1"/>
        <w:rPr>
          <w:rFonts w:ascii="宋体" w:hAnsi="宋体" w:eastAsia="宋体" w:cs="宋体"/>
          <w:b/>
          <w:bCs/>
          <w:sz w:val="24"/>
          <w:szCs w:val="24"/>
        </w:rPr>
      </w:pPr>
      <w:bookmarkStart w:id="358" w:name="_Toc989248"/>
      <w:r>
        <w:rPr>
          <w:rFonts w:ascii="宋体" w:hAnsi="宋体" w:eastAsia="宋体" w:cs="宋体"/>
          <w:b/>
          <w:bCs/>
          <w:sz w:val="24"/>
          <w:szCs w:val="24"/>
        </w:rPr>
        <w:t>一、其他重大社会安全问题情况</w:t>
      </w:r>
      <w:bookmarkEnd w:id="358"/>
    </w:p>
    <w:p>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上市公司及其子公司是否存在其他重大社会安全问题</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□否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报告期内是否被行政处罚</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□否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59" w:name="_Toc989249"/>
      <w:r>
        <w:rPr>
          <w:rFonts w:ascii="宋体" w:hAnsi="宋体" w:eastAsia="宋体" w:cs="宋体"/>
          <w:b/>
          <w:bCs/>
          <w:sz w:val="24"/>
          <w:szCs w:val="24"/>
        </w:rPr>
        <w:t>二、报告期内接待调研、沟通、采访等活动登记表</w:t>
      </w:r>
      <w:bookmarkEnd w:id="359"/>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5"/>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747"/>
        <w:gridCol w:w="10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接待地点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接待方式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接待对象</w:t>
            </w:r>
          </w:p>
        </w:tc>
        <w:tc>
          <w:tcPr>
            <w:tcW w:w="17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谈论的主要内容及提供的资料</w:t>
            </w:r>
          </w:p>
        </w:tc>
        <w:tc>
          <w:tcPr>
            <w:tcW w:w="10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调研的基本情况索引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2025年01月15日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公司2024年度的基本经营情况</w:t>
            </w:r>
          </w:p>
        </w:tc>
        <w:tc>
          <w:tcPr>
            <w:tcW w:w="10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2025年02月21日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47" w:rightChars="-70"/>
              <w:jc w:val="left"/>
              <w:rPr>
                <w:rFonts w:ascii="宋体" w:hAnsi="宋体" w:eastAsia="宋体" w:cs="宋体"/>
                <w:sz w:val="18"/>
                <w:szCs w:val="18"/>
              </w:rPr>
            </w:pPr>
            <w:r>
              <w:rPr>
                <w:rFonts w:ascii="宋体" w:hAnsi="宋体" w:eastAsia="宋体" w:cs="宋体"/>
                <w:sz w:val="18"/>
                <w:szCs w:val="18"/>
              </w:rPr>
              <w:t>公司募投项目麓谷产业基地的达产情况</w:t>
            </w:r>
          </w:p>
        </w:tc>
        <w:tc>
          <w:tcPr>
            <w:tcW w:w="10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2025年03月07日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ind w:right="-147" w:rightChars="-70"/>
              <w:jc w:val="left"/>
              <w:rPr>
                <w:rFonts w:ascii="宋体" w:hAnsi="宋体" w:eastAsia="宋体" w:cs="宋体"/>
                <w:sz w:val="18"/>
                <w:szCs w:val="18"/>
              </w:rPr>
            </w:pPr>
            <w:r>
              <w:rPr>
                <w:rFonts w:ascii="宋体" w:hAnsi="宋体" w:eastAsia="宋体" w:cs="宋体"/>
                <w:sz w:val="18"/>
                <w:szCs w:val="18"/>
              </w:rPr>
              <w:t>公司的主营业务情况</w:t>
            </w:r>
          </w:p>
        </w:tc>
        <w:tc>
          <w:tcPr>
            <w:tcW w:w="10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2025年04月28日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公司2025年一季度经营情况</w:t>
            </w:r>
          </w:p>
        </w:tc>
        <w:tc>
          <w:tcPr>
            <w:tcW w:w="10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2025年05月20日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公司持股5%以上股东减持股份情况</w:t>
            </w:r>
          </w:p>
        </w:tc>
        <w:tc>
          <w:tcPr>
            <w:tcW w:w="10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2025年06月19日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公司办公室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电话沟通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个人投资者</w:t>
            </w:r>
          </w:p>
        </w:tc>
        <w:tc>
          <w:tcPr>
            <w:tcW w:w="174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公司2025年半年度的经营业绩</w:t>
            </w:r>
          </w:p>
        </w:tc>
        <w:tc>
          <w:tcPr>
            <w:tcW w:w="10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320" w:lineRule="exact"/>
        <w:jc w:val="left"/>
        <w:outlineLvl w:val="1"/>
        <w:rPr>
          <w:rFonts w:ascii="宋体" w:hAnsi="宋体" w:eastAsia="宋体" w:cs="宋体"/>
          <w:b/>
          <w:bCs/>
          <w:sz w:val="24"/>
          <w:szCs w:val="24"/>
        </w:rPr>
      </w:pPr>
      <w:bookmarkStart w:id="360" w:name="_Toc989250"/>
      <w:r>
        <w:rPr>
          <w:rFonts w:ascii="宋体" w:hAnsi="宋体" w:eastAsia="宋体" w:cs="宋体"/>
          <w:b/>
          <w:bCs/>
          <w:sz w:val="24"/>
          <w:szCs w:val="24"/>
        </w:rPr>
        <w:t>三、上市公司与控股股东及其他关联方资金往来情况</w:t>
      </w:r>
      <w:bookmarkEnd w:id="360"/>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5"/>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7"/>
        <w:gridCol w:w="1440"/>
        <w:gridCol w:w="1185"/>
        <w:gridCol w:w="1155"/>
        <w:gridCol w:w="1020"/>
        <w:gridCol w:w="1035"/>
        <w:gridCol w:w="1020"/>
        <w:gridCol w:w="9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往来方名称</w:t>
            </w:r>
          </w:p>
        </w:tc>
        <w:tc>
          <w:tcPr>
            <w:tcW w:w="14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往来性质</w:t>
            </w:r>
          </w:p>
        </w:tc>
        <w:tc>
          <w:tcPr>
            <w:tcW w:w="118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15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报告期发生额</w:t>
            </w:r>
          </w:p>
        </w:tc>
        <w:tc>
          <w:tcPr>
            <w:tcW w:w="10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报告期偿还额</w:t>
            </w:r>
          </w:p>
        </w:tc>
        <w:tc>
          <w:tcPr>
            <w:tcW w:w="10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利息收入</w:t>
            </w:r>
          </w:p>
        </w:tc>
        <w:tc>
          <w:tcPr>
            <w:tcW w:w="97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利息支出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湖南飞机起降系统技术研发有限公司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湖南博云汽车制动材料有限公司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0.25</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0.25</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湖南炜铂新材料科技有限公司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9.08</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沃尔夫切削技术（太仓）有限公司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29.74</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12.63</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湖南省机械设备进出口有限公司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41.87</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81.41</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123.28</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Werkzeugtechnologie GmbH</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34.7</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16.69</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26.35</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WOLF Precision Tools India Pvt.Ltd</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26.07</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15.83</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bookmarkStart w:id="361" w:name="OLE_LINK9" w:colFirst="0" w:colLast="7"/>
            <w:r>
              <w:rPr>
                <w:rFonts w:ascii="宋体" w:hAnsi="宋体" w:eastAsia="宋体" w:cs="宋体"/>
                <w:sz w:val="18"/>
                <w:szCs w:val="18"/>
              </w:rPr>
              <w:t>湖南建院建设工程检测有限责任公司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highlight w:val="none"/>
              </w:rPr>
            </w:pPr>
            <w:r>
              <w:rPr>
                <w:rFonts w:ascii="宋体" w:hAnsi="宋体" w:eastAsia="宋体" w:cs="宋体"/>
                <w:sz w:val="18"/>
                <w:szCs w:val="18"/>
                <w:highlight w:val="none"/>
              </w:rPr>
              <w:t>中南大学粉末冶金工程研究中心有限公司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highlight w:val="none"/>
              </w:rPr>
            </w:pPr>
            <w:r>
              <w:rPr>
                <w:rFonts w:ascii="宋体" w:hAnsi="宋体" w:eastAsia="宋体" w:cs="宋体"/>
                <w:sz w:val="18"/>
                <w:szCs w:val="18"/>
                <w:highlight w:val="none"/>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highlight w:val="none"/>
              </w:rPr>
            </w:pPr>
            <w:r>
              <w:rPr>
                <w:rFonts w:ascii="宋体" w:hAnsi="宋体" w:eastAsia="宋体" w:cs="宋体"/>
                <w:sz w:val="18"/>
                <w:szCs w:val="18"/>
                <w:highlight w:val="none"/>
              </w:rPr>
              <w:t>1.</w:t>
            </w:r>
            <w:r>
              <w:rPr>
                <w:rFonts w:hint="eastAsia" w:ascii="宋体" w:hAnsi="宋体" w:cs="宋体"/>
                <w:sz w:val="18"/>
                <w:szCs w:val="18"/>
                <w:highlight w:val="none"/>
                <w:lang w:val="en-US" w:eastAsia="zh-CN"/>
              </w:rPr>
              <w:t>6</w:t>
            </w:r>
            <w:r>
              <w:rPr>
                <w:rFonts w:ascii="宋体" w:hAnsi="宋体" w:eastAsia="宋体" w:cs="宋体"/>
                <w:sz w:val="18"/>
                <w:szCs w:val="18"/>
                <w:highlight w:val="none"/>
              </w:rPr>
              <w:t>7</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23.29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19.64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5.32</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12,493.5</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1,642.56</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1,029.37</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13,106.69</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长沙鑫航机轮刹车有限公司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非经营性往来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15,965.15</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1,229.1</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1,000.32</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16,193.93</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228.78</w:t>
            </w: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湖南沃尔博精密工具有限公司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0.14</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20.64</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10.83</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霍尼韦尔博云航空系统（湖南）有限公司</w:t>
            </w:r>
          </w:p>
        </w:tc>
        <w:tc>
          <w:tcPr>
            <w:tcW w:w="144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经营性往来</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1,780.43</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112.21</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112.21</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1,780.43</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bookmarkEnd w:id="361"/>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44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18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30,332.64</w:t>
            </w:r>
          </w:p>
        </w:tc>
        <w:tc>
          <w:tcPr>
            <w:tcW w:w="115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3,193.24</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2,364.04</w:t>
            </w:r>
          </w:p>
        </w:tc>
        <w:tc>
          <w:tcPr>
            <w:tcW w:w="103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31,161.84</w:t>
            </w:r>
          </w:p>
        </w:tc>
        <w:tc>
          <w:tcPr>
            <w:tcW w:w="10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228.78</w:t>
            </w:r>
          </w:p>
        </w:tc>
        <w:tc>
          <w:tcPr>
            <w:tcW w:w="97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bl>
    <w:p/>
    <w:p>
      <w:pPr>
        <w:spacing w:before="40" w:after="40" w:line="240" w:lineRule="exact"/>
        <w:jc w:val="left"/>
        <w:rPr>
          <w:rFonts w:ascii="宋体" w:hAnsi="宋体" w:eastAsia="宋体" w:cs="宋体"/>
          <w:sz w:val="18"/>
          <w:szCs w:val="18"/>
        </w:rPr>
      </w:pPr>
    </w:p>
    <w:sectPr>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湖南博云新材料股份有限公司2025年半年度报告全文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43BA4"/>
    <w:multiLevelType w:val="singleLevel"/>
    <w:tmpl w:val="B7943BA4"/>
    <w:lvl w:ilvl="0" w:tentative="0">
      <w:start w:val="4"/>
      <w:numFmt w:val="chineseCounting"/>
      <w:suff w:val="nothing"/>
      <w:lvlText w:val="（%1）"/>
      <w:lvlJc w:val="left"/>
      <w:rPr>
        <w:rFonts w:hint="eastAsia"/>
      </w:rPr>
    </w:lvl>
  </w:abstractNum>
  <w:abstractNum w:abstractNumId="1">
    <w:nsid w:val="2A42FE5A"/>
    <w:multiLevelType w:val="singleLevel"/>
    <w:tmpl w:val="2A42FE5A"/>
    <w:lvl w:ilvl="0" w:tentative="0">
      <w:start w:val="3"/>
      <w:numFmt w:val="decimal"/>
      <w:lvlText w:val="%1."/>
      <w:lvlJc w:val="left"/>
      <w:pPr>
        <w:tabs>
          <w:tab w:val="left" w:pos="312"/>
        </w:tabs>
      </w:pPr>
    </w:lvl>
  </w:abstractNum>
  <w:abstractNum w:abstractNumId="2">
    <w:nsid w:val="59C82409"/>
    <w:multiLevelType w:val="singleLevel"/>
    <w:tmpl w:val="59C82409"/>
    <w:lvl w:ilvl="0" w:tentative="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docVars>
    <w:docVar w:name="commondata" w:val="eyJoZGlkIjoiYzlhZDM3OWM2NmRhMzBiMDYxYjgzYzJiMWE5MTRlNzAifQ=="/>
  </w:docVars>
  <w:rsids>
    <w:rsidRoot w:val="00000000"/>
    <w:rsid w:val="006E66C8"/>
    <w:rsid w:val="00BC70FC"/>
    <w:rsid w:val="016823B6"/>
    <w:rsid w:val="0187663B"/>
    <w:rsid w:val="022A2676"/>
    <w:rsid w:val="02DA5772"/>
    <w:rsid w:val="02ED7EC0"/>
    <w:rsid w:val="03AE2778"/>
    <w:rsid w:val="03C048EF"/>
    <w:rsid w:val="03CA6453"/>
    <w:rsid w:val="03DB41BC"/>
    <w:rsid w:val="059E5456"/>
    <w:rsid w:val="06107707"/>
    <w:rsid w:val="067F1EFB"/>
    <w:rsid w:val="08566979"/>
    <w:rsid w:val="09136E47"/>
    <w:rsid w:val="095D4514"/>
    <w:rsid w:val="0992531D"/>
    <w:rsid w:val="09DC2A3C"/>
    <w:rsid w:val="0B46362F"/>
    <w:rsid w:val="0B6B051B"/>
    <w:rsid w:val="0B767803"/>
    <w:rsid w:val="0BA8707A"/>
    <w:rsid w:val="0BAA072F"/>
    <w:rsid w:val="0CC40B35"/>
    <w:rsid w:val="0CD21ED4"/>
    <w:rsid w:val="104A3BE6"/>
    <w:rsid w:val="117F141C"/>
    <w:rsid w:val="11D72467"/>
    <w:rsid w:val="127947AE"/>
    <w:rsid w:val="129A60C8"/>
    <w:rsid w:val="12CD1ABC"/>
    <w:rsid w:val="131E5E73"/>
    <w:rsid w:val="14726477"/>
    <w:rsid w:val="1526575B"/>
    <w:rsid w:val="15273705"/>
    <w:rsid w:val="152A7FD2"/>
    <w:rsid w:val="15AF6C7D"/>
    <w:rsid w:val="160C28FB"/>
    <w:rsid w:val="163634D4"/>
    <w:rsid w:val="16D85215"/>
    <w:rsid w:val="173D7210"/>
    <w:rsid w:val="179E5F3A"/>
    <w:rsid w:val="17A70B2D"/>
    <w:rsid w:val="17E8473E"/>
    <w:rsid w:val="18422604"/>
    <w:rsid w:val="196D36B1"/>
    <w:rsid w:val="19792055"/>
    <w:rsid w:val="19845B86"/>
    <w:rsid w:val="1A5E5234"/>
    <w:rsid w:val="1B441A60"/>
    <w:rsid w:val="1B734D5C"/>
    <w:rsid w:val="1B9211AC"/>
    <w:rsid w:val="1BB76A3A"/>
    <w:rsid w:val="1BE409CC"/>
    <w:rsid w:val="1C765FFA"/>
    <w:rsid w:val="1CFC7A7A"/>
    <w:rsid w:val="1D3D1DC5"/>
    <w:rsid w:val="1D474C36"/>
    <w:rsid w:val="1E0565AE"/>
    <w:rsid w:val="1E25455A"/>
    <w:rsid w:val="1E3D60CC"/>
    <w:rsid w:val="1F0C74C8"/>
    <w:rsid w:val="1F7D71AB"/>
    <w:rsid w:val="20D67D8D"/>
    <w:rsid w:val="21511635"/>
    <w:rsid w:val="21A64032"/>
    <w:rsid w:val="21FD1393"/>
    <w:rsid w:val="22237002"/>
    <w:rsid w:val="226E47C3"/>
    <w:rsid w:val="247235EA"/>
    <w:rsid w:val="256D2445"/>
    <w:rsid w:val="272C0FF6"/>
    <w:rsid w:val="272E2263"/>
    <w:rsid w:val="2732062E"/>
    <w:rsid w:val="28C3176B"/>
    <w:rsid w:val="28C95CCC"/>
    <w:rsid w:val="28D222F9"/>
    <w:rsid w:val="28E60D8A"/>
    <w:rsid w:val="295B3526"/>
    <w:rsid w:val="2C1F4644"/>
    <w:rsid w:val="2C6D3C9C"/>
    <w:rsid w:val="2CC85F08"/>
    <w:rsid w:val="2D5A6B60"/>
    <w:rsid w:val="2E0777D8"/>
    <w:rsid w:val="2E79529C"/>
    <w:rsid w:val="2E7D5F75"/>
    <w:rsid w:val="2EBF49BF"/>
    <w:rsid w:val="2F176850"/>
    <w:rsid w:val="2F3F3723"/>
    <w:rsid w:val="2F5D6F3E"/>
    <w:rsid w:val="2FE222AB"/>
    <w:rsid w:val="30515857"/>
    <w:rsid w:val="30731A9A"/>
    <w:rsid w:val="35AE1DE0"/>
    <w:rsid w:val="368B1095"/>
    <w:rsid w:val="36C22E36"/>
    <w:rsid w:val="36FF7BE6"/>
    <w:rsid w:val="37213C32"/>
    <w:rsid w:val="37E90C3B"/>
    <w:rsid w:val="3A347BA7"/>
    <w:rsid w:val="3A683CF4"/>
    <w:rsid w:val="3AF630AE"/>
    <w:rsid w:val="3B464036"/>
    <w:rsid w:val="3BDD426E"/>
    <w:rsid w:val="3C241E9D"/>
    <w:rsid w:val="3CAF3FE2"/>
    <w:rsid w:val="3CF655E7"/>
    <w:rsid w:val="3DB71FE7"/>
    <w:rsid w:val="3DBA1CEC"/>
    <w:rsid w:val="3E236774"/>
    <w:rsid w:val="3EDC774D"/>
    <w:rsid w:val="3EFB28CA"/>
    <w:rsid w:val="3F1E0E25"/>
    <w:rsid w:val="401A339B"/>
    <w:rsid w:val="40D650CA"/>
    <w:rsid w:val="41083B3B"/>
    <w:rsid w:val="4146377D"/>
    <w:rsid w:val="423579D1"/>
    <w:rsid w:val="42C57F36"/>
    <w:rsid w:val="432D43BF"/>
    <w:rsid w:val="435979DC"/>
    <w:rsid w:val="438349E1"/>
    <w:rsid w:val="454E2B1D"/>
    <w:rsid w:val="457329B5"/>
    <w:rsid w:val="457874C1"/>
    <w:rsid w:val="46D85D5E"/>
    <w:rsid w:val="46E26CBE"/>
    <w:rsid w:val="47571281"/>
    <w:rsid w:val="47BA57A8"/>
    <w:rsid w:val="482E0278"/>
    <w:rsid w:val="490615BB"/>
    <w:rsid w:val="49524E19"/>
    <w:rsid w:val="49A563CB"/>
    <w:rsid w:val="49F871DE"/>
    <w:rsid w:val="4A1603F8"/>
    <w:rsid w:val="4AD0171C"/>
    <w:rsid w:val="4C39729F"/>
    <w:rsid w:val="4C6D6F48"/>
    <w:rsid w:val="4CE90DB0"/>
    <w:rsid w:val="4E7A6F46"/>
    <w:rsid w:val="4FDF3C6E"/>
    <w:rsid w:val="503439CA"/>
    <w:rsid w:val="50B01B49"/>
    <w:rsid w:val="51B355E6"/>
    <w:rsid w:val="52486704"/>
    <w:rsid w:val="53A72D40"/>
    <w:rsid w:val="53AD19CF"/>
    <w:rsid w:val="553F2B22"/>
    <w:rsid w:val="556F5ADF"/>
    <w:rsid w:val="55DA1BE7"/>
    <w:rsid w:val="56F40992"/>
    <w:rsid w:val="57F45748"/>
    <w:rsid w:val="59F67EDB"/>
    <w:rsid w:val="5A4C4641"/>
    <w:rsid w:val="5B526F56"/>
    <w:rsid w:val="5C4829BA"/>
    <w:rsid w:val="5C5D2BBE"/>
    <w:rsid w:val="5E056FE1"/>
    <w:rsid w:val="5E0D3270"/>
    <w:rsid w:val="5E3B5F17"/>
    <w:rsid w:val="5E873AA5"/>
    <w:rsid w:val="5F4973A1"/>
    <w:rsid w:val="5F8B5C0B"/>
    <w:rsid w:val="5FB92779"/>
    <w:rsid w:val="5FF612D7"/>
    <w:rsid w:val="5FFE29B9"/>
    <w:rsid w:val="60A30D33"/>
    <w:rsid w:val="64265F03"/>
    <w:rsid w:val="64B140D9"/>
    <w:rsid w:val="64B17E2F"/>
    <w:rsid w:val="64B452BD"/>
    <w:rsid w:val="654F3237"/>
    <w:rsid w:val="656E5035"/>
    <w:rsid w:val="661F0E5C"/>
    <w:rsid w:val="66372649"/>
    <w:rsid w:val="666077EF"/>
    <w:rsid w:val="66BE0674"/>
    <w:rsid w:val="675E3429"/>
    <w:rsid w:val="67C1157C"/>
    <w:rsid w:val="67DB0DB2"/>
    <w:rsid w:val="69230C63"/>
    <w:rsid w:val="69655E7A"/>
    <w:rsid w:val="69A469D4"/>
    <w:rsid w:val="6AA52231"/>
    <w:rsid w:val="6B902259"/>
    <w:rsid w:val="6D322934"/>
    <w:rsid w:val="6D663231"/>
    <w:rsid w:val="6D900BB0"/>
    <w:rsid w:val="6DCD7B39"/>
    <w:rsid w:val="6E6E3C26"/>
    <w:rsid w:val="6E7C230A"/>
    <w:rsid w:val="6EB011EB"/>
    <w:rsid w:val="6F1D33D7"/>
    <w:rsid w:val="6F3275E5"/>
    <w:rsid w:val="6F4A141A"/>
    <w:rsid w:val="6FEA072C"/>
    <w:rsid w:val="71332E51"/>
    <w:rsid w:val="7149701B"/>
    <w:rsid w:val="72253C9E"/>
    <w:rsid w:val="722E5429"/>
    <w:rsid w:val="72386839"/>
    <w:rsid w:val="756B2DA0"/>
    <w:rsid w:val="75840CDB"/>
    <w:rsid w:val="75A07EBF"/>
    <w:rsid w:val="76655215"/>
    <w:rsid w:val="76BA05D5"/>
    <w:rsid w:val="77DA74DF"/>
    <w:rsid w:val="780D2FE1"/>
    <w:rsid w:val="780F5746"/>
    <w:rsid w:val="7863107C"/>
    <w:rsid w:val="7A17146B"/>
    <w:rsid w:val="7A1E34AC"/>
    <w:rsid w:val="7CA21C7D"/>
    <w:rsid w:val="7D3D0829"/>
    <w:rsid w:val="7D3D4EC3"/>
    <w:rsid w:val="7D540680"/>
    <w:rsid w:val="7D5456BE"/>
    <w:rsid w:val="7E0611B8"/>
    <w:rsid w:val="7E920684"/>
    <w:rsid w:val="7EAF0215"/>
    <w:rsid w:val="7F4C0A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1"/>
    <w:pPr>
      <w:spacing w:line="560" w:lineRule="exact"/>
    </w:pPr>
    <w:rPr>
      <w:rFonts w:ascii="仿宋_GB2312" w:eastAsia="仿宋_GB2312"/>
      <w:sz w:val="32"/>
    </w:rPr>
  </w:style>
  <w:style w:type="paragraph" w:customStyle="1" w:styleId="3">
    <w:name w:val="Body Text 21"/>
    <w:basedOn w:val="1"/>
    <w:qFormat/>
    <w:uiPriority w:val="0"/>
    <w:pPr>
      <w:spacing w:line="480" w:lineRule="auto"/>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124</Pages>
  <Words>69180</Words>
  <Characters>98019</Characters>
  <TotalTime>4</TotalTime>
  <ScaleCrop>false</ScaleCrop>
  <LinksUpToDate>false</LinksUpToDate>
  <CharactersWithSpaces>99132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2025-08-06T08:23:00Z</dcterms:created>
  <dc:creator>Administrator</dc:creator>
  <cp:lastModifiedBy>张爱丽</cp:lastModifiedBy>
  <dcterms:modified xsi:type="dcterms:W3CDTF">2025-08-25T08:20:12Z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14AA8DC32A1945E5B49E280582B7DA56</vt:lpwstr>
  </property>
</Properties>
</file>