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00" w:after="1000" w:line="560" w:lineRule="exact"/>
        <w:jc w:val="center"/>
        <w:rPr>
          <w:rFonts w:hint="default" w:ascii="宋体" w:hAnsi="宋体" w:eastAsia="宋体" w:cs="宋体"/>
          <w:sz w:val="18"/>
          <w:szCs w:val="18"/>
          <w:lang w:val="en-US" w:eastAsia="zh-CN"/>
        </w:rPr>
      </w:pPr>
      <w:r>
        <w:rPr>
          <w:rFonts w:ascii="宋体" w:hAnsi="宋体" w:eastAsia="宋体" w:cs="宋体"/>
          <w:sz w:val="18"/>
          <w:szCs w:val="18"/>
        </w:rPr>
        <w:t xml:space="preserve">证券代码：002297          </w:t>
      </w:r>
      <w:r>
        <w:rPr>
          <w:rFonts w:hint="eastAsia" w:ascii="宋体" w:hAnsi="宋体" w:eastAsia="宋体" w:cs="宋体"/>
          <w:sz w:val="18"/>
          <w:szCs w:val="18"/>
          <w:lang w:val="en-US" w:eastAsia="zh-CN"/>
        </w:rPr>
        <w:t xml:space="preserve">            </w:t>
      </w:r>
      <w:r>
        <w:rPr>
          <w:rFonts w:ascii="宋体" w:hAnsi="宋体" w:eastAsia="宋体" w:cs="宋体"/>
          <w:sz w:val="18"/>
          <w:szCs w:val="18"/>
        </w:rPr>
        <w:t xml:space="preserve">   证券简称：博云新材       </w:t>
      </w:r>
      <w:r>
        <w:rPr>
          <w:rFonts w:hint="eastAsia" w:ascii="宋体" w:hAnsi="宋体" w:eastAsia="宋体" w:cs="宋体"/>
          <w:sz w:val="18"/>
          <w:szCs w:val="18"/>
          <w:lang w:val="en-US" w:eastAsia="zh-CN"/>
        </w:rPr>
        <w:t xml:space="preserve">               </w:t>
      </w:r>
      <w:r>
        <w:rPr>
          <w:rFonts w:ascii="宋体" w:hAnsi="宋体" w:eastAsia="宋体" w:cs="宋体"/>
          <w:sz w:val="18"/>
          <w:szCs w:val="18"/>
        </w:rPr>
        <w:t xml:space="preserve">      公告编号：</w:t>
      </w:r>
      <w:r>
        <w:rPr>
          <w:rFonts w:hint="eastAsia" w:ascii="宋体" w:hAnsi="宋体" w:cs="宋体"/>
          <w:sz w:val="18"/>
          <w:szCs w:val="18"/>
          <w:lang w:val="en-US" w:eastAsia="zh-CN"/>
        </w:rPr>
        <w:t>2024-014</w:t>
      </w:r>
    </w:p>
    <w:p>
      <w:pPr>
        <w:spacing w:before="200" w:after="200" w:line="400" w:lineRule="exact"/>
        <w:jc w:val="center"/>
        <w:rPr>
          <w:rFonts w:ascii="宋体" w:hAnsi="宋体" w:eastAsia="宋体" w:cs="宋体"/>
          <w:b/>
          <w:bCs/>
          <w:sz w:val="32"/>
          <w:szCs w:val="32"/>
        </w:rPr>
      </w:pPr>
      <w:r>
        <w:rPr>
          <w:rFonts w:ascii="宋体" w:hAnsi="宋体" w:eastAsia="宋体" w:cs="宋体"/>
          <w:b/>
          <w:bCs/>
          <w:sz w:val="32"/>
          <w:szCs w:val="32"/>
        </w:rPr>
        <w:t>湖南博云新材料股份有限公司</w:t>
      </w:r>
    </w:p>
    <w:p>
      <w:pPr>
        <w:spacing w:before="200" w:after="200" w:line="400" w:lineRule="exact"/>
        <w:jc w:val="center"/>
        <w:rPr>
          <w:rFonts w:ascii="宋体" w:hAnsi="宋体" w:eastAsia="宋体" w:cs="宋体"/>
          <w:b/>
          <w:bCs/>
          <w:sz w:val="32"/>
          <w:szCs w:val="32"/>
        </w:rPr>
      </w:pPr>
      <w:r>
        <w:rPr>
          <w:rFonts w:ascii="宋体" w:hAnsi="宋体" w:eastAsia="宋体" w:cs="宋体"/>
          <w:b/>
          <w:bCs/>
          <w:sz w:val="32"/>
          <w:szCs w:val="32"/>
        </w:rPr>
        <w:t>2024年第一季度报告</w:t>
      </w:r>
    </w:p>
    <w:p>
      <w:pPr>
        <w:pBdr>
          <w:top w:val="single" w:color="auto" w:sz="4" w:space="1"/>
          <w:left w:val="single" w:color="auto" w:sz="4" w:space="4"/>
          <w:bottom w:val="single" w:color="auto" w:sz="4" w:space="1"/>
          <w:right w:val="single" w:color="auto" w:sz="4" w:space="4"/>
        </w:pBdr>
        <w:spacing w:before="100" w:after="100" w:line="400" w:lineRule="exact"/>
        <w:ind w:firstLine="360" w:firstLineChars="200"/>
        <w:jc w:val="left"/>
        <w:rPr>
          <w:rFonts w:ascii="宋体" w:hAnsi="宋体" w:eastAsia="宋体" w:cs="宋体"/>
          <w:sz w:val="18"/>
          <w:szCs w:val="18"/>
        </w:rPr>
      </w:pPr>
      <w:r>
        <w:rPr>
          <w:rFonts w:ascii="宋体" w:hAnsi="宋体" w:eastAsia="宋体" w:cs="宋体"/>
          <w:sz w:val="18"/>
          <w:szCs w:val="18"/>
        </w:rPr>
        <w:t>本公司及董事会全体成员保证信息披露的内容真实、准确、完整，没有虚假记载、误导性陈述或重大遗漏。</w:t>
      </w:r>
    </w:p>
    <w:p>
      <w:pPr>
        <w:spacing w:before="40" w:after="40" w:line="420" w:lineRule="exact"/>
        <w:jc w:val="left"/>
        <w:rPr>
          <w:rFonts w:ascii="宋体" w:hAnsi="宋体" w:eastAsia="宋体" w:cs="宋体"/>
          <w:b/>
          <w:bCs/>
          <w:sz w:val="24"/>
          <w:szCs w:val="24"/>
        </w:rPr>
      </w:pPr>
      <w:r>
        <w:rPr>
          <w:rFonts w:ascii="宋体" w:hAnsi="宋体" w:eastAsia="宋体" w:cs="宋体"/>
          <w:b/>
          <w:bCs/>
          <w:sz w:val="24"/>
          <w:szCs w:val="24"/>
        </w:rPr>
        <w:t>重要内容提示：</w:t>
      </w:r>
    </w:p>
    <w:p>
      <w:pPr>
        <w:spacing w:before="100" w:after="100" w:line="400" w:lineRule="exact"/>
        <w:jc w:val="left"/>
        <w:rPr>
          <w:rFonts w:ascii="宋体" w:hAnsi="宋体" w:eastAsia="宋体" w:cs="宋体"/>
          <w:sz w:val="18"/>
          <w:szCs w:val="18"/>
        </w:rPr>
      </w:pPr>
      <w:r>
        <w:rPr>
          <w:rFonts w:ascii="宋体" w:hAnsi="宋体" w:eastAsia="宋体" w:cs="宋体"/>
          <w:sz w:val="18"/>
          <w:szCs w:val="18"/>
        </w:rPr>
        <w:t>1.董事会、监事会及董事、监事、高级管理人员保证季度报告的真实、准确、完整，不存在虚假记载、误导性陈述或重大遗漏，并承担个别和连带的法律责任。</w:t>
      </w:r>
    </w:p>
    <w:p>
      <w:pPr>
        <w:spacing w:before="100" w:after="100" w:line="400" w:lineRule="exact"/>
        <w:jc w:val="left"/>
        <w:rPr>
          <w:rFonts w:ascii="宋体" w:hAnsi="宋体" w:eastAsia="宋体" w:cs="宋体"/>
          <w:sz w:val="18"/>
          <w:szCs w:val="18"/>
        </w:rPr>
      </w:pPr>
      <w:r>
        <w:rPr>
          <w:rFonts w:ascii="宋体" w:hAnsi="宋体" w:eastAsia="宋体" w:cs="宋体"/>
          <w:sz w:val="18"/>
          <w:szCs w:val="18"/>
        </w:rPr>
        <w:t>2.公司负责人、主管会计工作负责人及会计机构负责人(会计主管人员)声明：保证季度报告中财务信息的真实、准确、完整。</w:t>
      </w:r>
    </w:p>
    <w:p>
      <w:pPr>
        <w:spacing w:before="100" w:after="100" w:line="400" w:lineRule="exact"/>
        <w:jc w:val="left"/>
        <w:rPr>
          <w:rFonts w:ascii="宋体" w:hAnsi="宋体" w:eastAsia="宋体" w:cs="宋体"/>
          <w:sz w:val="18"/>
          <w:szCs w:val="18"/>
        </w:rPr>
      </w:pPr>
      <w:r>
        <w:rPr>
          <w:rFonts w:ascii="宋体" w:hAnsi="宋体" w:eastAsia="宋体" w:cs="宋体"/>
          <w:sz w:val="18"/>
          <w:szCs w:val="18"/>
        </w:rPr>
        <w:t>3.第一季度报告是否经审计</w:t>
      </w:r>
    </w:p>
    <w:p>
      <w:pPr>
        <w:spacing w:before="100" w:after="100" w:line="40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keepNext/>
        <w:keepLines/>
        <w:spacing w:before="300" w:after="300" w:line="280" w:lineRule="exact"/>
        <w:jc w:val="left"/>
        <w:outlineLvl w:val="1"/>
        <w:rPr>
          <w:rFonts w:ascii="宋体" w:hAnsi="宋体" w:eastAsia="宋体" w:cs="宋体"/>
          <w:b/>
          <w:bCs/>
          <w:sz w:val="21"/>
          <w:szCs w:val="21"/>
        </w:rPr>
      </w:pPr>
      <w:bookmarkStart w:id="0" w:name="_Toc988889"/>
      <w:r>
        <w:rPr>
          <w:rFonts w:ascii="宋体" w:hAnsi="宋体" w:eastAsia="宋体" w:cs="宋体"/>
          <w:b/>
          <w:bCs/>
          <w:sz w:val="21"/>
          <w:szCs w:val="21"/>
        </w:rPr>
        <w:t>一、主要财务数据</w:t>
      </w:r>
      <w:bookmarkEnd w:id="0"/>
    </w:p>
    <w:p>
      <w:pPr>
        <w:keepNext/>
        <w:keepLines/>
        <w:spacing w:before="300" w:after="300" w:line="280" w:lineRule="exact"/>
        <w:jc w:val="left"/>
        <w:outlineLvl w:val="1"/>
        <w:rPr>
          <w:rFonts w:ascii="宋体" w:hAnsi="宋体" w:eastAsia="宋体" w:cs="宋体"/>
          <w:b/>
          <w:bCs/>
          <w:sz w:val="21"/>
          <w:szCs w:val="21"/>
        </w:rPr>
      </w:pPr>
      <w:bookmarkStart w:id="1" w:name="_Toc988890"/>
      <w:r>
        <w:rPr>
          <w:rFonts w:ascii="宋体" w:hAnsi="宋体" w:eastAsia="宋体" w:cs="宋体"/>
          <w:b/>
          <w:bCs/>
          <w:sz w:val="21"/>
          <w:szCs w:val="21"/>
        </w:rPr>
        <w:t>（一） 主要会计数据和财务指标</w:t>
      </w:r>
      <w:bookmarkEnd w:id="1"/>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公司是否需追溯调整或重述以前年度会计数据</w:t>
      </w:r>
    </w:p>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tbl>
      <w:tblPr>
        <w:tblStyle w:val="2"/>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本报告期</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上年同期</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本报告期比上年同期增减（%）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营业收入（元）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111,548,056.10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133,360,985.02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归属于上市公司股东的净利润（元）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17,578,583.65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7,314,484.71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140.33%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归属于上市公司股东的扣除非经常性损益的净利润（元）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-4,847,362.32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1,848,550.64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-362.23%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经营活动产生的现金流量净额（元）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34,934,266.13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-17,718,953.20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297.16%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基本每股收益（元/股）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0.0307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0.0128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139.84%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稀释每股收益（元/股）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0.0307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0.0128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139.84%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加权平均净资产收益率</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0.83%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本报告期末</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上年度末</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本报告期末比上年度末增减（%）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总资产（元）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2,902,343,291.37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2,858,765,260.94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归属于上市公司股东的所有者权益（元）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2,139,288,845.01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2,121,710,261.36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0.83%</w:t>
            </w:r>
          </w:p>
        </w:tc>
      </w:tr>
    </w:tbl>
    <w:p>
      <w:pPr>
        <w:spacing w:before="0" w:after="0" w:line="0" w:lineRule="exact"/>
        <w:jc w:val="left"/>
      </w:pPr>
    </w:p>
    <w:p>
      <w:pPr>
        <w:spacing w:before="0" w:after="0" w:line="0" w:lineRule="exact"/>
        <w:jc w:val="left"/>
      </w:pPr>
    </w:p>
    <w:p>
      <w:pPr>
        <w:keepNext/>
        <w:keepLines/>
        <w:spacing w:before="300" w:after="300" w:line="280" w:lineRule="exact"/>
        <w:jc w:val="left"/>
        <w:outlineLvl w:val="1"/>
        <w:rPr>
          <w:rFonts w:ascii="宋体" w:hAnsi="宋体" w:eastAsia="宋体" w:cs="宋体"/>
          <w:b/>
          <w:bCs/>
          <w:sz w:val="21"/>
          <w:szCs w:val="21"/>
        </w:rPr>
      </w:pPr>
      <w:bookmarkStart w:id="2" w:name="_Toc988891"/>
      <w:r>
        <w:rPr>
          <w:rFonts w:ascii="宋体" w:hAnsi="宋体" w:eastAsia="宋体" w:cs="宋体"/>
          <w:b/>
          <w:bCs/>
          <w:sz w:val="21"/>
          <w:szCs w:val="21"/>
        </w:rPr>
        <w:t>（二） 非经常性损益项目和金额</w:t>
      </w:r>
      <w:bookmarkEnd w:id="2"/>
    </w:p>
    <w:p>
      <w:pPr>
        <w:spacing w:before="0" w:after="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0" w:after="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2"/>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计入当期损益的政府补助（与公司正常经营业务密切相关、符合国家政策规定、按照确定的标准享有、对公司损益产生持续影响的政府补助除外）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5,581,259.63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除上述各项之外的其他营业外收入和支出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20,119,490.34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主要为母公司博云新材收到退税款。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减：所得税影响额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3,219,959.36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少数股东权益影响额（税后）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54,844.64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22,425,945.97</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bl>
    <w:p>
      <w:pPr>
        <w:spacing w:before="0" w:after="0" w:line="240" w:lineRule="exact"/>
        <w:jc w:val="left"/>
        <w:rPr>
          <w:rFonts w:ascii="宋体" w:hAnsi="宋体" w:eastAsia="宋体" w:cs="宋体"/>
          <w:sz w:val="18"/>
          <w:szCs w:val="18"/>
        </w:rPr>
      </w:pPr>
      <w:r>
        <w:rPr>
          <w:rFonts w:ascii="宋体" w:hAnsi="宋体" w:eastAsia="宋体" w:cs="宋体"/>
          <w:sz w:val="18"/>
          <w:szCs w:val="18"/>
        </w:rPr>
        <w:t>其他符合非经常性损益定义的损益项目的具体情况</w:t>
      </w:r>
    </w:p>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公司不存在其他符合非经常性损益定义的损益项目的具体情况。</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将《公开发行证券的公司信息披露解释性公告第1号——非经常性损益》中列举的非经常性损益项目界定为经常性损益项目的情况说明
</w:t>
      </w:r>
    </w:p>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0" w:after="0" w:line="240" w:lineRule="exact"/>
        <w:jc w:val="left"/>
        <w:rPr>
          <w:rFonts w:ascii="宋体" w:hAnsi="宋体" w:eastAsia="宋体" w:cs="宋体"/>
          <w:sz w:val="18"/>
          <w:szCs w:val="18"/>
        </w:rPr>
      </w:pPr>
      <w:r>
        <w:rPr>
          <w:rFonts w:ascii="宋体" w:hAnsi="宋体" w:eastAsia="宋体" w:cs="宋体"/>
          <w:sz w:val="18"/>
          <w:szCs w:val="18"/>
        </w:rPr>
        <w:t>公司不存在将《公开发行证券的公司信息披露解释性公告第1号——非经常性损益》中列举的非经常性损益项目界定为经常性损益的项目的情形。</w:t>
      </w:r>
    </w:p>
    <w:p>
      <w:pPr>
        <w:keepNext/>
        <w:keepLines/>
        <w:spacing w:before="300" w:after="300" w:line="280" w:lineRule="exact"/>
        <w:jc w:val="left"/>
        <w:outlineLvl w:val="1"/>
        <w:rPr>
          <w:rFonts w:ascii="宋体" w:hAnsi="宋体" w:eastAsia="宋体" w:cs="宋体"/>
          <w:b/>
          <w:bCs/>
          <w:sz w:val="21"/>
          <w:szCs w:val="21"/>
        </w:rPr>
      </w:pPr>
      <w:bookmarkStart w:id="3" w:name="_Toc988892"/>
      <w:r>
        <w:rPr>
          <w:rFonts w:ascii="宋体" w:hAnsi="宋体" w:eastAsia="宋体" w:cs="宋体"/>
          <w:b/>
          <w:bCs/>
          <w:sz w:val="21"/>
          <w:szCs w:val="21"/>
        </w:rPr>
        <w:t>（三） 主要会计数据和财务指标发生变动的情况及原因</w:t>
      </w:r>
      <w:bookmarkEnd w:id="3"/>
    </w:p>
    <w:p>
      <w:pPr>
        <w:spacing w:before="0" w:after="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2"/>
        <w:tblW w:w="10065" w:type="dxa"/>
        <w:tblInd w:w="-3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631"/>
        <w:gridCol w:w="1429"/>
        <w:gridCol w:w="1470"/>
        <w:gridCol w:w="1335"/>
        <w:gridCol w:w="1035"/>
        <w:gridCol w:w="31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本报告期末</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期初/上年同期</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变动额</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变动率</w:t>
            </w:r>
          </w:p>
        </w:tc>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变动分析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0" w:hRule="atLeast"/>
        </w:trPr>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应收票据</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63,143,829.20</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90,189,966.95</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-27,046,137.75</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-29.99%</w:t>
            </w:r>
          </w:p>
        </w:tc>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主要为本期母公司博云新材、子公司博云东方和子公司伟徽新材票据到期及已转让未到期票据减少所致。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应收款项融资</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5,600,486.41</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14,258,718.27</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-8,658,231.86</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-60.72%</w:t>
            </w:r>
          </w:p>
        </w:tc>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主要为子公司博云东方和子公司伟徽新材银行承兑汇票减少所致。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预付款项</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14,709,796.11</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10,577,938.67</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4,131,857.44</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39.06%</w:t>
            </w:r>
          </w:p>
        </w:tc>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主要为本期子公司博云东方预付材料款增加所致。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1" w:hRule="atLeast"/>
        </w:trPr>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其他应收款</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1,931,670.39</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1,047,840.56</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883,829.83</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84.35%</w:t>
            </w:r>
          </w:p>
        </w:tc>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主要为本期备用金增加所致。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其他流动资产</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4,854,091.81</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9,083,307.57</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-4,229,215.76</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-46.56%</w:t>
            </w:r>
          </w:p>
        </w:tc>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主要为子公司博云东方本期留抵增值税进项税额减少所致。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其他非流动资产</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11,609,979.13</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17,499,706.11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-5,889,726.98</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-33.66%</w:t>
            </w:r>
          </w:p>
        </w:tc>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主要为本期子公司博云东方预付设备款减少所致。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0" w:hRule="atLeast"/>
        </w:trPr>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应付票据</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77,858,093.38</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125,433,836.83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-47,575,743.45</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-37.93%</w:t>
            </w:r>
          </w:p>
        </w:tc>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主要为本期母公司博云新材、子公司博云东方和子公司长沙鑫航票据到期承兑所致。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应付账款</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185,182,271.84</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103,189,502.92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81,992,768.92</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79.46%</w:t>
            </w:r>
          </w:p>
        </w:tc>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主要为本期子公司博云东方原材料及设备采购增加所致。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1" w:hRule="atLeast"/>
        </w:trPr>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应付职工薪酬</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19,790,345.79</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28,682,378.77</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-8,892,032.98</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w:t>
            </w:r>
          </w:p>
        </w:tc>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为支付上年年终绩效所致。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销售费用</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3,652,897.35</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5,364,304.18</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-1,711,406.83</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-31.90%</w:t>
            </w:r>
          </w:p>
        </w:tc>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主要为子公司长沙鑫航销售团队薪酬减少所致。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管理费用</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14,110,328.14</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10,413,843.84</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3,696,484.30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35.50%</w:t>
            </w:r>
          </w:p>
        </w:tc>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主要为母公司博云新材及子公司长沙鑫航本期按季计提绩效薪酬增加，子公司博云东方新基地投入使用折旧摊销增加所致。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财务费用</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-245,322.48</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-757,670.41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512,347.93</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67.62%</w:t>
            </w:r>
          </w:p>
        </w:tc>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主要为本期子公司博云东方新增银行贷款导致利息费用增加所致。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其他收益</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25,618,701.10</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4,242,168.72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21,376,532.38</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503.91%</w:t>
            </w:r>
          </w:p>
        </w:tc>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主要为母公司博云新材本期收到退税款所致。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投资收益（损失以“－”号填列）</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339,209.76</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-2,225,763.56</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2,564,973.32</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115.24%</w:t>
            </w:r>
          </w:p>
        </w:tc>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主要为本期收到其他权益工具投资分红所致。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信用减值损失（损失以“-”号填列）</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2,942,622.55</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-2,970,517.11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5,913,139.66</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199.06%</w:t>
            </w:r>
          </w:p>
        </w:tc>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主要为本期母公司博云新材收回的货款增加致使减值转回所致。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资产减值损失（损失以“-”号填列）</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-1,100.28</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-906,063.96</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904,963.68</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99.88%</w:t>
            </w:r>
          </w:p>
        </w:tc>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主要为上期子公司长沙鑫航合同履约成本减值增加所致。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资产处置收益（损失以“-”号填列）</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1,710,492.10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-1,710,492.10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为上期母公司博云新材因技改项目拆除旧设备出售所致。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5" w:hRule="atLeast"/>
        </w:trPr>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营业利润（亏损以</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号填列）</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21,590,278.87</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8,537,596.78</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13,052,682.09</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152.88%</w:t>
            </w:r>
          </w:p>
        </w:tc>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主要为本期母公司博云新材收到退税款、收到其他权益工具投资分红、收回的货款增加致使减值转回所致。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5" w:hRule="atLeast"/>
        </w:trPr>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利润总额（亏损总额以</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号填列）</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21,672,327.74</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8,741,712.90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12,930,614.84</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147.92%</w:t>
            </w:r>
          </w:p>
        </w:tc>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主要为本期母公司博云新材收到退税款、收到其他权益工具投资分红、收回的货款增加致使减值转回所致。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所得税费用</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4,193,180.29</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1,390,690.20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2,802,490.09</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201.52%</w:t>
            </w:r>
          </w:p>
        </w:tc>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主要为本期母公司博云新材利润增加影响所得税费用增加所致。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5" w:hRule="atLeast"/>
        </w:trPr>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净利润（净亏损以</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号填列）</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17,479,147.45</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7,351,022.70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10,128,124.75</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137.78%</w:t>
            </w:r>
          </w:p>
        </w:tc>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主要为本期母公司博云新材收到退税款、收到其他权益工具投资分红、收回的货款增加致使减值转回所致。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81" w:hRule="atLeast"/>
        </w:trPr>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经营活动产生的现金流量净额</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34,934,266.13</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-17,718,953.20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52,653,219.33</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297.16%</w:t>
            </w:r>
          </w:p>
        </w:tc>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主要为本期母公司博云新材销售商品、提供劳务收到的现金增加及收到退税款；以及粉末冶金板块购买商品、接受劳务支付的现金减少、支付其他与经营活动有关的现金减少所致。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atLeast"/>
        </w:trPr>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投资活动产生的现金流量净额</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-21,487,726.87</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-44,806,192.83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23,318,465.96</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52.04%</w:t>
            </w:r>
          </w:p>
        </w:tc>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主要为本期子公司博云东方购建固定资产、无形资产和其他长期资产支付的现金减少所致。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现金及现金等价物净增加额</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31,716,934.44</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-43,613,857.14</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w:t>
            </w:r>
            <w:bookmarkStart w:id="15" w:name="_GoBack"/>
            <w:bookmarkEnd w:id="15"/>
            <w:r>
              <w:rPr>
                <w:rFonts w:hint="eastAsia" w:ascii="宋体" w:hAnsi="宋体" w:eastAsia="宋体" w:cs="宋体"/>
                <w:i w:val="0"/>
                <w:iCs w:val="0"/>
                <w:color w:val="000000"/>
                <w:kern w:val="0"/>
                <w:sz w:val="18"/>
                <w:szCs w:val="18"/>
                <w:u w:val="none"/>
                <w:lang w:val="en-US" w:eastAsia="zh-CN" w:bidi="ar"/>
              </w:rPr>
              <w:t>30,791.58</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172.72%</w:t>
            </w:r>
          </w:p>
        </w:tc>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主要为经营活动产生的现金流量净额和投资活动产生的现金流量净额增加所致。</w:t>
            </w:r>
          </w:p>
        </w:tc>
      </w:tr>
    </w:tbl>
    <w:p>
      <w:pPr>
        <w:keepNext/>
        <w:keepLines/>
        <w:spacing w:before="300" w:after="300" w:line="320" w:lineRule="exact"/>
        <w:jc w:val="left"/>
        <w:outlineLvl w:val="0"/>
        <w:rPr>
          <w:rFonts w:ascii="宋体" w:hAnsi="宋体" w:eastAsia="宋体" w:cs="宋体"/>
          <w:b/>
          <w:bCs/>
          <w:sz w:val="24"/>
          <w:szCs w:val="24"/>
        </w:rPr>
      </w:pPr>
      <w:bookmarkStart w:id="4" w:name="_Toc988893"/>
      <w:r>
        <w:rPr>
          <w:rFonts w:ascii="宋体" w:hAnsi="宋体" w:eastAsia="宋体" w:cs="宋体"/>
          <w:b/>
          <w:bCs/>
          <w:sz w:val="24"/>
          <w:szCs w:val="24"/>
        </w:rPr>
        <w:t xml:space="preserve">二、股东信息 </w:t>
      </w:r>
      <w:bookmarkEnd w:id="4"/>
    </w:p>
    <w:p>
      <w:pPr>
        <w:keepNext/>
        <w:keepLines/>
        <w:spacing w:before="300" w:after="300" w:line="280" w:lineRule="exact"/>
        <w:jc w:val="left"/>
        <w:outlineLvl w:val="1"/>
        <w:rPr>
          <w:rFonts w:ascii="宋体" w:hAnsi="宋体" w:eastAsia="宋体" w:cs="宋体"/>
          <w:b/>
          <w:bCs/>
          <w:sz w:val="21"/>
          <w:szCs w:val="21"/>
        </w:rPr>
      </w:pPr>
      <w:bookmarkStart w:id="5" w:name="_Toc988894"/>
      <w:r>
        <w:rPr>
          <w:rFonts w:ascii="宋体" w:hAnsi="宋体" w:eastAsia="宋体" w:cs="宋体"/>
          <w:b/>
          <w:bCs/>
          <w:sz w:val="21"/>
          <w:szCs w:val="21"/>
        </w:rPr>
        <w:t>（一） 普通股股东总数和表决权恢复的优先股股东数量及前十名股东持股情况表</w:t>
      </w:r>
      <w:bookmarkEnd w:id="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单位：股</w:t>
      </w:r>
    </w:p>
    <w:tbl>
      <w:tblPr>
        <w:tblStyle w:val="2"/>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917"/>
        <w:gridCol w:w="1214"/>
        <w:gridCol w:w="1051"/>
        <w:gridCol w:w="1575"/>
        <w:gridCol w:w="1065"/>
        <w:gridCol w:w="255"/>
        <w:gridCol w:w="840"/>
        <w:gridCol w:w="72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1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报告期末普通股股东总数</w:t>
            </w:r>
          </w:p>
        </w:tc>
        <w:tc>
          <w:tcPr>
            <w:tcW w:w="121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55,106</w:t>
            </w:r>
          </w:p>
        </w:tc>
        <w:tc>
          <w:tcPr>
            <w:tcW w:w="3946"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报告期末表决权恢复的优先股股东总数（如有）</w:t>
            </w:r>
          </w:p>
        </w:tc>
        <w:tc>
          <w:tcPr>
            <w:tcW w:w="156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8"/>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前10名股东持股情况（不含通过转融通出借股份）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1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股东名称</w:t>
            </w:r>
          </w:p>
        </w:tc>
        <w:tc>
          <w:tcPr>
            <w:tcW w:w="121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股东性质</w:t>
            </w:r>
          </w:p>
        </w:tc>
        <w:tc>
          <w:tcPr>
            <w:tcW w:w="105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持股比例（%）</w:t>
            </w:r>
          </w:p>
        </w:tc>
        <w:tc>
          <w:tcPr>
            <w:tcW w:w="157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持股数量</w:t>
            </w:r>
          </w:p>
        </w:tc>
        <w:tc>
          <w:tcPr>
            <w:tcW w:w="106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持有有限售条件的股份数量</w:t>
            </w:r>
          </w:p>
        </w:tc>
        <w:tc>
          <w:tcPr>
            <w:tcW w:w="1817"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质押、标记或冻结情况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1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1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5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57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6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95"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股份状态</w:t>
            </w:r>
          </w:p>
        </w:tc>
        <w:tc>
          <w:tcPr>
            <w:tcW w:w="72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1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121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国有法人</w:t>
            </w:r>
          </w:p>
        </w:tc>
        <w:tc>
          <w:tcPr>
            <w:tcW w:w="10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12.65%</w:t>
            </w:r>
          </w:p>
        </w:tc>
        <w:tc>
          <w:tcPr>
            <w:tcW w:w="15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72,472,129.00</w:t>
            </w:r>
          </w:p>
        </w:tc>
        <w:tc>
          <w:tcPr>
            <w:tcW w:w="10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0.00</w:t>
            </w:r>
          </w:p>
        </w:tc>
        <w:tc>
          <w:tcPr>
            <w:tcW w:w="109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不适用</w:t>
            </w:r>
          </w:p>
        </w:tc>
        <w:tc>
          <w:tcPr>
            <w:tcW w:w="7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1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湖南湘投高科技创业投资有限公司</w:t>
            </w:r>
          </w:p>
        </w:tc>
        <w:tc>
          <w:tcPr>
            <w:tcW w:w="121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国有法人</w:t>
            </w:r>
          </w:p>
        </w:tc>
        <w:tc>
          <w:tcPr>
            <w:tcW w:w="10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7.71%</w:t>
            </w:r>
          </w:p>
        </w:tc>
        <w:tc>
          <w:tcPr>
            <w:tcW w:w="15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44,184,602.00</w:t>
            </w:r>
          </w:p>
        </w:tc>
        <w:tc>
          <w:tcPr>
            <w:tcW w:w="10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0.00</w:t>
            </w:r>
          </w:p>
        </w:tc>
        <w:tc>
          <w:tcPr>
            <w:tcW w:w="109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不适用</w:t>
            </w:r>
          </w:p>
        </w:tc>
        <w:tc>
          <w:tcPr>
            <w:tcW w:w="7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1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国家军民融合产业投资基金有限责任公司</w:t>
            </w:r>
          </w:p>
        </w:tc>
        <w:tc>
          <w:tcPr>
            <w:tcW w:w="121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国有法人</w:t>
            </w:r>
          </w:p>
        </w:tc>
        <w:tc>
          <w:tcPr>
            <w:tcW w:w="10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6.53%</w:t>
            </w:r>
          </w:p>
        </w:tc>
        <w:tc>
          <w:tcPr>
            <w:tcW w:w="15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37,402,680.00</w:t>
            </w:r>
          </w:p>
        </w:tc>
        <w:tc>
          <w:tcPr>
            <w:tcW w:w="10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0.00</w:t>
            </w:r>
          </w:p>
        </w:tc>
        <w:tc>
          <w:tcPr>
            <w:tcW w:w="109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不适用</w:t>
            </w:r>
          </w:p>
        </w:tc>
        <w:tc>
          <w:tcPr>
            <w:tcW w:w="7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1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湖南兴湘投资控股集团有限公司</w:t>
            </w:r>
          </w:p>
        </w:tc>
        <w:tc>
          <w:tcPr>
            <w:tcW w:w="121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国有法人</w:t>
            </w:r>
          </w:p>
        </w:tc>
        <w:tc>
          <w:tcPr>
            <w:tcW w:w="10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4.22%</w:t>
            </w:r>
          </w:p>
        </w:tc>
        <w:tc>
          <w:tcPr>
            <w:tcW w:w="15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24,193,548.00</w:t>
            </w:r>
          </w:p>
        </w:tc>
        <w:tc>
          <w:tcPr>
            <w:tcW w:w="10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0.00</w:t>
            </w:r>
          </w:p>
        </w:tc>
        <w:tc>
          <w:tcPr>
            <w:tcW w:w="109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不适用</w:t>
            </w:r>
          </w:p>
        </w:tc>
        <w:tc>
          <w:tcPr>
            <w:tcW w:w="7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1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李卓</w:t>
            </w:r>
          </w:p>
        </w:tc>
        <w:tc>
          <w:tcPr>
            <w:tcW w:w="121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0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4.16%</w:t>
            </w:r>
          </w:p>
        </w:tc>
        <w:tc>
          <w:tcPr>
            <w:tcW w:w="15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23,847,638.00</w:t>
            </w:r>
          </w:p>
        </w:tc>
        <w:tc>
          <w:tcPr>
            <w:tcW w:w="10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0.00</w:t>
            </w:r>
          </w:p>
        </w:tc>
        <w:tc>
          <w:tcPr>
            <w:tcW w:w="109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不适用</w:t>
            </w:r>
          </w:p>
        </w:tc>
        <w:tc>
          <w:tcPr>
            <w:tcW w:w="7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1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北京誉华基金管理有限公司－航空产业融合发展（青岛）股权投资基金合伙企业（有限合伙）</w:t>
            </w:r>
          </w:p>
        </w:tc>
        <w:tc>
          <w:tcPr>
            <w:tcW w:w="121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10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0.54%</w:t>
            </w:r>
          </w:p>
        </w:tc>
        <w:tc>
          <w:tcPr>
            <w:tcW w:w="15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3,091,216.00</w:t>
            </w:r>
          </w:p>
        </w:tc>
        <w:tc>
          <w:tcPr>
            <w:tcW w:w="10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0.00</w:t>
            </w:r>
          </w:p>
        </w:tc>
        <w:tc>
          <w:tcPr>
            <w:tcW w:w="109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不适用</w:t>
            </w:r>
          </w:p>
        </w:tc>
        <w:tc>
          <w:tcPr>
            <w:tcW w:w="7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1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王爽</w:t>
            </w:r>
          </w:p>
        </w:tc>
        <w:tc>
          <w:tcPr>
            <w:tcW w:w="121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0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0.40%</w:t>
            </w:r>
          </w:p>
        </w:tc>
        <w:tc>
          <w:tcPr>
            <w:tcW w:w="15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2,300,000.00</w:t>
            </w:r>
          </w:p>
        </w:tc>
        <w:tc>
          <w:tcPr>
            <w:tcW w:w="10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0.00</w:t>
            </w:r>
          </w:p>
        </w:tc>
        <w:tc>
          <w:tcPr>
            <w:tcW w:w="109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不适用</w:t>
            </w:r>
          </w:p>
        </w:tc>
        <w:tc>
          <w:tcPr>
            <w:tcW w:w="7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1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廖兵</w:t>
            </w:r>
          </w:p>
        </w:tc>
        <w:tc>
          <w:tcPr>
            <w:tcW w:w="121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0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0.36%</w:t>
            </w:r>
          </w:p>
        </w:tc>
        <w:tc>
          <w:tcPr>
            <w:tcW w:w="15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2,055,721.00</w:t>
            </w:r>
          </w:p>
        </w:tc>
        <w:tc>
          <w:tcPr>
            <w:tcW w:w="10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0.00</w:t>
            </w:r>
          </w:p>
        </w:tc>
        <w:tc>
          <w:tcPr>
            <w:tcW w:w="109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不适用</w:t>
            </w:r>
          </w:p>
        </w:tc>
        <w:tc>
          <w:tcPr>
            <w:tcW w:w="7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1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熊翔</w:t>
            </w:r>
          </w:p>
        </w:tc>
        <w:tc>
          <w:tcPr>
            <w:tcW w:w="121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0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0.32%</w:t>
            </w:r>
          </w:p>
        </w:tc>
        <w:tc>
          <w:tcPr>
            <w:tcW w:w="15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1,836,000.00</w:t>
            </w:r>
          </w:p>
        </w:tc>
        <w:tc>
          <w:tcPr>
            <w:tcW w:w="10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0.00</w:t>
            </w:r>
          </w:p>
        </w:tc>
        <w:tc>
          <w:tcPr>
            <w:tcW w:w="109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不适用</w:t>
            </w:r>
          </w:p>
        </w:tc>
        <w:tc>
          <w:tcPr>
            <w:tcW w:w="7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1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许凯嘉</w:t>
            </w:r>
          </w:p>
        </w:tc>
        <w:tc>
          <w:tcPr>
            <w:tcW w:w="121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0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0.25%</w:t>
            </w:r>
          </w:p>
        </w:tc>
        <w:tc>
          <w:tcPr>
            <w:tcW w:w="15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1,455,000.00</w:t>
            </w:r>
          </w:p>
        </w:tc>
        <w:tc>
          <w:tcPr>
            <w:tcW w:w="10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0.00</w:t>
            </w:r>
          </w:p>
        </w:tc>
        <w:tc>
          <w:tcPr>
            <w:tcW w:w="109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不适用</w:t>
            </w:r>
          </w:p>
        </w:tc>
        <w:tc>
          <w:tcPr>
            <w:tcW w:w="7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8"/>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前10名无限售条件股东持股情况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1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股东名称</w:t>
            </w:r>
          </w:p>
        </w:tc>
        <w:tc>
          <w:tcPr>
            <w:tcW w:w="3840" w:type="dxa"/>
            <w:gridSpan w:val="3"/>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持有无限售条件股份数量</w:t>
            </w:r>
          </w:p>
        </w:tc>
        <w:tc>
          <w:tcPr>
            <w:tcW w:w="2882"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股份种类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17" w:type="dxa"/>
            <w:vMerge w:val="continue"/>
            <w:tcBorders>
              <w:top w:val="single" w:color="auto" w:sz="2" w:space="0"/>
              <w:left w:val="single" w:color="auto" w:sz="2" w:space="0"/>
              <w:bottom w:val="single" w:color="auto" w:sz="2" w:space="0"/>
              <w:right w:val="single" w:color="auto" w:sz="2" w:space="0"/>
            </w:tcBorders>
            <w:vAlign w:val="center"/>
          </w:tcPr>
          <w:p/>
        </w:tc>
        <w:tc>
          <w:tcPr>
            <w:tcW w:w="3840" w:type="dxa"/>
            <w:gridSpan w:val="3"/>
            <w:vMerge w:val="continue"/>
            <w:tcBorders>
              <w:top w:val="single" w:color="auto" w:sz="2" w:space="0"/>
              <w:left w:val="single" w:color="auto" w:sz="2" w:space="0"/>
              <w:bottom w:val="single" w:color="auto" w:sz="2" w:space="0"/>
              <w:right w:val="single" w:color="auto" w:sz="2" w:space="0"/>
            </w:tcBorders>
            <w:vAlign w:val="center"/>
          </w:tcPr>
          <w:p/>
        </w:tc>
        <w:tc>
          <w:tcPr>
            <w:tcW w:w="132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股份种类</w:t>
            </w:r>
          </w:p>
        </w:tc>
        <w:tc>
          <w:tcPr>
            <w:tcW w:w="156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1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384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72,472,129.00</w:t>
            </w:r>
          </w:p>
        </w:tc>
        <w:tc>
          <w:tcPr>
            <w:tcW w:w="132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56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72,472,129.00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1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湖南湘投高科技创业投资有限公司</w:t>
            </w:r>
          </w:p>
        </w:tc>
        <w:tc>
          <w:tcPr>
            <w:tcW w:w="384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44,184,602.00</w:t>
            </w:r>
          </w:p>
        </w:tc>
        <w:tc>
          <w:tcPr>
            <w:tcW w:w="132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56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44,184,602.00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1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国家军民融合产业投资基金有限责任公司</w:t>
            </w:r>
          </w:p>
        </w:tc>
        <w:tc>
          <w:tcPr>
            <w:tcW w:w="384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37,402,680.00</w:t>
            </w:r>
          </w:p>
        </w:tc>
        <w:tc>
          <w:tcPr>
            <w:tcW w:w="132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56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37,402,680.00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1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湖南兴湘投资控股集团有限公司</w:t>
            </w:r>
          </w:p>
        </w:tc>
        <w:tc>
          <w:tcPr>
            <w:tcW w:w="384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24,193,548.00</w:t>
            </w:r>
          </w:p>
        </w:tc>
        <w:tc>
          <w:tcPr>
            <w:tcW w:w="132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56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24,193,548.00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1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李卓</w:t>
            </w:r>
          </w:p>
        </w:tc>
        <w:tc>
          <w:tcPr>
            <w:tcW w:w="384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23,847,638.00</w:t>
            </w:r>
          </w:p>
        </w:tc>
        <w:tc>
          <w:tcPr>
            <w:tcW w:w="132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56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23,847,638.00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1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北京誉华基金管理有限公司－航空产业融合发展（青岛）股权投资基金合伙企业（有限合伙）</w:t>
            </w:r>
          </w:p>
        </w:tc>
        <w:tc>
          <w:tcPr>
            <w:tcW w:w="384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3,091,216.00</w:t>
            </w:r>
          </w:p>
        </w:tc>
        <w:tc>
          <w:tcPr>
            <w:tcW w:w="132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56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3,091,216.00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1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王爽</w:t>
            </w:r>
          </w:p>
        </w:tc>
        <w:tc>
          <w:tcPr>
            <w:tcW w:w="384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2,300,000.00</w:t>
            </w:r>
          </w:p>
        </w:tc>
        <w:tc>
          <w:tcPr>
            <w:tcW w:w="132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56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2,300,000.00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1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廖兵</w:t>
            </w:r>
          </w:p>
        </w:tc>
        <w:tc>
          <w:tcPr>
            <w:tcW w:w="384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2,055,721.00</w:t>
            </w:r>
          </w:p>
        </w:tc>
        <w:tc>
          <w:tcPr>
            <w:tcW w:w="132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56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2,055,721.00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1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熊翔</w:t>
            </w:r>
          </w:p>
        </w:tc>
        <w:tc>
          <w:tcPr>
            <w:tcW w:w="384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1,836,000.00</w:t>
            </w:r>
          </w:p>
        </w:tc>
        <w:tc>
          <w:tcPr>
            <w:tcW w:w="132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56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1,836,000.00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1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许凯嘉</w:t>
            </w:r>
          </w:p>
        </w:tc>
        <w:tc>
          <w:tcPr>
            <w:tcW w:w="384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1,455,000.00</w:t>
            </w:r>
          </w:p>
        </w:tc>
        <w:tc>
          <w:tcPr>
            <w:tcW w:w="132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56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1,455,000.00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1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上述股东关联关系或一致行动的说明</w:t>
            </w:r>
          </w:p>
        </w:tc>
        <w:tc>
          <w:tcPr>
            <w:tcW w:w="6722" w:type="dxa"/>
            <w:gridSpan w:val="7"/>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兴湘投资控股集团有限公司持有中南大学粉末冶金工程研究中心有限公司51%股权，为中南大学粉末冶金工程研究中心有限公司控股股东。除此以外未知上述其他股东之间是否存在关联关系，也未知以上其他股东是否属于一致行动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1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前10名股东参与融资融券业务情况说明（如有）</w:t>
            </w:r>
          </w:p>
        </w:tc>
        <w:tc>
          <w:tcPr>
            <w:tcW w:w="6722" w:type="dxa"/>
            <w:gridSpan w:val="7"/>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前10名股东李卓通过投资者信用账户持有公司股票22,638,100股，通过普通证券账户持有1,209,538股，普通证券账户及投资者信用账户合计持有23,847,638股；股东廖兵通过投资者信用账户持有公司股票1,994,421股，通过普通证券账户持有61,300股，普通证券账户及投资者信用账户合计持有2,055,721股；股东许凯嘉通过投资者信用账户持有公司股票1,279,000股，通过普通证券账户持有176,000股，普通证券账户及投资者信用账户合计持有1,455,000股。</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持股5%以上股东、前10名股东及前10名无限售流通股股东参与转融通业务出借股份情况</w:t>
      </w:r>
    </w:p>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前10名股东及前10名无限售流通股股东因转融通出借/归还原因导致较上期发生变化</w:t>
      </w:r>
    </w:p>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1"/>
        <w:rPr>
          <w:rFonts w:ascii="宋体" w:hAnsi="宋体" w:eastAsia="宋体" w:cs="宋体"/>
          <w:b/>
          <w:bCs/>
          <w:sz w:val="21"/>
          <w:szCs w:val="21"/>
        </w:rPr>
      </w:pPr>
      <w:bookmarkStart w:id="6" w:name="_Toc988895"/>
      <w:r>
        <w:rPr>
          <w:rFonts w:ascii="宋体" w:hAnsi="宋体" w:eastAsia="宋体" w:cs="宋体"/>
          <w:b/>
          <w:bCs/>
          <w:sz w:val="21"/>
          <w:szCs w:val="21"/>
        </w:rPr>
        <w:t>（二） 公司优先股股东总数及前10名优先股股东持股情况表</w:t>
      </w:r>
      <w:bookmarkEnd w:id="6"/>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0"/>
        <w:rPr>
          <w:rFonts w:ascii="宋体" w:hAnsi="宋体" w:eastAsia="宋体" w:cs="宋体"/>
          <w:b/>
          <w:bCs/>
          <w:sz w:val="24"/>
          <w:szCs w:val="24"/>
        </w:rPr>
      </w:pPr>
      <w:bookmarkStart w:id="7" w:name="_Toc988896"/>
      <w:r>
        <w:rPr>
          <w:rFonts w:ascii="宋体" w:hAnsi="宋体" w:eastAsia="宋体" w:cs="宋体"/>
          <w:b/>
          <w:bCs/>
          <w:sz w:val="24"/>
          <w:szCs w:val="24"/>
        </w:rPr>
        <w:t>三、其他重要事项</w:t>
      </w:r>
      <w:bookmarkEnd w:id="7"/>
    </w:p>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0"/>
        <w:rPr>
          <w:rFonts w:ascii="宋体" w:hAnsi="宋体" w:eastAsia="宋体" w:cs="宋体"/>
          <w:b/>
          <w:bCs/>
          <w:sz w:val="24"/>
          <w:szCs w:val="24"/>
        </w:rPr>
      </w:pPr>
      <w:bookmarkStart w:id="8" w:name="_Toc988897"/>
      <w:r>
        <w:rPr>
          <w:rFonts w:ascii="宋体" w:hAnsi="宋体" w:eastAsia="宋体" w:cs="宋体"/>
          <w:b/>
          <w:bCs/>
          <w:sz w:val="24"/>
          <w:szCs w:val="24"/>
        </w:rPr>
        <w:t>四、季度财务报表</w:t>
      </w:r>
      <w:bookmarkEnd w:id="8"/>
    </w:p>
    <w:p>
      <w:pPr>
        <w:keepNext/>
        <w:keepLines/>
        <w:spacing w:before="300" w:after="300" w:line="280" w:lineRule="exact"/>
        <w:jc w:val="left"/>
        <w:outlineLvl w:val="1"/>
        <w:rPr>
          <w:rFonts w:ascii="宋体" w:hAnsi="宋体" w:eastAsia="宋体" w:cs="宋体"/>
          <w:b/>
          <w:bCs/>
          <w:sz w:val="21"/>
          <w:szCs w:val="21"/>
        </w:rPr>
      </w:pPr>
      <w:bookmarkStart w:id="9" w:name="_Toc988898"/>
      <w:r>
        <w:rPr>
          <w:rFonts w:ascii="宋体" w:hAnsi="宋体" w:eastAsia="宋体" w:cs="宋体"/>
          <w:b/>
          <w:bCs/>
          <w:sz w:val="21"/>
          <w:szCs w:val="21"/>
        </w:rPr>
        <w:t>（一） 财务报表</w:t>
      </w:r>
      <w:bookmarkEnd w:id="9"/>
    </w:p>
    <w:p>
      <w:pPr>
        <w:keepNext/>
        <w:keepLines/>
        <w:spacing w:before="300" w:after="300" w:line="280" w:lineRule="exact"/>
        <w:jc w:val="left"/>
        <w:outlineLvl w:val="2"/>
        <w:rPr>
          <w:rFonts w:ascii="宋体" w:hAnsi="宋体" w:eastAsia="宋体" w:cs="宋体"/>
          <w:b/>
          <w:bCs/>
          <w:sz w:val="21"/>
          <w:szCs w:val="21"/>
        </w:rPr>
      </w:pPr>
      <w:bookmarkStart w:id="10" w:name="_Toc988899"/>
      <w:r>
        <w:rPr>
          <w:rFonts w:ascii="宋体" w:hAnsi="宋体" w:eastAsia="宋体" w:cs="宋体"/>
          <w:b/>
          <w:bCs/>
          <w:sz w:val="21"/>
          <w:szCs w:val="21"/>
        </w:rPr>
        <w:t>1、合并资产负债表</w:t>
      </w:r>
      <w:bookmarkEnd w:id="10"/>
    </w:p>
    <w:p>
      <w:pPr>
        <w:spacing w:before="0" w:after="0" w:line="240" w:lineRule="exact"/>
        <w:jc w:val="left"/>
        <w:rPr>
          <w:rFonts w:ascii="宋体" w:hAnsi="宋体" w:eastAsia="宋体" w:cs="宋体"/>
          <w:sz w:val="18"/>
          <w:szCs w:val="18"/>
        </w:rPr>
      </w:pPr>
      <w:r>
        <w:rPr>
          <w:rFonts w:ascii="宋体" w:hAnsi="宋体" w:eastAsia="宋体" w:cs="宋体"/>
          <w:sz w:val="18"/>
          <w:szCs w:val="18"/>
        </w:rPr>
        <w:t>编制单位：湖南博云新材料股份有限公司</w:t>
      </w:r>
    </w:p>
    <w:p>
      <w:pPr>
        <w:spacing w:before="0" w:after="0" w:line="240" w:lineRule="exact"/>
        <w:jc w:val="center"/>
        <w:rPr>
          <w:rFonts w:ascii="宋体" w:hAnsi="宋体" w:eastAsia="宋体" w:cs="宋体"/>
          <w:sz w:val="18"/>
          <w:szCs w:val="18"/>
        </w:rPr>
      </w:pPr>
    </w:p>
    <w:p>
      <w:pPr>
        <w:spacing w:before="0" w:after="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2"/>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533,615,814.51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512,127,325.16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结算备付金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拆出资金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63,143,829.20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90,189,966.95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275,687,910.55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298,416,660.42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应收款项融资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5,600,486.41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14,258,718.27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预付款项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14,709,796.11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10,577,938.67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应收保费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应收分保账款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应收分保合同准备金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1,931,670.39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1,047,840.56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其中：应收利息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买入返售金融资产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595,994,691.21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544,930,137.33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2,119,628.10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2,353,671.63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4,854,091.81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9,083,307.57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1,497,657,918.29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1,482,985,566.56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发放贷款和垫款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长期股权投资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13,421,132.49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14,910,414.73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105,034,123.55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105,034,123.55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投资性房地产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733,624,508.89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711,815,784.08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197,233,162.75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183,036,596.42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生产性生物资产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油气资产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使用权资产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254,352,929.45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258,988,825.00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开发支出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56,881,562.12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51,426,029.78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长期待摊费用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6,027,609.47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6,309,922.00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26,500,365.23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26,758,292.71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11,609,979.13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17,499,706.11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1,404,685,373.08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1,375,779,694.38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资产总计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2,902,343,291.37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2,858,765,260.94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短期借款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230,175,000.00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向中央银行借款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拆入资金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77,858,093.38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125,433,836.83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185,182,271.84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103,189,502.92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预收款项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1,526.00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454,539.34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13,351,832.03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12,716,588.45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卖出回购金融资产款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吸收存款及同业存放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代理买卖证券款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代理承销证券款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19,790,345.79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28,682,378.77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应交税费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3,579,273.42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4,450,508.09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37,905,212.91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38,693,823.73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其中：应付利息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应付手续费及佣金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应付分保账款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35,305,703.70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48,637,053.78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622,974,259.07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592,433,231.91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保险合同准备金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租赁负债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预计负债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111,904,107.54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116,243,705.52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5,256,457.58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5,359,003.78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117,160,565.12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121,602,709.30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740,134,824.19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714,035,941.21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股本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资本公积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减：库存股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14,318,722.83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14,318,722.83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专项储备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盈余公积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一般风险准备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-146,437,345.85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-164,015,929.50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归属于母公司所有者权益合计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2,139,288,845.01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2,121,710,261.36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22,919,622.17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23,019,058.37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2,162,208,467.18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2,144,729,319.73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负债和所有者权益总计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2,902,343,291.37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2,858,765,260.94</w:t>
            </w:r>
          </w:p>
        </w:tc>
      </w:tr>
    </w:tbl>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法定代表人：贺柳    </w:t>
      </w:r>
      <w:r>
        <w:rPr>
          <w:rFonts w:hint="eastAsia" w:ascii="宋体" w:hAnsi="宋体" w:eastAsia="宋体" w:cs="宋体"/>
          <w:sz w:val="18"/>
          <w:szCs w:val="18"/>
          <w:lang w:val="en-US" w:eastAsia="zh-CN"/>
        </w:rPr>
        <w:t xml:space="preserve">                </w:t>
      </w:r>
      <w:r>
        <w:rPr>
          <w:rFonts w:ascii="宋体" w:hAnsi="宋体" w:eastAsia="宋体" w:cs="宋体"/>
          <w:sz w:val="18"/>
          <w:szCs w:val="18"/>
        </w:rPr>
        <w:t xml:space="preserve">主管会计工作负责人：严琦   </w:t>
      </w:r>
      <w:r>
        <w:rPr>
          <w:rFonts w:hint="eastAsia" w:ascii="宋体" w:hAnsi="宋体" w:eastAsia="宋体" w:cs="宋体"/>
          <w:sz w:val="18"/>
          <w:szCs w:val="18"/>
          <w:lang w:val="en-US" w:eastAsia="zh-CN"/>
        </w:rPr>
        <w:t xml:space="preserve">                </w:t>
      </w:r>
      <w:r>
        <w:rPr>
          <w:rFonts w:ascii="宋体" w:hAnsi="宋体" w:eastAsia="宋体" w:cs="宋体"/>
          <w:sz w:val="18"/>
          <w:szCs w:val="18"/>
        </w:rPr>
        <w:t xml:space="preserve">   会计机构负责人：黄筱明</w:t>
      </w:r>
    </w:p>
    <w:p>
      <w:pPr>
        <w:keepNext/>
        <w:keepLines/>
        <w:spacing w:before="300" w:after="300" w:line="280" w:lineRule="exact"/>
        <w:jc w:val="left"/>
        <w:outlineLvl w:val="2"/>
        <w:rPr>
          <w:rFonts w:ascii="宋体" w:hAnsi="宋体" w:eastAsia="宋体" w:cs="宋体"/>
          <w:b/>
          <w:bCs/>
          <w:sz w:val="21"/>
          <w:szCs w:val="21"/>
        </w:rPr>
      </w:pPr>
      <w:bookmarkStart w:id="11" w:name="_Toc988900"/>
      <w:r>
        <w:rPr>
          <w:rFonts w:ascii="宋体" w:hAnsi="宋体" w:eastAsia="宋体" w:cs="宋体"/>
          <w:b/>
          <w:bCs/>
          <w:sz w:val="21"/>
          <w:szCs w:val="21"/>
        </w:rPr>
        <w:t>2、合并利润表</w:t>
      </w:r>
      <w:bookmarkEnd w:id="1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2"/>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一、营业总收入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111,548,056.10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133,360,985.02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111,548,056.10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133,360,985.02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720" w:firstLineChars="400"/>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720" w:firstLineChars="400"/>
              <w:jc w:val="left"/>
              <w:rPr>
                <w:rFonts w:ascii="宋体" w:hAnsi="宋体" w:eastAsia="宋体" w:cs="宋体"/>
                <w:sz w:val="18"/>
                <w:szCs w:val="18"/>
              </w:rPr>
            </w:pPr>
            <w:r>
              <w:rPr>
                <w:rFonts w:ascii="宋体" w:hAnsi="宋体" w:eastAsia="宋体" w:cs="宋体"/>
                <w:sz w:val="18"/>
                <w:szCs w:val="18"/>
              </w:rPr>
              <w:t>已赚保费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720" w:firstLineChars="400"/>
              <w:jc w:val="left"/>
              <w:rPr>
                <w:rFonts w:ascii="宋体" w:hAnsi="宋体" w:eastAsia="宋体" w:cs="宋体"/>
                <w:sz w:val="18"/>
                <w:szCs w:val="18"/>
              </w:rPr>
            </w:pPr>
            <w:r>
              <w:rPr>
                <w:rFonts w:ascii="宋体" w:hAnsi="宋体" w:eastAsia="宋体" w:cs="宋体"/>
                <w:sz w:val="18"/>
                <w:szCs w:val="18"/>
              </w:rPr>
              <w:t>手续费及佣金收入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二、营业总成本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118,857,210.36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124,673,704.43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其中：营业成本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91,600,140.79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97,675,920.02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利息支出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手续费及佣金支出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退保金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赔付支出净额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提取保险责任准备金净额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保单红利支出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分保费用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720" w:firstLineChars="400"/>
              <w:jc w:val="left"/>
              <w:rPr>
                <w:rFonts w:ascii="宋体" w:hAnsi="宋体" w:eastAsia="宋体" w:cs="宋体"/>
                <w:sz w:val="18"/>
                <w:szCs w:val="18"/>
              </w:rPr>
            </w:pPr>
            <w:r>
              <w:rPr>
                <w:rFonts w:ascii="宋体" w:hAnsi="宋体" w:eastAsia="宋体" w:cs="宋体"/>
                <w:sz w:val="18"/>
                <w:szCs w:val="18"/>
              </w:rPr>
              <w:t>税金及附加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1,769,054.09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2,142,882.15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销售费用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3,652,897.35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5,364,304.18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管理费用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14,110,328.14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10,413,843.84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研发费用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7,970,112.47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9,834,424.65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-245,322.48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-757,670.41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其中：利息费用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1,598,680.56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1,001,777.79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440" w:firstLineChars="800"/>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1,646,944.12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1,873,742.32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加：其他收益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25,618,701.10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4,242,168.72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投资收益（损失以“－”号填列）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339,209.76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-2,225,763.56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其中：对联营企业和合营企业的投资收益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-1,489,282.24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-2,225,763.56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440" w:firstLineChars="800"/>
              <w:jc w:val="left"/>
              <w:rPr>
                <w:rFonts w:ascii="宋体" w:hAnsi="宋体" w:eastAsia="宋体" w:cs="宋体"/>
                <w:sz w:val="18"/>
                <w:szCs w:val="18"/>
              </w:rPr>
            </w:pPr>
            <w:r>
              <w:rPr>
                <w:rFonts w:ascii="宋体" w:hAnsi="宋体" w:eastAsia="宋体" w:cs="宋体"/>
                <w:sz w:val="18"/>
                <w:szCs w:val="18"/>
              </w:rPr>
              <w:t>以摊余成本计量的金融资产终止确认收益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汇兑收益（损失以“-”号填列）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净敞口套期收益（损失以“－”号填列）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公允价值变动收益（损失以“－”号填列）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信用减值损失（损失以“-”号填列）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2,942,622.55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-2,970,517.11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-1,100.28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-906,063.96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资产处置收益（损失以“-”号填列）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1,710,492.10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三、营业利润（亏损以“－”号填列）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21,590,278.87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8,537,596.78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加：营业外收入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82,588.87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204,500.66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减：营业外支出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384.54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四、利润总额（亏损总额以“－”号填列）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21,672,327.74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8,741,712.90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减：所得税费用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4,193,180.29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1,390,690.20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17,479,147.45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7,351,022.70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（一）按经营持续性分类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1.持续经营净利润（净亏损以“－”号填列）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17,479,147.45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7,351,022.70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2.终止经营净利润（净亏损以“－”号填列）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（二）按所有权归属分类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1.归属于母公司所有者的净利润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17,578,583.65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7,314,484.71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2.少数股东损益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-99,436.20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36,537.99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六、其他综合收益的税后净额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归属母公司所有者的其他综合收益的税后净额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（一）不能重分类进损益的其他综合收益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1.重新计量设定受益计划变动额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2.权益法下不能转损益的其他综合收益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3.其他权益工具投资公允价值变动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4.企业自身信用风险公允价值变动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（二）将重分类进损益的其他综合收益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1.权益法下可转损益的其他综合收益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2.其他债权投资公允价值变动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3.金融资产重分类计入其他综合收益的金额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4.其他债权投资信用减值准备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5.现金流量套期储备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6.外币财务报表折算差额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7.其他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归属于少数股东的其他综合收益的税后净额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七、综合收益总额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17,479,147.45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7,351,022.70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归属于母公司所有者的综合收益总额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17,578,583.65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7,314,484.71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归属于少数股东的综合收益总额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-99,436.20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36,537.99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八、每股收益：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（一）基本每股收益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0.0307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0.0128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（二）稀释每股收益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0.0307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0.0128</w:t>
            </w:r>
          </w:p>
        </w:tc>
      </w:tr>
    </w:tbl>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法定代表人：贺柳   </w:t>
      </w:r>
      <w:r>
        <w:rPr>
          <w:rFonts w:hint="eastAsia" w:ascii="宋体" w:hAnsi="宋体" w:cs="宋体"/>
          <w:sz w:val="18"/>
          <w:szCs w:val="18"/>
          <w:lang w:val="en-US" w:eastAsia="zh-CN"/>
        </w:rPr>
        <w:t xml:space="preserve">                   </w:t>
      </w:r>
      <w:r>
        <w:rPr>
          <w:rFonts w:ascii="宋体" w:hAnsi="宋体" w:eastAsia="宋体" w:cs="宋体"/>
          <w:sz w:val="18"/>
          <w:szCs w:val="18"/>
        </w:rPr>
        <w:t xml:space="preserve"> 主管会计工作负责人：严琦    </w:t>
      </w:r>
      <w:r>
        <w:rPr>
          <w:rFonts w:hint="eastAsia" w:ascii="宋体" w:hAnsi="宋体" w:cs="宋体"/>
          <w:sz w:val="18"/>
          <w:szCs w:val="18"/>
          <w:lang w:val="en-US" w:eastAsia="zh-CN"/>
        </w:rPr>
        <w:t xml:space="preserve">               </w:t>
      </w:r>
      <w:r>
        <w:rPr>
          <w:rFonts w:ascii="宋体" w:hAnsi="宋体" w:eastAsia="宋体" w:cs="宋体"/>
          <w:sz w:val="18"/>
          <w:szCs w:val="18"/>
        </w:rPr>
        <w:t>会计机构负责人：黄筱明</w:t>
      </w:r>
    </w:p>
    <w:p>
      <w:pPr>
        <w:keepNext/>
        <w:keepLines/>
        <w:spacing w:before="300" w:after="300" w:line="280" w:lineRule="exact"/>
        <w:jc w:val="left"/>
        <w:outlineLvl w:val="2"/>
        <w:rPr>
          <w:rFonts w:ascii="宋体" w:hAnsi="宋体" w:eastAsia="宋体" w:cs="宋体"/>
          <w:b/>
          <w:bCs/>
          <w:sz w:val="21"/>
          <w:szCs w:val="21"/>
        </w:rPr>
      </w:pPr>
      <w:bookmarkStart w:id="12" w:name="_Toc988901"/>
      <w:r>
        <w:rPr>
          <w:rFonts w:ascii="宋体" w:hAnsi="宋体" w:eastAsia="宋体" w:cs="宋体"/>
          <w:b/>
          <w:bCs/>
          <w:sz w:val="21"/>
          <w:szCs w:val="21"/>
        </w:rPr>
        <w:t>3、合并现金流量表</w:t>
      </w:r>
      <w:bookmarkEnd w:id="12"/>
    </w:p>
    <w:p>
      <w:pPr>
        <w:spacing w:before="0" w:after="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2"/>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一、经营活动产生的现金流量：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销售商品、提供劳务收到的现金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124,983,715.21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87,438,458.85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客户存款和同业存放款项净增加额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向中央银行借款净增加额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向其他金融机构拆入资金净增加额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收到原保险合同保费取得的现金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收到再保业务现金净额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保户储金及投资款净增加额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收取利息、手续费及佣金的现金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回购业务资金净增加额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代理买卖证券收到的现金净额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收到的税费返还</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26,028,145.80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14,077,412.41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48,850,988.36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165,089,273.42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136,289,447.21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购买商品、接受劳务支付的现金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71,561,673.50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85,056,863.84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客户贷款及垫款净增加额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存放中央银行和同业款项净增加额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支付原保险合同赔付款项的现金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拆出资金净增加额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支付保单红利的现金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支付给职工以及为职工支付的现金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40,843,807.94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40,953,425.05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支付的各项税费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7,270,531.51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11,972,876.29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10,478,994.34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16,025,235.23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130,155,007.29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154,008,400.41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34,934,266.13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-17,718,953.20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二、投资活动产生的现金流量：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收回投资收到的现金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取得投资收益收到的现金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1,828,492.00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处置固定资产、无形资产和其他长期资产收回的现金净额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2,811,222.48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处置子公司及其他营业单位收到的现金净额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1,828,492.00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2,811,222.48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购建固定资产、无形资产和其他长期资产支付的现金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23,316,218.87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47,617,415.31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质押贷款净增加额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取得子公司及其他营业单位支付的现金净额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23,316,218.87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47,617,415.31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-21,487,726.87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-44,806,192.83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三、筹资活动产生的现金流量：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吸收投资收到的现金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其中：子公司吸收少数股东投资收到的现金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取得借款收到的现金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偿还债务支付的现金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分配股利、利润或偿付利息支付的现金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1,773,680.56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1,049,000.00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其中：子公司支付给少数股东的股利、利润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21,773,680.56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1,049,000.00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18,226,319.44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18,951,000.00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四、汇率变动对现金及现金等价物的影响</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44,075.74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-39,711.11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31,716,934.44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-43,613,857.14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加：期初现金及现金等价物余额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464,550,942.21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547,667,922.11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六、期末现金及现金等价物余额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496,267,876.65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504,054,064.97</w:t>
            </w:r>
          </w:p>
        </w:tc>
      </w:tr>
    </w:tbl>
    <w:p>
      <w:pPr>
        <w:keepNext/>
        <w:keepLines/>
        <w:spacing w:before="300" w:after="300" w:line="280" w:lineRule="exact"/>
        <w:jc w:val="left"/>
        <w:outlineLvl w:val="1"/>
        <w:rPr>
          <w:rFonts w:ascii="宋体" w:hAnsi="宋体" w:eastAsia="宋体" w:cs="宋体"/>
          <w:b/>
          <w:bCs/>
          <w:sz w:val="25"/>
          <w:szCs w:val="25"/>
        </w:rPr>
      </w:pPr>
      <w:bookmarkStart w:id="13" w:name="_Toc988902"/>
      <w:r>
        <w:rPr>
          <w:rFonts w:ascii="宋体" w:hAnsi="宋体" w:eastAsia="宋体" w:cs="宋体"/>
          <w:b/>
          <w:bCs/>
          <w:sz w:val="25"/>
          <w:szCs w:val="25"/>
        </w:rPr>
        <w:t>（二） 2024年起首次执行新会计准则调整首次执行当年年初财务报表相关项目情况</w:t>
      </w:r>
      <w:bookmarkEnd w:id="13"/>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1"/>
        <w:rPr>
          <w:rFonts w:ascii="宋体" w:hAnsi="宋体" w:eastAsia="宋体" w:cs="宋体"/>
          <w:b/>
          <w:bCs/>
          <w:sz w:val="25"/>
          <w:szCs w:val="25"/>
        </w:rPr>
      </w:pPr>
      <w:bookmarkStart w:id="14" w:name="_Toc988903"/>
      <w:r>
        <w:rPr>
          <w:rFonts w:ascii="宋体" w:hAnsi="宋体" w:eastAsia="宋体" w:cs="宋体"/>
          <w:b/>
          <w:bCs/>
          <w:sz w:val="25"/>
          <w:szCs w:val="25"/>
        </w:rPr>
        <w:t>（三） 审计报告</w:t>
      </w:r>
      <w:bookmarkEnd w:id="14"/>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18"/>
          <w:szCs w:val="18"/>
        </w:rPr>
      </w:pPr>
      <w:r>
        <w:rPr>
          <w:rFonts w:ascii="宋体" w:hAnsi="宋体" w:eastAsia="宋体" w:cs="宋体"/>
          <w:sz w:val="18"/>
          <w:szCs w:val="18"/>
        </w:rPr>
        <w:t>第一季度报告是否经过审计</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18"/>
          <w:szCs w:val="18"/>
        </w:rPr>
      </w:pPr>
      <w:r>
        <w:rPr>
          <w:rFonts w:ascii="宋体" w:hAnsi="宋体" w:eastAsia="宋体" w:cs="宋体"/>
          <w:sz w:val="18"/>
          <w:szCs w:val="18"/>
        </w:rPr>
        <w:t>公司第一季度报告未经审计。</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eastAsia="宋体" w:cs="宋体"/>
          <w:sz w:val="18"/>
          <w:szCs w:val="18"/>
        </w:rPr>
      </w:pPr>
    </w:p>
    <w:p>
      <w:pPr>
        <w:spacing w:before="40" w:after="40" w:line="240" w:lineRule="exact"/>
        <w:jc w:val="left"/>
        <w:rPr>
          <w:rFonts w:ascii="宋体" w:hAnsi="宋体" w:eastAsia="宋体" w:cs="宋体"/>
          <w:sz w:val="18"/>
          <w:szCs w:val="18"/>
        </w:rPr>
      </w:pPr>
    </w:p>
    <w:p>
      <w:pPr>
        <w:spacing w:before="40" w:after="40" w:line="240" w:lineRule="exact"/>
        <w:jc w:val="left"/>
        <w:rPr>
          <w:rFonts w:ascii="宋体" w:hAnsi="宋体" w:eastAsia="宋体" w:cs="宋体"/>
          <w:sz w:val="18"/>
          <w:szCs w:val="18"/>
        </w:rPr>
      </w:pPr>
    </w:p>
    <w:p>
      <w:pPr>
        <w:spacing w:before="40" w:after="40" w:line="240" w:lineRule="exact"/>
        <w:jc w:val="left"/>
        <w:rPr>
          <w:rFonts w:ascii="宋体" w:hAnsi="宋体" w:eastAsia="宋体" w:cs="宋体"/>
          <w:sz w:val="18"/>
          <w:szCs w:val="18"/>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18"/>
          <w:szCs w:val="18"/>
        </w:rPr>
      </w:pP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ascii="宋体" w:hAnsi="宋体" w:eastAsia="宋体" w:cs="宋体"/>
          <w:sz w:val="18"/>
          <w:szCs w:val="18"/>
        </w:rPr>
      </w:pPr>
      <w:r>
        <w:rPr>
          <w:rFonts w:ascii="宋体" w:hAnsi="宋体" w:eastAsia="宋体" w:cs="宋体"/>
          <w:sz w:val="18"/>
          <w:szCs w:val="18"/>
        </w:rPr>
        <w:t>湖南博云新材料股份有限公司董事会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 xml:space="preserve"> 202</w:t>
      </w:r>
      <w:r>
        <w:rPr>
          <w:rFonts w:hint="eastAsia" w:ascii="宋体" w:hAnsi="宋体" w:cs="宋体"/>
          <w:sz w:val="18"/>
          <w:szCs w:val="18"/>
          <w:lang w:val="en-US" w:eastAsia="zh-CN"/>
        </w:rPr>
        <w:t>4</w:t>
      </w:r>
      <w:r>
        <w:rPr>
          <w:rFonts w:hint="eastAsia" w:ascii="宋体" w:hAnsi="宋体" w:eastAsia="宋体" w:cs="宋体"/>
          <w:sz w:val="18"/>
          <w:szCs w:val="18"/>
          <w:lang w:val="en-US" w:eastAsia="zh-CN"/>
        </w:rPr>
        <w:t>年4月2</w:t>
      </w:r>
      <w:r>
        <w:rPr>
          <w:rFonts w:hint="eastAsia" w:ascii="宋体" w:hAnsi="宋体" w:cs="宋体"/>
          <w:sz w:val="18"/>
          <w:szCs w:val="18"/>
          <w:lang w:val="en-US" w:eastAsia="zh-CN"/>
        </w:rPr>
        <w:t>9</w:t>
      </w:r>
      <w:r>
        <w:rPr>
          <w:rFonts w:hint="eastAsia" w:ascii="宋体" w:hAnsi="宋体" w:eastAsia="宋体" w:cs="宋体"/>
          <w:sz w:val="18"/>
          <w:szCs w:val="18"/>
          <w:lang w:val="en-US" w:eastAsia="zh-CN"/>
        </w:rPr>
        <w:t>日</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ascii="宋体" w:hAnsi="宋体" w:eastAsia="宋体" w:cs="宋体"/>
          <w:sz w:val="18"/>
          <w:szCs w:val="18"/>
        </w:rPr>
      </w:pPr>
    </w:p>
    <w:sectPr>
      <w:headerReference r:id="rId3" w:type="default"/>
      <w:footerReference r:id="rId4" w:type="default"/>
      <w:pgSz w:w="11905" w:h="16840"/>
      <w:pgMar w:top="1440" w:right="1134" w:bottom="1440" w:left="1134" w:header="850"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rFonts w:ascii="宋体" w:eastAsia="宋体"/>
        <w:sz w:val="18"/>
        <w:szCs w:val="18"/>
      </w:rPr>
      <w:fldChar w:fldCharType="begin"/>
    </w:r>
    <w:r>
      <w:rPr>
        <w:rFonts w:ascii="宋体" w:eastAsia="宋体"/>
        <w:sz w:val="18"/>
        <w:szCs w:val="18"/>
      </w:rPr>
      <w:instrText xml:space="preserve">PAGE   \* MERGEFORMAT</w:instrText>
    </w:r>
    <w:r>
      <w:rPr>
        <w:rFonts w:ascii="宋体" w:eastAsia="宋体"/>
        <w:sz w:val="18"/>
        <w:szCs w:val="18"/>
      </w:rPr>
      <w:fldChar w:fldCharType="separate"/>
    </w:r>
    <w:r>
      <w:rPr>
        <w:rFonts w:ascii="宋体" w:eastAsia="宋体"/>
        <w:sz w:val="18"/>
        <w:szCs w:val="18"/>
      </w:rPr>
      <w:t>1</w:t>
    </w:r>
    <w:r>
      <w:rPr>
        <w:rFonts w:ascii="宋体" w:eastAsia="宋体"/>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right"/>
    </w:pPr>
    <w:r>
      <w:rPr>
        <w:rFonts w:ascii="宋体" w:eastAsia="宋体"/>
        <w:sz w:val="18"/>
        <w:szCs w:val="18"/>
      </w:rPr>
      <w:t>湖南博云新材料股份有限公司2024年第一季度报告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doNotExpandShiftReturn/>
    <w:useFELayout/>
    <w:compatSetting w:name="compatibilityMode" w:uri="http://schemas.microsoft.com/office/word" w:val="14"/>
  </w:compat>
  <w:docVars>
    <w:docVar w:name="commondata" w:val="eyJoZGlkIjoiYzlhZDM3OWM2NmRhMzBiMDYxYjgzYzJiMWE5MTRlNzAifQ=="/>
    <w:docVar w:name="KSO_WPS_MARK_KEY" w:val="669146e8-63a5-4289-a559-1dffdcd87389"/>
  </w:docVars>
  <w:rsids>
    <w:rsidRoot w:val="00000000"/>
    <w:rsid w:val="05EA3B30"/>
    <w:rsid w:val="2C8E3132"/>
    <w:rsid w:val="2D2D7668"/>
    <w:rsid w:val="2D990AC0"/>
    <w:rsid w:val="355C665B"/>
    <w:rsid w:val="3D204412"/>
    <w:rsid w:val="41410A3F"/>
    <w:rsid w:val="461F5BAF"/>
    <w:rsid w:val="529E06E4"/>
    <w:rsid w:val="5B995BB8"/>
    <w:rsid w:val="5C4A208D"/>
    <w:rsid w:val="6DF50BE9"/>
    <w:rsid w:val="74610684"/>
    <w:rsid w:val="74A964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5675</Words>
  <Characters>9912</Characters>
  <TotalTime>12</TotalTime>
  <ScaleCrop>false</ScaleCrop>
  <LinksUpToDate>false</LinksUpToDate>
  <CharactersWithSpaces>10142</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2024-04-18T01:53:00Z</dcterms:created>
  <dc:creator>Administrator</dc:creator>
  <cp:lastModifiedBy>张爱丽</cp:lastModifiedBy>
  <dcterms:modified xsi:type="dcterms:W3CDTF">2024-04-29T07:15:53Z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61F471536D1A487DBC529082963BA552</vt:lpwstr>
  </property>
</Properties>
</file>