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0" w:after="0" w:line="773" w:lineRule="exact"/>
        <w:jc w:val="center"/>
        <w:rPr>
          <w:rFonts w:ascii="宋体" w:hAnsi="宋体" w:eastAsia="宋体" w:cs="宋体"/>
          <w:b/>
          <w:bCs/>
          <w:sz w:val="36"/>
          <w:szCs w:val="36"/>
        </w:rPr>
      </w:pPr>
      <w:r>
        <w:rPr>
          <w:rFonts w:eastAsia="Times New Roman"/>
          <w:sz w:val="24"/>
          <w:szCs w:val="24"/>
        </w:rPr>
        <w:drawing>
          <wp:inline distT="0" distB="0" distL="114300" distR="114300">
            <wp:extent cx="1409700" cy="1276350"/>
            <wp:effectExtent l="0" t="0" r="0" b="635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1409700" cy="1276350"/>
                    </a:xfrm>
                    <a:prstGeom prst="rect">
                      <a:avLst/>
                    </a:prstGeom>
                    <a:noFill/>
                    <a:ln>
                      <a:noFill/>
                    </a:ln>
                  </pic:spPr>
                </pic:pic>
              </a:graphicData>
            </a:graphic>
          </wp:inline>
        </w:drawing>
      </w:r>
    </w:p>
    <w:p>
      <w:pPr>
        <w:spacing w:before="2400" w:after="0" w:line="773" w:lineRule="exact"/>
        <w:jc w:val="center"/>
        <w:rPr>
          <w:rFonts w:ascii="宋体" w:hAnsi="宋体" w:eastAsia="宋体" w:cs="宋体"/>
          <w:b/>
          <w:bCs/>
          <w:sz w:val="36"/>
          <w:szCs w:val="36"/>
        </w:rPr>
      </w:pPr>
      <w:r>
        <w:rPr>
          <w:rFonts w:ascii="宋体" w:hAnsi="宋体" w:eastAsia="宋体" w:cs="宋体"/>
          <w:b/>
          <w:bCs/>
          <w:sz w:val="36"/>
          <w:szCs w:val="36"/>
        </w:rPr>
        <w:t>湖南博云新材料股份有限公司</w:t>
      </w:r>
    </w:p>
    <w:p>
      <w:pPr>
        <w:spacing w:before="1000" w:after="0" w:line="240" w:lineRule="exact"/>
        <w:jc w:val="center"/>
        <w:rPr>
          <w:rFonts w:ascii="宋体" w:hAnsi="宋体" w:eastAsia="宋体" w:cs="宋体"/>
          <w:b/>
          <w:bCs/>
          <w:sz w:val="32"/>
          <w:szCs w:val="32"/>
        </w:rPr>
      </w:pPr>
      <w:r>
        <w:rPr>
          <w:rFonts w:ascii="宋体" w:hAnsi="宋体" w:eastAsia="宋体" w:cs="宋体"/>
          <w:b/>
          <w:bCs/>
          <w:sz w:val="32"/>
          <w:szCs w:val="32"/>
        </w:rPr>
        <w:t>2024年年度报告</w:t>
      </w:r>
    </w:p>
    <w:p>
      <w:pPr>
        <w:spacing w:before="1000" w:after="0" w:line="240" w:lineRule="exact"/>
        <w:jc w:val="center"/>
        <w:rPr>
          <w:rFonts w:ascii="宋体" w:hAnsi="宋体" w:eastAsia="宋体" w:cs="宋体"/>
          <w:b/>
          <w:bCs/>
          <w:sz w:val="21"/>
          <w:szCs w:val="21"/>
        </w:rPr>
      </w:pPr>
    </w:p>
    <w:p>
      <w:pPr>
        <w:spacing w:before="1000" w:after="0" w:line="240" w:lineRule="exact"/>
        <w:jc w:val="center"/>
        <w:rPr>
          <w:rFonts w:ascii="宋体" w:hAnsi="宋体" w:eastAsia="宋体" w:cs="宋体"/>
          <w:b/>
          <w:bCs/>
          <w:sz w:val="21"/>
          <w:szCs w:val="21"/>
        </w:rPr>
      </w:pPr>
    </w:p>
    <w:p>
      <w:pPr>
        <w:spacing w:before="1000" w:after="1000" w:line="0" w:lineRule="exact"/>
        <w:jc w:val="center"/>
        <w:rPr>
          <w:rFonts w:ascii="Times New Roman" w:hAnsi="Times New Roman" w:eastAsia="宋体" w:cs="Times New Roman"/>
        </w:rPr>
      </w:pPr>
    </w:p>
    <w:p>
      <w:pPr>
        <w:spacing w:before="400" w:after="0" w:line="320" w:lineRule="exact"/>
        <w:jc w:val="center"/>
        <w:rPr>
          <w:rFonts w:ascii="宋体" w:hAnsi="宋体" w:eastAsia="宋体" w:cs="宋体"/>
          <w:b/>
          <w:bCs/>
          <w:sz w:val="32"/>
          <w:szCs w:val="32"/>
        </w:rPr>
      </w:pPr>
      <w:r>
        <w:rPr>
          <w:rFonts w:ascii="宋体" w:hAnsi="宋体" w:eastAsia="宋体" w:cs="宋体"/>
          <w:b/>
          <w:bCs/>
          <w:sz w:val="32"/>
          <w:szCs w:val="32"/>
        </w:rPr>
        <w:t>【</w:t>
      </w:r>
      <w:r>
        <w:rPr>
          <w:rFonts w:hint="eastAsia" w:ascii="宋体" w:hAnsi="宋体" w:eastAsia="宋体" w:cs="宋体"/>
          <w:b/>
          <w:bCs/>
          <w:sz w:val="32"/>
          <w:szCs w:val="32"/>
          <w:lang w:val="en-US" w:eastAsia="zh-CN"/>
        </w:rPr>
        <w:t>2025年4月</w:t>
      </w:r>
      <w:r>
        <w:rPr>
          <w:rFonts w:ascii="宋体" w:hAnsi="宋体" w:eastAsia="宋体" w:cs="宋体"/>
          <w:b/>
          <w:bCs/>
          <w:sz w:val="32"/>
          <w:szCs w:val="32"/>
        </w:rPr>
        <w:t>】</w:t>
      </w:r>
    </w:p>
    <w:p>
      <w:r>
        <w:br w:type="page"/>
      </w:r>
    </w:p>
    <w:p>
      <w:pPr>
        <w:keepNext/>
        <w:keepLines/>
        <w:spacing w:before="340" w:after="330" w:line="773" w:lineRule="exact"/>
        <w:jc w:val="center"/>
        <w:outlineLvl w:val="0"/>
        <w:rPr>
          <w:rFonts w:ascii="宋体" w:hAnsi="宋体" w:eastAsia="宋体" w:cs="宋体"/>
          <w:b/>
          <w:bCs/>
          <w:sz w:val="32"/>
          <w:szCs w:val="32"/>
        </w:rPr>
      </w:pPr>
      <w:bookmarkStart w:id="0" w:name="_Toc988889"/>
      <w:r>
        <w:rPr>
          <w:rFonts w:ascii="宋体" w:hAnsi="宋体" w:eastAsia="宋体" w:cs="宋体"/>
          <w:b/>
          <w:bCs/>
          <w:sz w:val="32"/>
          <w:szCs w:val="32"/>
        </w:rPr>
        <w:t>第一节 重要提示、目录和释义</w:t>
      </w:r>
      <w:bookmarkEnd w:id="0"/>
    </w:p>
    <w:p>
      <w:pPr>
        <w:spacing w:before="40" w:after="40" w:line="560" w:lineRule="exact"/>
        <w:ind w:firstLine="560" w:firstLineChars="200"/>
        <w:jc w:val="left"/>
        <w:rPr>
          <w:rFonts w:ascii="宋体" w:hAnsi="宋体" w:eastAsia="宋体" w:cs="宋体"/>
          <w:b/>
          <w:bCs/>
          <w:sz w:val="28"/>
          <w:szCs w:val="28"/>
        </w:rPr>
      </w:pPr>
      <w:r>
        <w:rPr>
          <w:rFonts w:ascii="宋体" w:hAnsi="宋体" w:eastAsia="宋体" w:cs="宋体"/>
          <w:b/>
          <w:bCs/>
          <w:sz w:val="28"/>
          <w:szCs w:val="28"/>
        </w:rPr>
        <w:t>公司董事会、监事会及董事、监事、高级管理人员保证年度报告内容的真实、准确、完整，不存在虚假记载、误导性陈述或重大遗漏，并承担个别和连带的法律责任。</w:t>
      </w:r>
    </w:p>
    <w:p>
      <w:pPr>
        <w:spacing w:before="0" w:after="0" w:line="560" w:lineRule="exact"/>
        <w:ind w:firstLine="560" w:firstLineChars="200"/>
        <w:jc w:val="left"/>
        <w:rPr>
          <w:rFonts w:ascii="宋体" w:hAnsi="宋体" w:eastAsia="宋体" w:cs="宋体"/>
          <w:b/>
          <w:bCs/>
          <w:sz w:val="28"/>
          <w:szCs w:val="28"/>
        </w:rPr>
      </w:pPr>
      <w:r>
        <w:rPr>
          <w:rFonts w:ascii="宋体" w:hAnsi="宋体" w:eastAsia="宋体" w:cs="宋体"/>
          <w:b/>
          <w:bCs/>
          <w:sz w:val="28"/>
          <w:szCs w:val="28"/>
        </w:rPr>
        <w:t>公司负责人戴志利、主管会计工作负责人严琦及会计机构负责人（会计主管人员）</w:t>
      </w:r>
      <w:r>
        <w:rPr>
          <w:rFonts w:hint="eastAsia" w:ascii="宋体" w:hAnsi="宋体" w:cs="宋体"/>
          <w:b/>
          <w:bCs/>
          <w:sz w:val="28"/>
          <w:szCs w:val="28"/>
          <w:lang w:eastAsia="zh-CN"/>
        </w:rPr>
        <w:t>严琦</w:t>
      </w:r>
      <w:r>
        <w:rPr>
          <w:rFonts w:ascii="宋体" w:hAnsi="宋体" w:eastAsia="宋体" w:cs="宋体"/>
          <w:b/>
          <w:bCs/>
          <w:sz w:val="28"/>
          <w:szCs w:val="28"/>
        </w:rPr>
        <w:t>声明：保证本年度报告中财务报告的真实、准确、完整。</w:t>
      </w:r>
    </w:p>
    <w:p>
      <w:pPr>
        <w:spacing w:before="0" w:after="0" w:line="560" w:lineRule="exact"/>
        <w:jc w:val="left"/>
        <w:rPr>
          <w:rFonts w:ascii="宋体" w:hAnsi="宋体" w:eastAsia="宋体" w:cs="宋体"/>
          <w:b/>
          <w:bCs/>
          <w:sz w:val="28"/>
          <w:szCs w:val="28"/>
        </w:rPr>
      </w:pPr>
      <w:r>
        <w:rPr>
          <w:rFonts w:ascii="宋体" w:hAnsi="宋体" w:eastAsia="宋体" w:cs="宋体"/>
          <w:b/>
          <w:bCs/>
          <w:sz w:val="28"/>
          <w:szCs w:val="28"/>
        </w:rPr>
        <w:t>所有董事均已出席了审议本报告的董事会会议。</w:t>
      </w:r>
    </w:p>
    <w:p>
      <w:pPr>
        <w:pStyle w:val="4"/>
        <w:keepNext w:val="0"/>
        <w:keepLines w:val="0"/>
        <w:widowControl/>
        <w:suppressLineNumbers w:val="0"/>
        <w:spacing w:before="100" w:beforeAutospacing="0" w:after="100" w:afterAutospacing="0" w:line="560" w:lineRule="atLeast"/>
        <w:ind w:left="0" w:firstLine="567"/>
        <w:rPr>
          <w:rFonts w:hint="eastAsia" w:ascii="宋体" w:hAnsi="宋体" w:eastAsia="宋体" w:cs="宋体"/>
          <w:b/>
          <w:bCs/>
          <w:sz w:val="28"/>
          <w:szCs w:val="28"/>
        </w:rPr>
      </w:pPr>
      <w:r>
        <w:rPr>
          <w:rFonts w:hint="eastAsia" w:ascii="宋体" w:hAnsi="宋体" w:eastAsia="宋体" w:cs="宋体"/>
          <w:b/>
          <w:bCs/>
          <w:sz w:val="28"/>
          <w:szCs w:val="28"/>
        </w:rPr>
        <w:t>公司在本报告第三节“管理层讨论与分析”之“十一、公司未来发展的展望”部分描述了公司未来经营中可能面临的风险，敬请广大投资者注意查阅。</w:t>
      </w:r>
    </w:p>
    <w:p>
      <w:pPr>
        <w:spacing w:before="0" w:after="0" w:line="560" w:lineRule="exact"/>
        <w:ind w:firstLine="560" w:firstLineChars="200"/>
        <w:jc w:val="left"/>
        <w:rPr>
          <w:rFonts w:ascii="宋体" w:hAnsi="宋体" w:eastAsia="宋体" w:cs="宋体"/>
          <w:b/>
          <w:bCs/>
          <w:sz w:val="28"/>
          <w:szCs w:val="28"/>
        </w:rPr>
      </w:pPr>
      <w:r>
        <w:rPr>
          <w:rFonts w:ascii="宋体" w:hAnsi="宋体" w:eastAsia="宋体" w:cs="宋体"/>
          <w:b/>
          <w:bCs/>
          <w:sz w:val="28"/>
          <w:szCs w:val="28"/>
        </w:rPr>
        <w:t>公司计划不派发现金红利，不送红股，不以公积金转增股本。</w:t>
      </w:r>
    </w:p>
    <w:p>
      <w:r>
        <w:br w:type="page"/>
      </w:r>
    </w:p>
    <w:p>
      <w:pPr>
        <w:spacing w:before="0" w:after="0" w:line="720" w:lineRule="exact"/>
        <w:jc w:val="center"/>
        <w:rPr>
          <w:rFonts w:ascii="宋体" w:hAnsi="宋体" w:eastAsia="宋体" w:cs="宋体"/>
          <w:b/>
          <w:bCs/>
          <w:sz w:val="36"/>
          <w:szCs w:val="36"/>
        </w:rPr>
      </w:pPr>
      <w:r>
        <w:rPr>
          <w:rFonts w:ascii="宋体" w:hAnsi="宋体" w:eastAsia="宋体" w:cs="宋体"/>
          <w:b/>
          <w:bCs/>
          <w:sz w:val="36"/>
          <w:szCs w:val="36"/>
        </w:rPr>
        <w:t>目</w:t>
      </w:r>
      <w:r>
        <w:rPr>
          <w:rFonts w:hint="eastAsia" w:ascii="宋体" w:hAnsi="宋体" w:eastAsia="宋体" w:cs="宋体"/>
          <w:b/>
          <w:bCs/>
          <w:sz w:val="36"/>
          <w:szCs w:val="36"/>
          <w:lang w:val="en-US" w:eastAsia="zh-CN"/>
        </w:rPr>
        <w:t xml:space="preserve">   </w:t>
      </w:r>
      <w:r>
        <w:rPr>
          <w:rFonts w:ascii="宋体" w:hAnsi="宋体" w:eastAsia="宋体" w:cs="宋体"/>
          <w:b/>
          <w:bCs/>
          <w:sz w:val="36"/>
          <w:szCs w:val="36"/>
        </w:rPr>
        <w:t>录</w:t>
      </w:r>
    </w:p>
    <w:p>
      <w:pPr>
        <w:pStyle w:val="2"/>
      </w:pPr>
    </w:p>
    <w:p>
      <w:pPr>
        <w:keepNext w:val="0"/>
        <w:keepLines w:val="0"/>
        <w:pageBreakBefore w:val="0"/>
        <w:widowControl w:val="0"/>
        <w:tabs>
          <w:tab w:val="left" w:leader="dot" w:pos="9469"/>
        </w:tabs>
        <w:kinsoku/>
        <w:wordWrap/>
        <w:overflowPunct/>
        <w:topLinePunct w:val="0"/>
        <w:autoSpaceDE/>
        <w:autoSpaceDN/>
        <w:bidi w:val="0"/>
        <w:adjustRightInd/>
        <w:snapToGrid/>
        <w:spacing w:line="720" w:lineRule="auto"/>
        <w:textAlignment w:val="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fldChar w:fldCharType="begin"/>
      </w:r>
      <w:r>
        <w:rPr>
          <w:rFonts w:ascii="Times New Roman" w:hAnsi="Times New Roman" w:eastAsia="宋体" w:cs="Times New Roman"/>
          <w:b w:val="0"/>
          <w:bCs w:val="0"/>
          <w:sz w:val="24"/>
          <w:szCs w:val="24"/>
        </w:rPr>
        <w:instrText xml:space="preserve"> </w:instrText>
      </w:r>
      <w:r>
        <w:rPr>
          <w:rFonts w:hint="eastAsia" w:ascii="Times New Roman" w:hAnsi="Times New Roman" w:eastAsia="宋体" w:cs="Times New Roman"/>
          <w:b w:val="0"/>
          <w:bCs w:val="0"/>
          <w:sz w:val="24"/>
          <w:szCs w:val="24"/>
        </w:rPr>
        <w:instrText xml:space="preserve">TOC \o "1-2" \h \z \u</w:instrText>
      </w:r>
      <w:r>
        <w:rPr>
          <w:rFonts w:ascii="Times New Roman" w:hAnsi="Times New Roman" w:eastAsia="宋体" w:cs="Times New Roman"/>
          <w:b w:val="0"/>
          <w:bCs w:val="0"/>
          <w:sz w:val="24"/>
          <w:szCs w:val="24"/>
        </w:rPr>
        <w:instrText xml:space="preserve"> </w:instrText>
      </w:r>
      <w:r>
        <w:rPr>
          <w:rFonts w:ascii="Times New Roman" w:hAnsi="Times New Roman" w:eastAsia="宋体" w:cs="Times New Roman"/>
          <w:b w:val="0"/>
          <w:bCs w:val="0"/>
          <w:sz w:val="24"/>
          <w:szCs w:val="24"/>
        </w:rPr>
        <w:fldChar w:fldCharType="separate"/>
      </w:r>
      <w:r>
        <w:rPr>
          <w:rFonts w:ascii="Times New Roman" w:hAnsi="Times New Roman" w:eastAsia="宋体" w:cs="Times New Roman"/>
          <w:b w:val="0"/>
          <w:bCs w:val="0"/>
          <w:sz w:val="24"/>
          <w:szCs w:val="24"/>
        </w:rPr>
        <w:fldChar w:fldCharType="begin"/>
      </w:r>
      <w:r>
        <w:rPr>
          <w:rFonts w:ascii="Times New Roman" w:hAnsi="Times New Roman" w:eastAsia="宋体" w:cs="Times New Roman"/>
          <w:b w:val="0"/>
          <w:bCs w:val="0"/>
          <w:sz w:val="24"/>
          <w:szCs w:val="24"/>
        </w:rPr>
        <w:instrText xml:space="preserve"> HYPERLINK \l "_Toc988889" </w:instrText>
      </w:r>
      <w:r>
        <w:rPr>
          <w:rFonts w:ascii="Times New Roman" w:hAnsi="Times New Roman" w:eastAsia="宋体" w:cs="Times New Roman"/>
          <w:b w:val="0"/>
          <w:bCs w:val="0"/>
          <w:sz w:val="24"/>
          <w:szCs w:val="24"/>
        </w:rPr>
        <w:fldChar w:fldCharType="separate"/>
      </w:r>
      <w:r>
        <w:rPr>
          <w:rFonts w:hint="eastAsia" w:ascii="Times New Roman" w:hAnsi="Times New Roman" w:eastAsia="宋体" w:cs="Times New Roman"/>
          <w:b w:val="0"/>
          <w:bCs w:val="0"/>
          <w:sz w:val="24"/>
          <w:szCs w:val="24"/>
        </w:rPr>
        <w:t>第一节 重要提示、目录和释义</w:t>
      </w:r>
      <w:r>
        <w:rPr>
          <w:rFonts w:ascii="Times New Roman" w:hAnsi="Times New Roman" w:eastAsia="宋体" w:cs="Times New Roman"/>
          <w:b w:val="0"/>
          <w:bCs w:val="0"/>
          <w:sz w:val="24"/>
          <w:szCs w:val="24"/>
        </w:rPr>
        <w:tab/>
      </w:r>
      <w:r>
        <w:rPr>
          <w:rFonts w:ascii="Times New Roman" w:hAnsi="Times New Roman" w:eastAsia="宋体" w:cs="Times New Roman"/>
          <w:b w:val="0"/>
          <w:bCs w:val="0"/>
          <w:sz w:val="24"/>
          <w:szCs w:val="24"/>
        </w:rPr>
        <w:fldChar w:fldCharType="begin"/>
      </w:r>
      <w:r>
        <w:rPr>
          <w:rFonts w:ascii="Times New Roman" w:hAnsi="Times New Roman" w:eastAsia="宋体" w:cs="Times New Roman"/>
          <w:b w:val="0"/>
          <w:bCs w:val="0"/>
          <w:sz w:val="24"/>
          <w:szCs w:val="24"/>
        </w:rPr>
        <w:instrText xml:space="preserve"> PAGEREF _Toc988889 \h </w:instrText>
      </w:r>
      <w:r>
        <w:rPr>
          <w:rFonts w:hint="eastAsia" w:ascii="Times New Roman" w:hAnsi="Times New Roman" w:eastAsia="宋体" w:cs="Times New Roman"/>
          <w:b w:val="0"/>
          <w:bCs w:val="0"/>
          <w:sz w:val="24"/>
          <w:szCs w:val="24"/>
        </w:rPr>
        <w:fldChar w:fldCharType="separate"/>
      </w:r>
      <w:r>
        <w:rPr>
          <w:rFonts w:ascii="Times New Roman" w:hAnsi="Times New Roman" w:eastAsia="宋体" w:cs="Times New Roman"/>
          <w:b w:val="0"/>
          <w:bCs w:val="0"/>
          <w:sz w:val="24"/>
          <w:szCs w:val="24"/>
        </w:rPr>
        <w:t>2</w:t>
      </w:r>
      <w:r>
        <w:rPr>
          <w:rFonts w:ascii="Times New Roman" w:hAnsi="Times New Roman" w:eastAsia="宋体" w:cs="Times New Roman"/>
          <w:b w:val="0"/>
          <w:bCs w:val="0"/>
          <w:sz w:val="24"/>
          <w:szCs w:val="24"/>
        </w:rPr>
        <w:fldChar w:fldCharType="end"/>
      </w:r>
      <w:r>
        <w:rPr>
          <w:rFonts w:ascii="Times New Roman" w:hAnsi="Times New Roman" w:eastAsia="宋体" w:cs="Times New Roman"/>
          <w:b w:val="0"/>
          <w:bCs w:val="0"/>
          <w:sz w:val="24"/>
          <w:szCs w:val="24"/>
        </w:rPr>
        <w:fldChar w:fldCharType="end"/>
      </w:r>
    </w:p>
    <w:p>
      <w:pPr>
        <w:keepNext w:val="0"/>
        <w:keepLines w:val="0"/>
        <w:pageBreakBefore w:val="0"/>
        <w:widowControl w:val="0"/>
        <w:tabs>
          <w:tab w:val="left" w:leader="dot" w:pos="9469"/>
        </w:tabs>
        <w:kinsoku/>
        <w:wordWrap/>
        <w:overflowPunct/>
        <w:topLinePunct w:val="0"/>
        <w:autoSpaceDE/>
        <w:autoSpaceDN/>
        <w:bidi w:val="0"/>
        <w:adjustRightInd/>
        <w:snapToGrid/>
        <w:spacing w:line="720" w:lineRule="auto"/>
        <w:textAlignment w:val="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fldChar w:fldCharType="begin"/>
      </w:r>
      <w:r>
        <w:rPr>
          <w:rFonts w:ascii="Times New Roman" w:hAnsi="Times New Roman" w:eastAsia="宋体" w:cs="Times New Roman"/>
          <w:b w:val="0"/>
          <w:bCs w:val="0"/>
          <w:sz w:val="24"/>
          <w:szCs w:val="24"/>
        </w:rPr>
        <w:instrText xml:space="preserve"> HYPERLINK \l "_Toc988890" </w:instrText>
      </w:r>
      <w:r>
        <w:rPr>
          <w:rFonts w:ascii="Times New Roman" w:hAnsi="Times New Roman" w:eastAsia="宋体" w:cs="Times New Roman"/>
          <w:b w:val="0"/>
          <w:bCs w:val="0"/>
          <w:sz w:val="24"/>
          <w:szCs w:val="24"/>
        </w:rPr>
        <w:fldChar w:fldCharType="separate"/>
      </w:r>
      <w:r>
        <w:rPr>
          <w:rFonts w:hint="eastAsia" w:ascii="Times New Roman" w:hAnsi="Times New Roman" w:eastAsia="宋体" w:cs="Times New Roman"/>
          <w:b w:val="0"/>
          <w:bCs w:val="0"/>
          <w:sz w:val="24"/>
          <w:szCs w:val="24"/>
        </w:rPr>
        <w:t>第二节 公司简介和主要财务指标</w:t>
      </w:r>
      <w:r>
        <w:rPr>
          <w:rFonts w:ascii="Times New Roman" w:hAnsi="Times New Roman" w:eastAsia="宋体" w:cs="Times New Roman"/>
          <w:b w:val="0"/>
          <w:bCs w:val="0"/>
          <w:sz w:val="24"/>
          <w:szCs w:val="24"/>
        </w:rPr>
        <w:tab/>
      </w:r>
      <w:r>
        <w:rPr>
          <w:rFonts w:ascii="Times New Roman" w:hAnsi="Times New Roman" w:eastAsia="宋体" w:cs="Times New Roman"/>
          <w:b w:val="0"/>
          <w:bCs w:val="0"/>
          <w:sz w:val="24"/>
          <w:szCs w:val="24"/>
        </w:rPr>
        <w:fldChar w:fldCharType="begin"/>
      </w:r>
      <w:r>
        <w:rPr>
          <w:rFonts w:ascii="Times New Roman" w:hAnsi="Times New Roman" w:eastAsia="宋体" w:cs="Times New Roman"/>
          <w:b w:val="0"/>
          <w:bCs w:val="0"/>
          <w:sz w:val="24"/>
          <w:szCs w:val="24"/>
        </w:rPr>
        <w:instrText xml:space="preserve"> PAGEREF _Toc988890 \h </w:instrText>
      </w:r>
      <w:r>
        <w:rPr>
          <w:rFonts w:hint="eastAsia" w:ascii="Times New Roman" w:hAnsi="Times New Roman" w:eastAsia="宋体" w:cs="Times New Roman"/>
          <w:b w:val="0"/>
          <w:bCs w:val="0"/>
          <w:sz w:val="24"/>
          <w:szCs w:val="24"/>
        </w:rPr>
        <w:fldChar w:fldCharType="separate"/>
      </w:r>
      <w:r>
        <w:rPr>
          <w:rFonts w:ascii="Times New Roman" w:hAnsi="Times New Roman" w:eastAsia="宋体" w:cs="Times New Roman"/>
          <w:b w:val="0"/>
          <w:bCs w:val="0"/>
          <w:sz w:val="24"/>
          <w:szCs w:val="24"/>
        </w:rPr>
        <w:t>6</w:t>
      </w:r>
      <w:r>
        <w:rPr>
          <w:rFonts w:ascii="Times New Roman" w:hAnsi="Times New Roman" w:eastAsia="宋体" w:cs="Times New Roman"/>
          <w:b w:val="0"/>
          <w:bCs w:val="0"/>
          <w:sz w:val="24"/>
          <w:szCs w:val="24"/>
        </w:rPr>
        <w:fldChar w:fldCharType="end"/>
      </w:r>
      <w:r>
        <w:rPr>
          <w:rFonts w:ascii="Times New Roman" w:hAnsi="Times New Roman" w:eastAsia="宋体" w:cs="Times New Roman"/>
          <w:b w:val="0"/>
          <w:bCs w:val="0"/>
          <w:sz w:val="24"/>
          <w:szCs w:val="24"/>
        </w:rPr>
        <w:fldChar w:fldCharType="end"/>
      </w:r>
    </w:p>
    <w:p>
      <w:pPr>
        <w:keepNext w:val="0"/>
        <w:keepLines w:val="0"/>
        <w:pageBreakBefore w:val="0"/>
        <w:widowControl w:val="0"/>
        <w:tabs>
          <w:tab w:val="left" w:leader="dot" w:pos="9469"/>
        </w:tabs>
        <w:kinsoku/>
        <w:wordWrap/>
        <w:overflowPunct/>
        <w:topLinePunct w:val="0"/>
        <w:autoSpaceDE/>
        <w:autoSpaceDN/>
        <w:bidi w:val="0"/>
        <w:adjustRightInd/>
        <w:snapToGrid/>
        <w:spacing w:line="720" w:lineRule="auto"/>
        <w:textAlignment w:val="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fldChar w:fldCharType="begin"/>
      </w:r>
      <w:r>
        <w:rPr>
          <w:rFonts w:ascii="Times New Roman" w:hAnsi="Times New Roman" w:eastAsia="宋体" w:cs="Times New Roman"/>
          <w:b w:val="0"/>
          <w:bCs w:val="0"/>
          <w:sz w:val="24"/>
          <w:szCs w:val="24"/>
        </w:rPr>
        <w:instrText xml:space="preserve"> HYPERLINK \l "_Toc988902" </w:instrText>
      </w:r>
      <w:r>
        <w:rPr>
          <w:rFonts w:ascii="Times New Roman" w:hAnsi="Times New Roman" w:eastAsia="宋体" w:cs="Times New Roman"/>
          <w:b w:val="0"/>
          <w:bCs w:val="0"/>
          <w:sz w:val="24"/>
          <w:szCs w:val="24"/>
        </w:rPr>
        <w:fldChar w:fldCharType="separate"/>
      </w:r>
      <w:r>
        <w:rPr>
          <w:rFonts w:hint="eastAsia" w:ascii="Times New Roman" w:hAnsi="Times New Roman" w:eastAsia="宋体" w:cs="Times New Roman"/>
          <w:b w:val="0"/>
          <w:bCs w:val="0"/>
          <w:sz w:val="24"/>
          <w:szCs w:val="24"/>
        </w:rPr>
        <w:t>第三节 管理层讨论与分析</w:t>
      </w:r>
      <w:r>
        <w:rPr>
          <w:rFonts w:ascii="Times New Roman" w:hAnsi="Times New Roman" w:eastAsia="宋体" w:cs="Times New Roman"/>
          <w:b w:val="0"/>
          <w:bCs w:val="0"/>
          <w:sz w:val="24"/>
          <w:szCs w:val="24"/>
        </w:rPr>
        <w:tab/>
      </w:r>
      <w:r>
        <w:rPr>
          <w:rFonts w:ascii="Times New Roman" w:hAnsi="Times New Roman" w:eastAsia="宋体" w:cs="Times New Roman"/>
          <w:b w:val="0"/>
          <w:bCs w:val="0"/>
          <w:sz w:val="24"/>
          <w:szCs w:val="24"/>
        </w:rPr>
        <w:fldChar w:fldCharType="begin"/>
      </w:r>
      <w:r>
        <w:rPr>
          <w:rFonts w:ascii="Times New Roman" w:hAnsi="Times New Roman" w:eastAsia="宋体" w:cs="Times New Roman"/>
          <w:b w:val="0"/>
          <w:bCs w:val="0"/>
          <w:sz w:val="24"/>
          <w:szCs w:val="24"/>
        </w:rPr>
        <w:instrText xml:space="preserve"> PAGEREF _Toc988902 \h </w:instrText>
      </w:r>
      <w:r>
        <w:rPr>
          <w:rFonts w:hint="eastAsia" w:ascii="Times New Roman" w:hAnsi="Times New Roman" w:eastAsia="宋体" w:cs="Times New Roman"/>
          <w:b w:val="0"/>
          <w:bCs w:val="0"/>
          <w:sz w:val="24"/>
          <w:szCs w:val="24"/>
        </w:rPr>
        <w:fldChar w:fldCharType="separate"/>
      </w:r>
      <w:r>
        <w:rPr>
          <w:rFonts w:ascii="Times New Roman" w:hAnsi="Times New Roman" w:eastAsia="宋体" w:cs="Times New Roman"/>
          <w:b w:val="0"/>
          <w:bCs w:val="0"/>
          <w:sz w:val="24"/>
          <w:szCs w:val="24"/>
        </w:rPr>
        <w:t>10</w:t>
      </w:r>
      <w:r>
        <w:rPr>
          <w:rFonts w:ascii="Times New Roman" w:hAnsi="Times New Roman" w:eastAsia="宋体" w:cs="Times New Roman"/>
          <w:b w:val="0"/>
          <w:bCs w:val="0"/>
          <w:sz w:val="24"/>
          <w:szCs w:val="24"/>
        </w:rPr>
        <w:fldChar w:fldCharType="end"/>
      </w:r>
      <w:r>
        <w:rPr>
          <w:rFonts w:ascii="Times New Roman" w:hAnsi="Times New Roman" w:eastAsia="宋体" w:cs="Times New Roman"/>
          <w:b w:val="0"/>
          <w:bCs w:val="0"/>
          <w:sz w:val="24"/>
          <w:szCs w:val="24"/>
        </w:rPr>
        <w:fldChar w:fldCharType="end"/>
      </w:r>
    </w:p>
    <w:p>
      <w:pPr>
        <w:keepNext w:val="0"/>
        <w:keepLines w:val="0"/>
        <w:pageBreakBefore w:val="0"/>
        <w:widowControl w:val="0"/>
        <w:tabs>
          <w:tab w:val="left" w:leader="dot" w:pos="9469"/>
        </w:tabs>
        <w:kinsoku/>
        <w:wordWrap/>
        <w:overflowPunct/>
        <w:topLinePunct w:val="0"/>
        <w:autoSpaceDE/>
        <w:autoSpaceDN/>
        <w:bidi w:val="0"/>
        <w:adjustRightInd/>
        <w:snapToGrid/>
        <w:spacing w:line="720" w:lineRule="auto"/>
        <w:textAlignment w:val="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fldChar w:fldCharType="begin"/>
      </w:r>
      <w:r>
        <w:rPr>
          <w:rFonts w:ascii="Times New Roman" w:hAnsi="Times New Roman" w:eastAsia="宋体" w:cs="Times New Roman"/>
          <w:b w:val="0"/>
          <w:bCs w:val="0"/>
          <w:sz w:val="24"/>
          <w:szCs w:val="24"/>
        </w:rPr>
        <w:instrText xml:space="preserve"> HYPERLINK \l "_Toc988945" </w:instrText>
      </w:r>
      <w:r>
        <w:rPr>
          <w:rFonts w:ascii="Times New Roman" w:hAnsi="Times New Roman" w:eastAsia="宋体" w:cs="Times New Roman"/>
          <w:b w:val="0"/>
          <w:bCs w:val="0"/>
          <w:sz w:val="24"/>
          <w:szCs w:val="24"/>
        </w:rPr>
        <w:fldChar w:fldCharType="separate"/>
      </w:r>
      <w:r>
        <w:rPr>
          <w:rFonts w:hint="eastAsia" w:ascii="Times New Roman" w:hAnsi="Times New Roman" w:eastAsia="宋体" w:cs="Times New Roman"/>
          <w:b w:val="0"/>
          <w:bCs w:val="0"/>
          <w:sz w:val="24"/>
          <w:szCs w:val="24"/>
        </w:rPr>
        <w:t>第四节 公司治理</w:t>
      </w:r>
      <w:r>
        <w:rPr>
          <w:rFonts w:ascii="Times New Roman" w:hAnsi="Times New Roman" w:eastAsia="宋体" w:cs="Times New Roman"/>
          <w:b w:val="0"/>
          <w:bCs w:val="0"/>
          <w:sz w:val="24"/>
          <w:szCs w:val="24"/>
        </w:rPr>
        <w:tab/>
      </w:r>
      <w:r>
        <w:rPr>
          <w:rFonts w:ascii="Times New Roman" w:hAnsi="Times New Roman" w:eastAsia="宋体" w:cs="Times New Roman"/>
          <w:b w:val="0"/>
          <w:bCs w:val="0"/>
          <w:sz w:val="24"/>
          <w:szCs w:val="24"/>
        </w:rPr>
        <w:fldChar w:fldCharType="begin"/>
      </w:r>
      <w:r>
        <w:rPr>
          <w:rFonts w:ascii="Times New Roman" w:hAnsi="Times New Roman" w:eastAsia="宋体" w:cs="Times New Roman"/>
          <w:b w:val="0"/>
          <w:bCs w:val="0"/>
          <w:sz w:val="24"/>
          <w:szCs w:val="24"/>
        </w:rPr>
        <w:instrText xml:space="preserve"> PAGEREF _Toc988945 \h </w:instrText>
      </w:r>
      <w:r>
        <w:rPr>
          <w:rFonts w:hint="eastAsia" w:ascii="Times New Roman" w:hAnsi="Times New Roman" w:eastAsia="宋体" w:cs="Times New Roman"/>
          <w:b w:val="0"/>
          <w:bCs w:val="0"/>
          <w:sz w:val="24"/>
          <w:szCs w:val="24"/>
        </w:rPr>
        <w:fldChar w:fldCharType="separate"/>
      </w:r>
      <w:r>
        <w:rPr>
          <w:rFonts w:ascii="Times New Roman" w:hAnsi="Times New Roman" w:eastAsia="宋体" w:cs="Times New Roman"/>
          <w:b w:val="0"/>
          <w:bCs w:val="0"/>
          <w:sz w:val="24"/>
          <w:szCs w:val="24"/>
        </w:rPr>
        <w:t>30</w:t>
      </w:r>
      <w:r>
        <w:rPr>
          <w:rFonts w:ascii="Times New Roman" w:hAnsi="Times New Roman" w:eastAsia="宋体" w:cs="Times New Roman"/>
          <w:b w:val="0"/>
          <w:bCs w:val="0"/>
          <w:sz w:val="24"/>
          <w:szCs w:val="24"/>
        </w:rPr>
        <w:fldChar w:fldCharType="end"/>
      </w:r>
      <w:r>
        <w:rPr>
          <w:rFonts w:ascii="Times New Roman" w:hAnsi="Times New Roman" w:eastAsia="宋体" w:cs="Times New Roman"/>
          <w:b w:val="0"/>
          <w:bCs w:val="0"/>
          <w:sz w:val="24"/>
          <w:szCs w:val="24"/>
        </w:rPr>
        <w:fldChar w:fldCharType="end"/>
      </w:r>
    </w:p>
    <w:p>
      <w:pPr>
        <w:keepNext w:val="0"/>
        <w:keepLines w:val="0"/>
        <w:pageBreakBefore w:val="0"/>
        <w:widowControl w:val="0"/>
        <w:tabs>
          <w:tab w:val="left" w:leader="dot" w:pos="9469"/>
        </w:tabs>
        <w:kinsoku/>
        <w:wordWrap/>
        <w:overflowPunct/>
        <w:topLinePunct w:val="0"/>
        <w:autoSpaceDE/>
        <w:autoSpaceDN/>
        <w:bidi w:val="0"/>
        <w:adjustRightInd/>
        <w:snapToGrid/>
        <w:spacing w:line="720" w:lineRule="auto"/>
        <w:textAlignment w:val="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fldChar w:fldCharType="begin"/>
      </w:r>
      <w:r>
        <w:rPr>
          <w:rFonts w:ascii="Times New Roman" w:hAnsi="Times New Roman" w:eastAsia="宋体" w:cs="Times New Roman"/>
          <w:b w:val="0"/>
          <w:bCs w:val="0"/>
          <w:sz w:val="24"/>
          <w:szCs w:val="24"/>
        </w:rPr>
        <w:instrText xml:space="preserve"> HYPERLINK \l "_Toc988978" </w:instrText>
      </w:r>
      <w:r>
        <w:rPr>
          <w:rFonts w:ascii="Times New Roman" w:hAnsi="Times New Roman" w:eastAsia="宋体" w:cs="Times New Roman"/>
          <w:b w:val="0"/>
          <w:bCs w:val="0"/>
          <w:sz w:val="24"/>
          <w:szCs w:val="24"/>
        </w:rPr>
        <w:fldChar w:fldCharType="separate"/>
      </w:r>
      <w:r>
        <w:rPr>
          <w:rFonts w:hint="eastAsia" w:ascii="Times New Roman" w:hAnsi="Times New Roman" w:eastAsia="宋体" w:cs="Times New Roman"/>
          <w:b w:val="0"/>
          <w:bCs w:val="0"/>
          <w:sz w:val="24"/>
          <w:szCs w:val="24"/>
        </w:rPr>
        <w:t>第五节 环境和社会责任</w:t>
      </w:r>
      <w:r>
        <w:rPr>
          <w:rFonts w:ascii="Times New Roman" w:hAnsi="Times New Roman" w:eastAsia="宋体" w:cs="Times New Roman"/>
          <w:b w:val="0"/>
          <w:bCs w:val="0"/>
          <w:sz w:val="24"/>
          <w:szCs w:val="24"/>
        </w:rPr>
        <w:tab/>
      </w:r>
      <w:r>
        <w:rPr>
          <w:rFonts w:ascii="Times New Roman" w:hAnsi="Times New Roman" w:eastAsia="宋体" w:cs="Times New Roman"/>
          <w:b w:val="0"/>
          <w:bCs w:val="0"/>
          <w:sz w:val="24"/>
          <w:szCs w:val="24"/>
        </w:rPr>
        <w:fldChar w:fldCharType="begin"/>
      </w:r>
      <w:r>
        <w:rPr>
          <w:rFonts w:ascii="Times New Roman" w:hAnsi="Times New Roman" w:eastAsia="宋体" w:cs="Times New Roman"/>
          <w:b w:val="0"/>
          <w:bCs w:val="0"/>
          <w:sz w:val="24"/>
          <w:szCs w:val="24"/>
        </w:rPr>
        <w:instrText xml:space="preserve"> PAGEREF _Toc988978 \h </w:instrText>
      </w:r>
      <w:r>
        <w:rPr>
          <w:rFonts w:hint="eastAsia" w:ascii="Times New Roman" w:hAnsi="Times New Roman" w:eastAsia="宋体" w:cs="Times New Roman"/>
          <w:b w:val="0"/>
          <w:bCs w:val="0"/>
          <w:sz w:val="24"/>
          <w:szCs w:val="24"/>
        </w:rPr>
        <w:fldChar w:fldCharType="separate"/>
      </w:r>
      <w:r>
        <w:rPr>
          <w:rFonts w:ascii="Times New Roman" w:hAnsi="Times New Roman" w:eastAsia="宋体" w:cs="Times New Roman"/>
          <w:b w:val="0"/>
          <w:bCs w:val="0"/>
          <w:sz w:val="24"/>
          <w:szCs w:val="24"/>
        </w:rPr>
        <w:t>44</w:t>
      </w:r>
      <w:r>
        <w:rPr>
          <w:rFonts w:ascii="Times New Roman" w:hAnsi="Times New Roman" w:eastAsia="宋体" w:cs="Times New Roman"/>
          <w:b w:val="0"/>
          <w:bCs w:val="0"/>
          <w:sz w:val="24"/>
          <w:szCs w:val="24"/>
        </w:rPr>
        <w:fldChar w:fldCharType="end"/>
      </w:r>
      <w:r>
        <w:rPr>
          <w:rFonts w:ascii="Times New Roman" w:hAnsi="Times New Roman" w:eastAsia="宋体" w:cs="Times New Roman"/>
          <w:b w:val="0"/>
          <w:bCs w:val="0"/>
          <w:sz w:val="24"/>
          <w:szCs w:val="24"/>
        </w:rPr>
        <w:fldChar w:fldCharType="end"/>
      </w:r>
    </w:p>
    <w:p>
      <w:pPr>
        <w:keepNext w:val="0"/>
        <w:keepLines w:val="0"/>
        <w:pageBreakBefore w:val="0"/>
        <w:widowControl w:val="0"/>
        <w:tabs>
          <w:tab w:val="left" w:leader="dot" w:pos="9469"/>
        </w:tabs>
        <w:kinsoku/>
        <w:wordWrap/>
        <w:overflowPunct/>
        <w:topLinePunct w:val="0"/>
        <w:autoSpaceDE/>
        <w:autoSpaceDN/>
        <w:bidi w:val="0"/>
        <w:adjustRightInd/>
        <w:snapToGrid/>
        <w:spacing w:line="720" w:lineRule="auto"/>
        <w:textAlignment w:val="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fldChar w:fldCharType="begin"/>
      </w:r>
      <w:r>
        <w:rPr>
          <w:rFonts w:ascii="Times New Roman" w:hAnsi="Times New Roman" w:eastAsia="宋体" w:cs="Times New Roman"/>
          <w:b w:val="0"/>
          <w:bCs w:val="0"/>
          <w:sz w:val="24"/>
          <w:szCs w:val="24"/>
        </w:rPr>
        <w:instrText xml:space="preserve"> HYPERLINK \l "_Toc988982" </w:instrText>
      </w:r>
      <w:r>
        <w:rPr>
          <w:rFonts w:ascii="Times New Roman" w:hAnsi="Times New Roman" w:eastAsia="宋体" w:cs="Times New Roman"/>
          <w:b w:val="0"/>
          <w:bCs w:val="0"/>
          <w:sz w:val="24"/>
          <w:szCs w:val="24"/>
        </w:rPr>
        <w:fldChar w:fldCharType="separate"/>
      </w:r>
      <w:r>
        <w:rPr>
          <w:rFonts w:hint="eastAsia" w:ascii="Times New Roman" w:hAnsi="Times New Roman" w:eastAsia="宋体" w:cs="Times New Roman"/>
          <w:b w:val="0"/>
          <w:bCs w:val="0"/>
          <w:sz w:val="24"/>
          <w:szCs w:val="24"/>
        </w:rPr>
        <w:t>第六节 重要事项</w:t>
      </w:r>
      <w:r>
        <w:rPr>
          <w:rFonts w:ascii="Times New Roman" w:hAnsi="Times New Roman" w:eastAsia="宋体" w:cs="Times New Roman"/>
          <w:b w:val="0"/>
          <w:bCs w:val="0"/>
          <w:sz w:val="24"/>
          <w:szCs w:val="24"/>
        </w:rPr>
        <w:tab/>
      </w:r>
      <w:r>
        <w:rPr>
          <w:rFonts w:ascii="Times New Roman" w:hAnsi="Times New Roman" w:eastAsia="宋体" w:cs="Times New Roman"/>
          <w:b w:val="0"/>
          <w:bCs w:val="0"/>
          <w:sz w:val="24"/>
          <w:szCs w:val="24"/>
        </w:rPr>
        <w:fldChar w:fldCharType="begin"/>
      </w:r>
      <w:r>
        <w:rPr>
          <w:rFonts w:ascii="Times New Roman" w:hAnsi="Times New Roman" w:eastAsia="宋体" w:cs="Times New Roman"/>
          <w:b w:val="0"/>
          <w:bCs w:val="0"/>
          <w:sz w:val="24"/>
          <w:szCs w:val="24"/>
        </w:rPr>
        <w:instrText xml:space="preserve"> PAGEREF _Toc988982 \h </w:instrText>
      </w:r>
      <w:r>
        <w:rPr>
          <w:rFonts w:hint="eastAsia" w:ascii="Times New Roman" w:hAnsi="Times New Roman" w:eastAsia="宋体" w:cs="Times New Roman"/>
          <w:b w:val="0"/>
          <w:bCs w:val="0"/>
          <w:sz w:val="24"/>
          <w:szCs w:val="24"/>
        </w:rPr>
        <w:fldChar w:fldCharType="separate"/>
      </w:r>
      <w:r>
        <w:rPr>
          <w:rFonts w:ascii="Times New Roman" w:hAnsi="Times New Roman" w:eastAsia="宋体" w:cs="Times New Roman"/>
          <w:b w:val="0"/>
          <w:bCs w:val="0"/>
          <w:sz w:val="24"/>
          <w:szCs w:val="24"/>
        </w:rPr>
        <w:t>46</w:t>
      </w:r>
      <w:r>
        <w:rPr>
          <w:rFonts w:ascii="Times New Roman" w:hAnsi="Times New Roman" w:eastAsia="宋体" w:cs="Times New Roman"/>
          <w:b w:val="0"/>
          <w:bCs w:val="0"/>
          <w:sz w:val="24"/>
          <w:szCs w:val="24"/>
        </w:rPr>
        <w:fldChar w:fldCharType="end"/>
      </w:r>
      <w:r>
        <w:rPr>
          <w:rFonts w:ascii="Times New Roman" w:hAnsi="Times New Roman" w:eastAsia="宋体" w:cs="Times New Roman"/>
          <w:b w:val="0"/>
          <w:bCs w:val="0"/>
          <w:sz w:val="24"/>
          <w:szCs w:val="24"/>
        </w:rPr>
        <w:fldChar w:fldCharType="end"/>
      </w:r>
    </w:p>
    <w:p>
      <w:pPr>
        <w:keepNext w:val="0"/>
        <w:keepLines w:val="0"/>
        <w:pageBreakBefore w:val="0"/>
        <w:widowControl w:val="0"/>
        <w:tabs>
          <w:tab w:val="left" w:leader="dot" w:pos="9469"/>
        </w:tabs>
        <w:kinsoku/>
        <w:wordWrap/>
        <w:overflowPunct/>
        <w:topLinePunct w:val="0"/>
        <w:autoSpaceDE/>
        <w:autoSpaceDN/>
        <w:bidi w:val="0"/>
        <w:adjustRightInd/>
        <w:snapToGrid/>
        <w:spacing w:line="720" w:lineRule="auto"/>
        <w:textAlignment w:val="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fldChar w:fldCharType="begin"/>
      </w:r>
      <w:r>
        <w:rPr>
          <w:rFonts w:ascii="Times New Roman" w:hAnsi="Times New Roman" w:eastAsia="宋体" w:cs="Times New Roman"/>
          <w:b w:val="0"/>
          <w:bCs w:val="0"/>
          <w:sz w:val="24"/>
          <w:szCs w:val="24"/>
        </w:rPr>
        <w:instrText xml:space="preserve"> HYPERLINK \l "_Toc989018" </w:instrText>
      </w:r>
      <w:r>
        <w:rPr>
          <w:rFonts w:ascii="Times New Roman" w:hAnsi="Times New Roman" w:eastAsia="宋体" w:cs="Times New Roman"/>
          <w:b w:val="0"/>
          <w:bCs w:val="0"/>
          <w:sz w:val="24"/>
          <w:szCs w:val="24"/>
        </w:rPr>
        <w:fldChar w:fldCharType="separate"/>
      </w:r>
      <w:r>
        <w:rPr>
          <w:rFonts w:hint="eastAsia" w:ascii="Times New Roman" w:hAnsi="Times New Roman" w:eastAsia="宋体" w:cs="Times New Roman"/>
          <w:b w:val="0"/>
          <w:bCs w:val="0"/>
          <w:sz w:val="24"/>
          <w:szCs w:val="24"/>
        </w:rPr>
        <w:t>第七节 股份变动及股东情况</w:t>
      </w:r>
      <w:r>
        <w:rPr>
          <w:rFonts w:ascii="Times New Roman" w:hAnsi="Times New Roman" w:eastAsia="宋体" w:cs="Times New Roman"/>
          <w:b w:val="0"/>
          <w:bCs w:val="0"/>
          <w:sz w:val="24"/>
          <w:szCs w:val="24"/>
        </w:rPr>
        <w:tab/>
      </w:r>
      <w:r>
        <w:rPr>
          <w:rFonts w:ascii="Times New Roman" w:hAnsi="Times New Roman" w:eastAsia="宋体" w:cs="Times New Roman"/>
          <w:b w:val="0"/>
          <w:bCs w:val="0"/>
          <w:sz w:val="24"/>
          <w:szCs w:val="24"/>
        </w:rPr>
        <w:fldChar w:fldCharType="begin"/>
      </w:r>
      <w:r>
        <w:rPr>
          <w:rFonts w:ascii="Times New Roman" w:hAnsi="Times New Roman" w:eastAsia="宋体" w:cs="Times New Roman"/>
          <w:b w:val="0"/>
          <w:bCs w:val="0"/>
          <w:sz w:val="24"/>
          <w:szCs w:val="24"/>
        </w:rPr>
        <w:instrText xml:space="preserve"> PAGEREF _Toc989018 \h </w:instrText>
      </w:r>
      <w:r>
        <w:rPr>
          <w:rFonts w:hint="eastAsia" w:ascii="Times New Roman" w:hAnsi="Times New Roman" w:eastAsia="宋体" w:cs="Times New Roman"/>
          <w:b w:val="0"/>
          <w:bCs w:val="0"/>
          <w:sz w:val="24"/>
          <w:szCs w:val="24"/>
        </w:rPr>
        <w:fldChar w:fldCharType="separate"/>
      </w:r>
      <w:r>
        <w:rPr>
          <w:rFonts w:ascii="Times New Roman" w:hAnsi="Times New Roman" w:eastAsia="宋体" w:cs="Times New Roman"/>
          <w:b w:val="0"/>
          <w:bCs w:val="0"/>
          <w:sz w:val="24"/>
          <w:szCs w:val="24"/>
        </w:rPr>
        <w:t>53</w:t>
      </w:r>
      <w:r>
        <w:rPr>
          <w:rFonts w:ascii="Times New Roman" w:hAnsi="Times New Roman" w:eastAsia="宋体" w:cs="Times New Roman"/>
          <w:b w:val="0"/>
          <w:bCs w:val="0"/>
          <w:sz w:val="24"/>
          <w:szCs w:val="24"/>
        </w:rPr>
        <w:fldChar w:fldCharType="end"/>
      </w:r>
      <w:r>
        <w:rPr>
          <w:rFonts w:ascii="Times New Roman" w:hAnsi="Times New Roman" w:eastAsia="宋体" w:cs="Times New Roman"/>
          <w:b w:val="0"/>
          <w:bCs w:val="0"/>
          <w:sz w:val="24"/>
          <w:szCs w:val="24"/>
        </w:rPr>
        <w:fldChar w:fldCharType="end"/>
      </w:r>
    </w:p>
    <w:p>
      <w:pPr>
        <w:keepNext w:val="0"/>
        <w:keepLines w:val="0"/>
        <w:pageBreakBefore w:val="0"/>
        <w:widowControl w:val="0"/>
        <w:tabs>
          <w:tab w:val="left" w:leader="dot" w:pos="9469"/>
        </w:tabs>
        <w:kinsoku/>
        <w:wordWrap/>
        <w:overflowPunct/>
        <w:topLinePunct w:val="0"/>
        <w:autoSpaceDE/>
        <w:autoSpaceDN/>
        <w:bidi w:val="0"/>
        <w:adjustRightInd/>
        <w:snapToGrid/>
        <w:spacing w:line="720" w:lineRule="auto"/>
        <w:textAlignment w:val="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fldChar w:fldCharType="begin"/>
      </w:r>
      <w:r>
        <w:rPr>
          <w:rFonts w:ascii="Times New Roman" w:hAnsi="Times New Roman" w:eastAsia="宋体" w:cs="Times New Roman"/>
          <w:b w:val="0"/>
          <w:bCs w:val="0"/>
          <w:sz w:val="24"/>
          <w:szCs w:val="24"/>
        </w:rPr>
        <w:instrText xml:space="preserve"> HYPERLINK \l "_Toc989034" </w:instrText>
      </w:r>
      <w:r>
        <w:rPr>
          <w:rFonts w:ascii="Times New Roman" w:hAnsi="Times New Roman" w:eastAsia="宋体" w:cs="Times New Roman"/>
          <w:b w:val="0"/>
          <w:bCs w:val="0"/>
          <w:sz w:val="24"/>
          <w:szCs w:val="24"/>
        </w:rPr>
        <w:fldChar w:fldCharType="separate"/>
      </w:r>
      <w:r>
        <w:rPr>
          <w:rFonts w:hint="eastAsia" w:ascii="Times New Roman" w:hAnsi="Times New Roman" w:eastAsia="宋体" w:cs="Times New Roman"/>
          <w:b w:val="0"/>
          <w:bCs w:val="0"/>
          <w:sz w:val="24"/>
          <w:szCs w:val="24"/>
        </w:rPr>
        <w:t>第八节 优先股相关情况</w:t>
      </w:r>
      <w:r>
        <w:rPr>
          <w:rFonts w:ascii="Times New Roman" w:hAnsi="Times New Roman" w:eastAsia="宋体" w:cs="Times New Roman"/>
          <w:b w:val="0"/>
          <w:bCs w:val="0"/>
          <w:sz w:val="24"/>
          <w:szCs w:val="24"/>
        </w:rPr>
        <w:tab/>
      </w:r>
      <w:r>
        <w:rPr>
          <w:rFonts w:ascii="Times New Roman" w:hAnsi="Times New Roman" w:eastAsia="宋体" w:cs="Times New Roman"/>
          <w:b w:val="0"/>
          <w:bCs w:val="0"/>
          <w:sz w:val="24"/>
          <w:szCs w:val="24"/>
        </w:rPr>
        <w:fldChar w:fldCharType="begin"/>
      </w:r>
      <w:r>
        <w:rPr>
          <w:rFonts w:ascii="Times New Roman" w:hAnsi="Times New Roman" w:eastAsia="宋体" w:cs="Times New Roman"/>
          <w:b w:val="0"/>
          <w:bCs w:val="0"/>
          <w:sz w:val="24"/>
          <w:szCs w:val="24"/>
        </w:rPr>
        <w:instrText xml:space="preserve"> PAGEREF _Toc989034 \h </w:instrText>
      </w:r>
      <w:r>
        <w:rPr>
          <w:rFonts w:hint="eastAsia" w:ascii="Times New Roman" w:hAnsi="Times New Roman" w:eastAsia="宋体" w:cs="Times New Roman"/>
          <w:b w:val="0"/>
          <w:bCs w:val="0"/>
          <w:sz w:val="24"/>
          <w:szCs w:val="24"/>
        </w:rPr>
        <w:fldChar w:fldCharType="separate"/>
      </w:r>
      <w:r>
        <w:rPr>
          <w:rFonts w:ascii="Times New Roman" w:hAnsi="Times New Roman" w:eastAsia="宋体" w:cs="Times New Roman"/>
          <w:b w:val="0"/>
          <w:bCs w:val="0"/>
          <w:sz w:val="24"/>
          <w:szCs w:val="24"/>
        </w:rPr>
        <w:t>58</w:t>
      </w:r>
      <w:r>
        <w:rPr>
          <w:rFonts w:ascii="Times New Roman" w:hAnsi="Times New Roman" w:eastAsia="宋体" w:cs="Times New Roman"/>
          <w:b w:val="0"/>
          <w:bCs w:val="0"/>
          <w:sz w:val="24"/>
          <w:szCs w:val="24"/>
        </w:rPr>
        <w:fldChar w:fldCharType="end"/>
      </w:r>
      <w:r>
        <w:rPr>
          <w:rFonts w:ascii="Times New Roman" w:hAnsi="Times New Roman" w:eastAsia="宋体" w:cs="Times New Roman"/>
          <w:b w:val="0"/>
          <w:bCs w:val="0"/>
          <w:sz w:val="24"/>
          <w:szCs w:val="24"/>
        </w:rPr>
        <w:fldChar w:fldCharType="end"/>
      </w:r>
    </w:p>
    <w:p>
      <w:pPr>
        <w:keepNext w:val="0"/>
        <w:keepLines w:val="0"/>
        <w:pageBreakBefore w:val="0"/>
        <w:widowControl w:val="0"/>
        <w:tabs>
          <w:tab w:val="left" w:leader="dot" w:pos="9469"/>
        </w:tabs>
        <w:kinsoku/>
        <w:wordWrap/>
        <w:overflowPunct/>
        <w:topLinePunct w:val="0"/>
        <w:autoSpaceDE/>
        <w:autoSpaceDN/>
        <w:bidi w:val="0"/>
        <w:adjustRightInd/>
        <w:snapToGrid/>
        <w:spacing w:line="720" w:lineRule="auto"/>
        <w:textAlignment w:val="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fldChar w:fldCharType="begin"/>
      </w:r>
      <w:r>
        <w:rPr>
          <w:rFonts w:ascii="Times New Roman" w:hAnsi="Times New Roman" w:eastAsia="宋体" w:cs="Times New Roman"/>
          <w:b w:val="0"/>
          <w:bCs w:val="0"/>
          <w:sz w:val="24"/>
          <w:szCs w:val="24"/>
        </w:rPr>
        <w:instrText xml:space="preserve"> HYPERLINK \l "_Toc989035" </w:instrText>
      </w:r>
      <w:r>
        <w:rPr>
          <w:rFonts w:ascii="Times New Roman" w:hAnsi="Times New Roman" w:eastAsia="宋体" w:cs="Times New Roman"/>
          <w:b w:val="0"/>
          <w:bCs w:val="0"/>
          <w:sz w:val="24"/>
          <w:szCs w:val="24"/>
        </w:rPr>
        <w:fldChar w:fldCharType="separate"/>
      </w:r>
      <w:r>
        <w:rPr>
          <w:rFonts w:hint="eastAsia" w:ascii="Times New Roman" w:hAnsi="Times New Roman" w:eastAsia="宋体" w:cs="Times New Roman"/>
          <w:b w:val="0"/>
          <w:bCs w:val="0"/>
          <w:sz w:val="24"/>
          <w:szCs w:val="24"/>
        </w:rPr>
        <w:t>第九节 债券相关情况</w:t>
      </w:r>
      <w:r>
        <w:rPr>
          <w:rFonts w:ascii="Times New Roman" w:hAnsi="Times New Roman" w:eastAsia="宋体" w:cs="Times New Roman"/>
          <w:b w:val="0"/>
          <w:bCs w:val="0"/>
          <w:sz w:val="24"/>
          <w:szCs w:val="24"/>
        </w:rPr>
        <w:tab/>
      </w:r>
      <w:r>
        <w:rPr>
          <w:rFonts w:ascii="Times New Roman" w:hAnsi="Times New Roman" w:eastAsia="宋体" w:cs="Times New Roman"/>
          <w:b w:val="0"/>
          <w:bCs w:val="0"/>
          <w:sz w:val="24"/>
          <w:szCs w:val="24"/>
        </w:rPr>
        <w:fldChar w:fldCharType="begin"/>
      </w:r>
      <w:r>
        <w:rPr>
          <w:rFonts w:ascii="Times New Roman" w:hAnsi="Times New Roman" w:eastAsia="宋体" w:cs="Times New Roman"/>
          <w:b w:val="0"/>
          <w:bCs w:val="0"/>
          <w:sz w:val="24"/>
          <w:szCs w:val="24"/>
        </w:rPr>
        <w:instrText xml:space="preserve"> PAGEREF _Toc989035 \h </w:instrText>
      </w:r>
      <w:r>
        <w:rPr>
          <w:rFonts w:hint="eastAsia" w:ascii="Times New Roman" w:hAnsi="Times New Roman" w:eastAsia="宋体" w:cs="Times New Roman"/>
          <w:b w:val="0"/>
          <w:bCs w:val="0"/>
          <w:sz w:val="24"/>
          <w:szCs w:val="24"/>
        </w:rPr>
        <w:fldChar w:fldCharType="separate"/>
      </w:r>
      <w:r>
        <w:rPr>
          <w:rFonts w:ascii="Times New Roman" w:hAnsi="Times New Roman" w:eastAsia="宋体" w:cs="Times New Roman"/>
          <w:b w:val="0"/>
          <w:bCs w:val="0"/>
          <w:sz w:val="24"/>
          <w:szCs w:val="24"/>
        </w:rPr>
        <w:t>59</w:t>
      </w:r>
      <w:r>
        <w:rPr>
          <w:rFonts w:ascii="Times New Roman" w:hAnsi="Times New Roman" w:eastAsia="宋体" w:cs="Times New Roman"/>
          <w:b w:val="0"/>
          <w:bCs w:val="0"/>
          <w:sz w:val="24"/>
          <w:szCs w:val="24"/>
        </w:rPr>
        <w:fldChar w:fldCharType="end"/>
      </w:r>
      <w:r>
        <w:rPr>
          <w:rFonts w:ascii="Times New Roman" w:hAnsi="Times New Roman" w:eastAsia="宋体" w:cs="Times New Roman"/>
          <w:b w:val="0"/>
          <w:bCs w:val="0"/>
          <w:sz w:val="24"/>
          <w:szCs w:val="24"/>
        </w:rPr>
        <w:fldChar w:fldCharType="end"/>
      </w:r>
    </w:p>
    <w:p>
      <w:pPr>
        <w:keepNext w:val="0"/>
        <w:keepLines w:val="0"/>
        <w:pageBreakBefore w:val="0"/>
        <w:widowControl w:val="0"/>
        <w:tabs>
          <w:tab w:val="left" w:leader="dot" w:pos="9469"/>
        </w:tabs>
        <w:kinsoku/>
        <w:wordWrap/>
        <w:overflowPunct/>
        <w:topLinePunct w:val="0"/>
        <w:autoSpaceDE/>
        <w:autoSpaceDN/>
        <w:bidi w:val="0"/>
        <w:adjustRightInd/>
        <w:snapToGrid/>
        <w:spacing w:line="720" w:lineRule="auto"/>
        <w:textAlignment w:val="auto"/>
      </w:pPr>
      <w:r>
        <w:rPr>
          <w:rFonts w:ascii="Times New Roman" w:hAnsi="Times New Roman" w:eastAsia="宋体" w:cs="Times New Roman"/>
          <w:b w:val="0"/>
          <w:bCs w:val="0"/>
          <w:sz w:val="24"/>
          <w:szCs w:val="24"/>
        </w:rPr>
        <w:fldChar w:fldCharType="begin"/>
      </w:r>
      <w:r>
        <w:rPr>
          <w:rFonts w:ascii="Times New Roman" w:hAnsi="Times New Roman" w:eastAsia="宋体" w:cs="Times New Roman"/>
          <w:b w:val="0"/>
          <w:bCs w:val="0"/>
          <w:sz w:val="24"/>
          <w:szCs w:val="24"/>
        </w:rPr>
        <w:instrText xml:space="preserve"> HYPERLINK \l "_Toc989036" </w:instrText>
      </w:r>
      <w:r>
        <w:rPr>
          <w:rFonts w:ascii="Times New Roman" w:hAnsi="Times New Roman" w:eastAsia="宋体" w:cs="Times New Roman"/>
          <w:b w:val="0"/>
          <w:bCs w:val="0"/>
          <w:sz w:val="24"/>
          <w:szCs w:val="24"/>
        </w:rPr>
        <w:fldChar w:fldCharType="separate"/>
      </w:r>
      <w:r>
        <w:rPr>
          <w:rFonts w:hint="eastAsia" w:ascii="Times New Roman" w:hAnsi="Times New Roman" w:eastAsia="宋体" w:cs="Times New Roman"/>
          <w:b w:val="0"/>
          <w:bCs w:val="0"/>
          <w:sz w:val="24"/>
          <w:szCs w:val="24"/>
        </w:rPr>
        <w:t>第十节 财务报告</w:t>
      </w:r>
      <w:r>
        <w:rPr>
          <w:rFonts w:ascii="Times New Roman" w:hAnsi="Times New Roman" w:eastAsia="宋体" w:cs="Times New Roman"/>
          <w:b w:val="0"/>
          <w:bCs w:val="0"/>
          <w:sz w:val="24"/>
          <w:szCs w:val="24"/>
        </w:rPr>
        <w:tab/>
      </w:r>
      <w:r>
        <w:rPr>
          <w:rFonts w:ascii="Times New Roman" w:hAnsi="Times New Roman" w:eastAsia="宋体" w:cs="Times New Roman"/>
          <w:b w:val="0"/>
          <w:bCs w:val="0"/>
          <w:sz w:val="24"/>
          <w:szCs w:val="24"/>
        </w:rPr>
        <w:fldChar w:fldCharType="begin"/>
      </w:r>
      <w:r>
        <w:rPr>
          <w:rFonts w:ascii="Times New Roman" w:hAnsi="Times New Roman" w:eastAsia="宋体" w:cs="Times New Roman"/>
          <w:b w:val="0"/>
          <w:bCs w:val="0"/>
          <w:sz w:val="24"/>
          <w:szCs w:val="24"/>
        </w:rPr>
        <w:instrText xml:space="preserve"> PAGEREF _Toc989036 \h </w:instrText>
      </w:r>
      <w:r>
        <w:rPr>
          <w:rFonts w:hint="eastAsia" w:ascii="Times New Roman" w:hAnsi="Times New Roman" w:eastAsia="宋体" w:cs="Times New Roman"/>
          <w:b w:val="0"/>
          <w:bCs w:val="0"/>
          <w:sz w:val="24"/>
          <w:szCs w:val="24"/>
        </w:rPr>
        <w:fldChar w:fldCharType="separate"/>
      </w:r>
      <w:r>
        <w:rPr>
          <w:rFonts w:ascii="Times New Roman" w:hAnsi="Times New Roman" w:eastAsia="宋体" w:cs="Times New Roman"/>
          <w:b w:val="0"/>
          <w:bCs w:val="0"/>
          <w:sz w:val="24"/>
          <w:szCs w:val="24"/>
        </w:rPr>
        <w:t>60</w:t>
      </w:r>
      <w:r>
        <w:rPr>
          <w:rFonts w:ascii="Times New Roman" w:hAnsi="Times New Roman" w:eastAsia="宋体" w:cs="Times New Roman"/>
          <w:b w:val="0"/>
          <w:bCs w:val="0"/>
          <w:sz w:val="24"/>
          <w:szCs w:val="24"/>
        </w:rPr>
        <w:fldChar w:fldCharType="end"/>
      </w:r>
      <w:r>
        <w:rPr>
          <w:rFonts w:ascii="Times New Roman" w:hAnsi="Times New Roman" w:eastAsia="宋体" w:cs="Times New Roman"/>
          <w:b w:val="0"/>
          <w:bCs w:val="0"/>
          <w:sz w:val="24"/>
          <w:szCs w:val="24"/>
        </w:rPr>
        <w:fldChar w:fldCharType="end"/>
      </w:r>
      <w:r>
        <w:rPr>
          <w:rFonts w:ascii="Times New Roman" w:hAnsi="Times New Roman" w:eastAsia="宋体" w:cs="Times New Roman"/>
          <w:b w:val="0"/>
          <w:bCs w:val="0"/>
          <w:sz w:val="24"/>
          <w:szCs w:val="24"/>
        </w:rPr>
        <w:fldChar w:fldCharType="end"/>
      </w:r>
    </w:p>
    <w:p>
      <w:r>
        <w:br w:type="page"/>
      </w:r>
    </w:p>
    <w:p>
      <w:pPr>
        <w:spacing w:before="0" w:after="0" w:line="640" w:lineRule="exact"/>
        <w:jc w:val="center"/>
        <w:rPr>
          <w:rFonts w:ascii="宋体" w:hAnsi="宋体" w:eastAsia="宋体" w:cs="宋体"/>
          <w:b/>
          <w:bCs/>
          <w:sz w:val="32"/>
          <w:szCs w:val="32"/>
        </w:rPr>
      </w:pPr>
      <w:r>
        <w:rPr>
          <w:rFonts w:ascii="宋体" w:hAnsi="宋体" w:eastAsia="宋体" w:cs="宋体"/>
          <w:b/>
          <w:bCs/>
          <w:sz w:val="32"/>
          <w:szCs w:val="32"/>
        </w:rPr>
        <w:t>备查文件目录</w:t>
      </w:r>
    </w:p>
    <w:p>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560" w:lineRule="atLeast"/>
        <w:ind w:left="0" w:firstLine="357"/>
        <w:jc w:val="left"/>
        <w:textAlignment w:val="auto"/>
        <w:rPr>
          <w:rFonts w:hint="eastAsia" w:ascii="宋体" w:hAnsi="宋体" w:eastAsia="宋体" w:cs="宋体"/>
          <w:sz w:val="21"/>
          <w:szCs w:val="21"/>
        </w:rPr>
      </w:pPr>
      <w:r>
        <w:rPr>
          <w:rFonts w:hint="eastAsia" w:ascii="宋体" w:hAnsi="宋体" w:eastAsia="宋体" w:cs="宋体"/>
          <w:sz w:val="21"/>
          <w:szCs w:val="21"/>
        </w:rPr>
        <w:t>一、载有董事长签名的2024年年度报告原件；</w:t>
      </w:r>
    </w:p>
    <w:p>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560" w:lineRule="atLeast"/>
        <w:ind w:left="0" w:firstLine="357"/>
        <w:jc w:val="left"/>
        <w:textAlignment w:val="auto"/>
        <w:rPr>
          <w:rFonts w:hint="eastAsia" w:ascii="宋体" w:hAnsi="宋体" w:eastAsia="宋体" w:cs="宋体"/>
          <w:sz w:val="21"/>
          <w:szCs w:val="21"/>
        </w:rPr>
      </w:pPr>
      <w:r>
        <w:rPr>
          <w:rFonts w:hint="eastAsia" w:ascii="宋体" w:hAnsi="宋体" w:eastAsia="宋体" w:cs="宋体"/>
          <w:sz w:val="21"/>
          <w:szCs w:val="21"/>
        </w:rPr>
        <w:t>二、载有法定代表人、主管会计工作负责人、会计机构负责人签名并盖章的财务报表；</w:t>
      </w:r>
    </w:p>
    <w:p>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560" w:lineRule="atLeast"/>
        <w:ind w:left="0" w:firstLine="357"/>
        <w:jc w:val="left"/>
        <w:textAlignment w:val="auto"/>
        <w:rPr>
          <w:rFonts w:hint="eastAsia" w:ascii="宋体" w:hAnsi="宋体" w:eastAsia="宋体" w:cs="宋体"/>
          <w:sz w:val="21"/>
          <w:szCs w:val="21"/>
        </w:rPr>
      </w:pPr>
      <w:r>
        <w:rPr>
          <w:rFonts w:hint="eastAsia" w:ascii="宋体" w:hAnsi="宋体" w:eastAsia="宋体" w:cs="宋体"/>
          <w:sz w:val="21"/>
          <w:szCs w:val="21"/>
        </w:rPr>
        <w:t>三、载有会计师事务所盖章、注册会计师签名并盖章的审计报告原件；</w:t>
      </w:r>
    </w:p>
    <w:p>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560" w:lineRule="atLeast"/>
        <w:ind w:left="0" w:firstLine="357"/>
        <w:jc w:val="left"/>
        <w:textAlignment w:val="auto"/>
        <w:rPr>
          <w:rFonts w:hint="eastAsia" w:ascii="宋体" w:hAnsi="宋体" w:eastAsia="宋体" w:cs="宋体"/>
          <w:sz w:val="21"/>
          <w:szCs w:val="21"/>
        </w:rPr>
      </w:pPr>
      <w:r>
        <w:rPr>
          <w:rFonts w:hint="eastAsia" w:ascii="宋体" w:hAnsi="宋体" w:eastAsia="宋体" w:cs="宋体"/>
          <w:sz w:val="21"/>
          <w:szCs w:val="21"/>
        </w:rPr>
        <w:t>四、报告期内在中国证监会指定报纸上公开披露过的所有公司文件的正本及公告的原稿；</w:t>
      </w:r>
    </w:p>
    <w:p>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560" w:lineRule="atLeast"/>
        <w:ind w:left="0" w:firstLine="357"/>
        <w:jc w:val="left"/>
        <w:textAlignment w:val="auto"/>
        <w:rPr>
          <w:rFonts w:hint="eastAsia" w:ascii="宋体" w:hAnsi="宋体" w:eastAsia="宋体" w:cs="宋体"/>
          <w:sz w:val="21"/>
          <w:szCs w:val="21"/>
        </w:rPr>
      </w:pPr>
      <w:r>
        <w:rPr>
          <w:rFonts w:hint="eastAsia" w:ascii="宋体" w:hAnsi="宋体" w:eastAsia="宋体" w:cs="宋体"/>
          <w:sz w:val="21"/>
          <w:szCs w:val="21"/>
        </w:rPr>
        <w:t>五、其他有关资料。</w:t>
      </w:r>
    </w:p>
    <w:p>
      <w:r>
        <w:br w:type="page"/>
      </w:r>
    </w:p>
    <w:p>
      <w:pPr>
        <w:spacing w:before="40" w:after="40" w:line="560" w:lineRule="exact"/>
        <w:jc w:val="center"/>
        <w:rPr>
          <w:rFonts w:ascii="宋体" w:hAnsi="宋体" w:eastAsia="宋体" w:cs="宋体"/>
          <w:b/>
          <w:bCs/>
          <w:sz w:val="32"/>
          <w:szCs w:val="32"/>
        </w:rPr>
      </w:pPr>
      <w:r>
        <w:rPr>
          <w:rFonts w:ascii="宋体" w:hAnsi="宋体" w:eastAsia="宋体" w:cs="宋体"/>
          <w:b/>
          <w:bCs/>
          <w:sz w:val="32"/>
          <w:szCs w:val="32"/>
        </w:rPr>
        <w:t>释</w:t>
      </w:r>
      <w:r>
        <w:rPr>
          <w:rFonts w:hint="eastAsia" w:ascii="宋体" w:hAnsi="宋体" w:eastAsia="宋体" w:cs="宋体"/>
          <w:b/>
          <w:bCs/>
          <w:sz w:val="32"/>
          <w:szCs w:val="32"/>
          <w:lang w:val="en-US" w:eastAsia="zh-CN"/>
        </w:rPr>
        <w:t xml:space="preserve">   </w:t>
      </w:r>
      <w:r>
        <w:rPr>
          <w:rFonts w:ascii="宋体" w:hAnsi="宋体" w:eastAsia="宋体" w:cs="宋体"/>
          <w:b/>
          <w:bCs/>
          <w:sz w:val="32"/>
          <w:szCs w:val="32"/>
        </w:rPr>
        <w:t>义</w:t>
      </w:r>
    </w:p>
    <w:p>
      <w:pPr>
        <w:pStyle w:val="2"/>
      </w:pP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1961"/>
        <w:gridCol w:w="446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释义项</w:t>
            </w:r>
          </w:p>
        </w:tc>
        <w:tc>
          <w:tcPr>
            <w:tcW w:w="196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446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释义内容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公司、本公司、博云新材</w:t>
            </w:r>
          </w:p>
        </w:tc>
        <w:tc>
          <w:tcPr>
            <w:tcW w:w="196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bookmarkStart w:id="440" w:name="_GoBack"/>
            <w:bookmarkEnd w:id="440"/>
          </w:p>
        </w:tc>
        <w:tc>
          <w:tcPr>
            <w:tcW w:w="44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湖南博云新材料股份有限公司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粉冶中心</w:t>
            </w:r>
          </w:p>
        </w:tc>
        <w:tc>
          <w:tcPr>
            <w:tcW w:w="196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44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中南大学粉末冶金工程研究中心有限公司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兴湘集团</w:t>
            </w:r>
          </w:p>
        </w:tc>
        <w:tc>
          <w:tcPr>
            <w:tcW w:w="196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44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湖南兴湘投资控股集团有限公司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长沙鑫航</w:t>
            </w:r>
          </w:p>
        </w:tc>
        <w:tc>
          <w:tcPr>
            <w:tcW w:w="196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44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长沙鑫航机轮刹车有限公司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伟徽新材</w:t>
            </w:r>
          </w:p>
        </w:tc>
        <w:tc>
          <w:tcPr>
            <w:tcW w:w="196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44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长沙伟徽高科技新材料有限公司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博云东方</w:t>
            </w:r>
          </w:p>
        </w:tc>
        <w:tc>
          <w:tcPr>
            <w:tcW w:w="196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44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湖南博云东方粉末冶金有限公司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霍尼韦尔</w:t>
            </w:r>
          </w:p>
        </w:tc>
        <w:tc>
          <w:tcPr>
            <w:tcW w:w="196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44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霍尼韦尔（中国）有限公司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霍尼韦尔博云、合资公司</w:t>
            </w:r>
          </w:p>
        </w:tc>
        <w:tc>
          <w:tcPr>
            <w:tcW w:w="196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44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霍尼韦尔博云航空系统（湖南）有限公司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沃尔博</w:t>
            </w:r>
          </w:p>
        </w:tc>
        <w:tc>
          <w:tcPr>
            <w:tcW w:w="196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44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湖南沃尔博精密工具有限公司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PMA</w:t>
            </w:r>
          </w:p>
        </w:tc>
        <w:tc>
          <w:tcPr>
            <w:tcW w:w="196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44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民用航空器零部件制造人批准书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C919</w:t>
            </w:r>
          </w:p>
        </w:tc>
        <w:tc>
          <w:tcPr>
            <w:tcW w:w="196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44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中国商飞自主设计的国产大型客机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中国证监会</w:t>
            </w:r>
          </w:p>
        </w:tc>
        <w:tc>
          <w:tcPr>
            <w:tcW w:w="196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44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中国证券监督管理委员会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深交所</w:t>
            </w:r>
          </w:p>
        </w:tc>
        <w:tc>
          <w:tcPr>
            <w:tcW w:w="196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44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深圳证券交易所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湖南证监局</w:t>
            </w:r>
          </w:p>
        </w:tc>
        <w:tc>
          <w:tcPr>
            <w:tcW w:w="196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44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中国证券监督管理委员会湖南监管局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湖南省国资委</w:t>
            </w:r>
          </w:p>
        </w:tc>
        <w:tc>
          <w:tcPr>
            <w:tcW w:w="196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44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湖南省人民政府国有资产监督管理委员会</w:t>
            </w:r>
          </w:p>
        </w:tc>
      </w:tr>
    </w:tbl>
    <w:p>
      <w:r>
        <w:br w:type="page"/>
      </w:r>
    </w:p>
    <w:p>
      <w:pPr>
        <w:keepNext/>
        <w:keepLines/>
        <w:spacing w:before="340" w:after="330" w:line="773" w:lineRule="exact"/>
        <w:jc w:val="center"/>
        <w:outlineLvl w:val="0"/>
        <w:rPr>
          <w:rFonts w:ascii="宋体" w:hAnsi="宋体" w:eastAsia="宋体" w:cs="宋体"/>
          <w:b/>
          <w:bCs/>
          <w:sz w:val="32"/>
          <w:szCs w:val="32"/>
        </w:rPr>
      </w:pPr>
      <w:bookmarkStart w:id="1" w:name="_Toc988890"/>
      <w:r>
        <w:rPr>
          <w:rFonts w:ascii="宋体" w:hAnsi="宋体" w:eastAsia="宋体" w:cs="宋体"/>
          <w:b/>
          <w:bCs/>
          <w:sz w:val="32"/>
          <w:szCs w:val="32"/>
        </w:rPr>
        <w:t>第二节 公司简介和主要财务指标</w:t>
      </w:r>
      <w:bookmarkEnd w:id="1"/>
    </w:p>
    <w:p>
      <w:pPr>
        <w:keepNext/>
        <w:keepLines/>
        <w:pageBreakBefore w:val="0"/>
        <w:widowControl w:val="0"/>
        <w:kinsoku/>
        <w:wordWrap/>
        <w:overflowPunct/>
        <w:topLinePunct w:val="0"/>
        <w:autoSpaceDE/>
        <w:autoSpaceDN/>
        <w:bidi w:val="0"/>
        <w:adjustRightInd/>
        <w:snapToGrid/>
        <w:spacing w:before="300" w:after="60" w:line="320" w:lineRule="exact"/>
        <w:jc w:val="left"/>
        <w:textAlignment w:val="auto"/>
        <w:outlineLvl w:val="1"/>
        <w:rPr>
          <w:rFonts w:ascii="宋体" w:hAnsi="宋体" w:eastAsia="宋体" w:cs="宋体"/>
          <w:b/>
          <w:bCs/>
          <w:sz w:val="24"/>
          <w:szCs w:val="24"/>
        </w:rPr>
      </w:pPr>
      <w:bookmarkStart w:id="2" w:name="_Toc988891"/>
      <w:r>
        <w:rPr>
          <w:rFonts w:ascii="宋体" w:hAnsi="宋体" w:eastAsia="宋体" w:cs="宋体"/>
          <w:b/>
          <w:bCs/>
          <w:sz w:val="24"/>
          <w:szCs w:val="24"/>
        </w:rPr>
        <w:t>一、公司信息</w:t>
      </w:r>
      <w:bookmarkEnd w:id="2"/>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股票简称</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博云新材</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股票代码</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002297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股票上市证券交易所</w:t>
            </w:r>
          </w:p>
        </w:tc>
        <w:tc>
          <w:tcPr>
            <w:tcW w:w="7229"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深圳证券交易所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公司的中文名称</w:t>
            </w:r>
          </w:p>
        </w:tc>
        <w:tc>
          <w:tcPr>
            <w:tcW w:w="7229"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湖南博云新材料股份有限公司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公司的中文简称</w:t>
            </w:r>
          </w:p>
        </w:tc>
        <w:tc>
          <w:tcPr>
            <w:tcW w:w="7229"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博云新材</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公司的外文名称（如有）</w:t>
            </w:r>
          </w:p>
        </w:tc>
        <w:tc>
          <w:tcPr>
            <w:tcW w:w="7229"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HUNAN BOYUN NEW  MATERIALS CO.,LTD</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公司的外文名称缩写（如有）</w:t>
            </w:r>
          </w:p>
        </w:tc>
        <w:tc>
          <w:tcPr>
            <w:tcW w:w="7229"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BOYUN NEW MATERIALS</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公司的法定代表人</w:t>
            </w:r>
          </w:p>
        </w:tc>
        <w:tc>
          <w:tcPr>
            <w:tcW w:w="7229"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戴志利</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注册地址</w:t>
            </w:r>
          </w:p>
        </w:tc>
        <w:tc>
          <w:tcPr>
            <w:tcW w:w="7229"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长沙市岳麓区高新技术产业开发区麓松路500号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注册地址的邮政编码</w:t>
            </w:r>
          </w:p>
        </w:tc>
        <w:tc>
          <w:tcPr>
            <w:tcW w:w="7229"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410205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公司注册地址历史变更情况</w:t>
            </w:r>
          </w:p>
        </w:tc>
        <w:tc>
          <w:tcPr>
            <w:tcW w:w="7229"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办公地址</w:t>
            </w:r>
          </w:p>
        </w:tc>
        <w:tc>
          <w:tcPr>
            <w:tcW w:w="7229"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长沙市岳麓区雷锋大道346号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办公地址的邮政编码</w:t>
            </w:r>
          </w:p>
        </w:tc>
        <w:tc>
          <w:tcPr>
            <w:tcW w:w="7229"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410205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公司网址</w:t>
            </w:r>
          </w:p>
        </w:tc>
        <w:tc>
          <w:tcPr>
            <w:tcW w:w="7229"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www.hnboyun.com.cn</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电子信箱</w:t>
            </w:r>
          </w:p>
        </w:tc>
        <w:tc>
          <w:tcPr>
            <w:tcW w:w="7229"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hnboyun@hnboyun.com.cn</w:t>
            </w:r>
          </w:p>
        </w:tc>
      </w:tr>
    </w:tbl>
    <w:p>
      <w:pPr>
        <w:keepNext/>
        <w:keepLines/>
        <w:pageBreakBefore w:val="0"/>
        <w:widowControl w:val="0"/>
        <w:kinsoku/>
        <w:wordWrap/>
        <w:overflowPunct/>
        <w:topLinePunct w:val="0"/>
        <w:autoSpaceDE/>
        <w:autoSpaceDN/>
        <w:bidi w:val="0"/>
        <w:adjustRightInd/>
        <w:snapToGrid/>
        <w:spacing w:before="300" w:after="60" w:line="320" w:lineRule="exact"/>
        <w:jc w:val="left"/>
        <w:textAlignment w:val="auto"/>
        <w:outlineLvl w:val="1"/>
        <w:rPr>
          <w:rFonts w:ascii="宋体" w:hAnsi="宋体" w:eastAsia="宋体" w:cs="宋体"/>
          <w:b/>
          <w:bCs/>
          <w:sz w:val="24"/>
          <w:szCs w:val="24"/>
        </w:rPr>
      </w:pPr>
      <w:bookmarkStart w:id="3" w:name="_Toc988892"/>
      <w:r>
        <w:rPr>
          <w:rFonts w:ascii="宋体" w:hAnsi="宋体" w:eastAsia="宋体" w:cs="宋体"/>
          <w:b/>
          <w:bCs/>
          <w:sz w:val="24"/>
          <w:szCs w:val="24"/>
        </w:rPr>
        <w:t>二、联系人和联系方式</w:t>
      </w:r>
      <w:bookmarkEnd w:id="3"/>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董事会秘书</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证券事务代表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姓名</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曾光辉</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张爱丽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联系地址</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湖南省长沙市岳麓区雷锋大道346号</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湖南省长沙市岳麓区雷锋大道346号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电话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0731-85302297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0731-85302297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传真</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0731-88122777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0731-88122777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电子信箱</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hnboyun@hnboyun.com.cn</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hnboyun@hnboyun.com.cn</w:t>
            </w:r>
          </w:p>
        </w:tc>
      </w:tr>
    </w:tbl>
    <w:p>
      <w:pPr>
        <w:keepNext/>
        <w:keepLines/>
        <w:pageBreakBefore w:val="0"/>
        <w:widowControl w:val="0"/>
        <w:kinsoku/>
        <w:wordWrap/>
        <w:overflowPunct/>
        <w:topLinePunct w:val="0"/>
        <w:autoSpaceDE/>
        <w:autoSpaceDN/>
        <w:bidi w:val="0"/>
        <w:adjustRightInd/>
        <w:snapToGrid/>
        <w:spacing w:before="300" w:after="60" w:line="320" w:lineRule="exact"/>
        <w:jc w:val="left"/>
        <w:textAlignment w:val="auto"/>
        <w:outlineLvl w:val="1"/>
        <w:rPr>
          <w:rFonts w:ascii="宋体" w:hAnsi="宋体" w:eastAsia="宋体" w:cs="宋体"/>
          <w:b/>
          <w:bCs/>
          <w:sz w:val="24"/>
          <w:szCs w:val="24"/>
        </w:rPr>
      </w:pPr>
      <w:bookmarkStart w:id="4" w:name="_Toc988893"/>
      <w:r>
        <w:rPr>
          <w:rFonts w:ascii="宋体" w:hAnsi="宋体" w:eastAsia="宋体" w:cs="宋体"/>
          <w:b/>
          <w:bCs/>
          <w:sz w:val="24"/>
          <w:szCs w:val="24"/>
        </w:rPr>
        <w:t>三、信息披露及备置地点</w:t>
      </w:r>
      <w:bookmarkEnd w:id="4"/>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公司披露年度报告的证券交易所网站</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《证券时报》、《上海证券报》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公司披露年度报告的媒体名称及网址</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www.cninfo.com.cn</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公司年度报告备置地点</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证券部</w:t>
            </w:r>
          </w:p>
        </w:tc>
      </w:tr>
    </w:tbl>
    <w:p>
      <w:pPr>
        <w:keepNext/>
        <w:keepLines/>
        <w:pageBreakBefore w:val="0"/>
        <w:widowControl w:val="0"/>
        <w:kinsoku/>
        <w:wordWrap/>
        <w:overflowPunct/>
        <w:topLinePunct w:val="0"/>
        <w:autoSpaceDE/>
        <w:autoSpaceDN/>
        <w:bidi w:val="0"/>
        <w:adjustRightInd/>
        <w:snapToGrid/>
        <w:spacing w:before="300" w:after="60" w:line="320" w:lineRule="exact"/>
        <w:jc w:val="left"/>
        <w:textAlignment w:val="auto"/>
        <w:outlineLvl w:val="1"/>
        <w:rPr>
          <w:rFonts w:ascii="宋体" w:hAnsi="宋体" w:eastAsia="宋体" w:cs="宋体"/>
          <w:b/>
          <w:bCs/>
          <w:sz w:val="24"/>
          <w:szCs w:val="24"/>
        </w:rPr>
      </w:pPr>
      <w:bookmarkStart w:id="5" w:name="_Toc988894"/>
      <w:r>
        <w:rPr>
          <w:rFonts w:ascii="宋体" w:hAnsi="宋体" w:eastAsia="宋体" w:cs="宋体"/>
          <w:b/>
          <w:bCs/>
          <w:sz w:val="24"/>
          <w:szCs w:val="24"/>
        </w:rPr>
        <w:t>四、注册变更情况</w:t>
      </w:r>
      <w:bookmarkEnd w:id="5"/>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统一社会信用代码</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2016年7月29日，公司完成"三证合一"，公司统一社会信用代码为：91430000183898967C</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公司上市以来主营业务的变化情况（如有）</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无变更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历次控股股东的变更情况（如有）</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无变更</w:t>
            </w:r>
          </w:p>
        </w:tc>
      </w:tr>
    </w:tbl>
    <w:p>
      <w:pPr>
        <w:keepNext/>
        <w:keepLines/>
        <w:spacing w:before="300" w:after="300" w:line="320" w:lineRule="exact"/>
        <w:jc w:val="left"/>
        <w:outlineLvl w:val="1"/>
        <w:rPr>
          <w:rFonts w:ascii="宋体" w:hAnsi="宋体" w:eastAsia="宋体" w:cs="宋体"/>
          <w:b/>
          <w:bCs/>
          <w:sz w:val="24"/>
          <w:szCs w:val="24"/>
        </w:rPr>
      </w:pPr>
      <w:bookmarkStart w:id="6" w:name="_Toc988895"/>
      <w:r>
        <w:rPr>
          <w:rFonts w:ascii="宋体" w:hAnsi="宋体" w:eastAsia="宋体" w:cs="宋体"/>
          <w:b/>
          <w:bCs/>
          <w:sz w:val="24"/>
          <w:szCs w:val="24"/>
        </w:rPr>
        <w:t>五、其他有关资料</w:t>
      </w:r>
      <w:bookmarkEnd w:id="6"/>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公司聘请的会计师事务所</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会计师事务所名称</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立信会计师事务所（特殊普通合伙）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会计师事务所办公地址</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上海市黄浦区南京东路61号四楼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签字会计师姓名</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李新民、戴志敏</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公司聘请的报告期内履行持续督导职责的保荐机构</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公司聘请的报告期内履行持续督导职责的财务顾问</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320" w:lineRule="exact"/>
        <w:jc w:val="left"/>
        <w:outlineLvl w:val="1"/>
        <w:rPr>
          <w:rFonts w:ascii="宋体" w:hAnsi="宋体" w:eastAsia="宋体" w:cs="宋体"/>
          <w:b/>
          <w:bCs/>
          <w:sz w:val="24"/>
          <w:szCs w:val="24"/>
        </w:rPr>
      </w:pPr>
      <w:bookmarkStart w:id="7" w:name="_Toc988896"/>
      <w:r>
        <w:rPr>
          <w:rFonts w:ascii="宋体" w:hAnsi="宋体" w:eastAsia="宋体" w:cs="宋体"/>
          <w:b/>
          <w:bCs/>
          <w:sz w:val="24"/>
          <w:szCs w:val="24"/>
        </w:rPr>
        <w:t>六、主要会计数据和财务指标</w:t>
      </w:r>
      <w:bookmarkEnd w:id="7"/>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公司是否需追溯调整或重述以前年度会计数据</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是 □否</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追溯调整或重述原因</w:t>
      </w:r>
    </w:p>
    <w:p>
      <w:pPr>
        <w:spacing w:before="100" w:after="100" w:line="240" w:lineRule="exact"/>
        <w:jc w:val="left"/>
      </w:pPr>
      <w:r>
        <w:rPr>
          <w:rFonts w:ascii="宋体" w:hAnsi="宋体" w:eastAsia="宋体" w:cs="宋体"/>
          <w:sz w:val="18"/>
          <w:szCs w:val="18"/>
        </w:rPr>
        <w:t>会计政策变更</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239"/>
        <w:gridCol w:w="1440"/>
        <w:gridCol w:w="145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2024年</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2023年</w:t>
            </w:r>
          </w:p>
        </w:tc>
        <w:tc>
          <w:tcPr>
            <w:tcW w:w="123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本年比上年增减</w:t>
            </w:r>
          </w:p>
        </w:tc>
        <w:tc>
          <w:tcPr>
            <w:tcW w:w="289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2022年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调整前</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调整后</w:t>
            </w:r>
          </w:p>
        </w:tc>
        <w:tc>
          <w:tcPr>
            <w:tcW w:w="123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调整后</w:t>
            </w:r>
          </w:p>
        </w:tc>
        <w:tc>
          <w:tcPr>
            <w:tcW w:w="144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调整前</w:t>
            </w:r>
          </w:p>
        </w:tc>
        <w:tc>
          <w:tcPr>
            <w:tcW w:w="145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调整后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营业收入（元）</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ind w:left="-199" w:leftChars="-95" w:firstLine="0" w:firstLineChars="0"/>
              <w:jc w:val="right"/>
              <w:rPr>
                <w:rFonts w:ascii="宋体" w:hAnsi="宋体" w:eastAsia="宋体" w:cs="宋体"/>
                <w:sz w:val="18"/>
                <w:szCs w:val="18"/>
              </w:rPr>
            </w:pPr>
            <w:r>
              <w:rPr>
                <w:rFonts w:ascii="宋体" w:hAnsi="宋体" w:eastAsia="宋体" w:cs="宋体"/>
                <w:sz w:val="18"/>
                <w:szCs w:val="18"/>
              </w:rPr>
              <w:t>712,569,387.28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ind w:left="-199" w:leftChars="-95" w:firstLine="0" w:firstLineChars="0"/>
              <w:jc w:val="right"/>
              <w:rPr>
                <w:rFonts w:ascii="宋体" w:hAnsi="宋体" w:eastAsia="宋体" w:cs="宋体"/>
                <w:sz w:val="18"/>
                <w:szCs w:val="18"/>
              </w:rPr>
            </w:pPr>
            <w:r>
              <w:rPr>
                <w:rFonts w:ascii="宋体" w:hAnsi="宋体" w:eastAsia="宋体" w:cs="宋体"/>
                <w:sz w:val="18"/>
                <w:szCs w:val="18"/>
              </w:rPr>
              <w:t>591,057,966.96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ind w:left="-199" w:leftChars="-95" w:firstLine="0" w:firstLineChars="0"/>
              <w:jc w:val="right"/>
              <w:rPr>
                <w:rFonts w:ascii="宋体" w:hAnsi="宋体" w:eastAsia="宋体" w:cs="宋体"/>
                <w:sz w:val="18"/>
                <w:szCs w:val="18"/>
              </w:rPr>
            </w:pPr>
            <w:r>
              <w:rPr>
                <w:rFonts w:ascii="宋体" w:hAnsi="宋体" w:eastAsia="宋体" w:cs="宋体"/>
                <w:sz w:val="18"/>
                <w:szCs w:val="18"/>
              </w:rPr>
              <w:t>591,057,966.96</w:t>
            </w:r>
          </w:p>
        </w:tc>
        <w:tc>
          <w:tcPr>
            <w:tcW w:w="123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ind w:left="-199" w:leftChars="-95" w:firstLine="0" w:firstLineChars="0"/>
              <w:jc w:val="center"/>
              <w:rPr>
                <w:rFonts w:ascii="宋体" w:hAnsi="宋体" w:eastAsia="宋体" w:cs="宋体"/>
                <w:sz w:val="18"/>
                <w:szCs w:val="18"/>
              </w:rPr>
            </w:pPr>
            <w:r>
              <w:rPr>
                <w:rFonts w:ascii="宋体" w:hAnsi="宋体" w:eastAsia="宋体" w:cs="宋体"/>
                <w:sz w:val="18"/>
                <w:szCs w:val="18"/>
              </w:rPr>
              <w:t>20.56%</w:t>
            </w:r>
          </w:p>
        </w:tc>
        <w:tc>
          <w:tcPr>
            <w:tcW w:w="14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ind w:left="-199" w:leftChars="-95" w:firstLine="0" w:firstLineChars="0"/>
              <w:jc w:val="right"/>
              <w:rPr>
                <w:rFonts w:ascii="宋体" w:hAnsi="宋体" w:eastAsia="宋体" w:cs="宋体"/>
                <w:sz w:val="18"/>
                <w:szCs w:val="18"/>
              </w:rPr>
            </w:pPr>
            <w:r>
              <w:rPr>
                <w:rFonts w:ascii="宋体" w:hAnsi="宋体" w:eastAsia="宋体" w:cs="宋体"/>
                <w:sz w:val="18"/>
                <w:szCs w:val="18"/>
              </w:rPr>
              <w:t>557,416,594.58</w:t>
            </w:r>
          </w:p>
        </w:tc>
        <w:tc>
          <w:tcPr>
            <w:tcW w:w="145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ind w:left="-199" w:leftChars="-95" w:firstLine="0" w:firstLineChars="0"/>
              <w:jc w:val="right"/>
              <w:rPr>
                <w:rFonts w:ascii="宋体" w:hAnsi="宋体" w:eastAsia="宋体" w:cs="宋体"/>
                <w:sz w:val="18"/>
                <w:szCs w:val="18"/>
              </w:rPr>
            </w:pPr>
            <w:r>
              <w:rPr>
                <w:rFonts w:ascii="宋体" w:hAnsi="宋体" w:eastAsia="宋体" w:cs="宋体"/>
                <w:sz w:val="18"/>
                <w:szCs w:val="18"/>
              </w:rPr>
              <w:t>557,416,594.58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归属于上市公司股东的净利润（元）</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ind w:left="-199" w:leftChars="-95" w:firstLine="0" w:firstLineChars="0"/>
              <w:jc w:val="right"/>
              <w:rPr>
                <w:rFonts w:ascii="宋体" w:hAnsi="宋体" w:eastAsia="宋体" w:cs="宋体"/>
                <w:sz w:val="18"/>
                <w:szCs w:val="18"/>
              </w:rPr>
            </w:pPr>
            <w:r>
              <w:rPr>
                <w:rFonts w:ascii="宋体" w:hAnsi="宋体" w:eastAsia="宋体" w:cs="宋体"/>
                <w:sz w:val="18"/>
                <w:szCs w:val="18"/>
              </w:rPr>
              <w:t>-67,229,786.16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ind w:left="-199" w:leftChars="-95" w:firstLine="0" w:firstLineChars="0"/>
              <w:jc w:val="right"/>
              <w:rPr>
                <w:rFonts w:ascii="宋体" w:hAnsi="宋体" w:eastAsia="宋体" w:cs="宋体"/>
                <w:sz w:val="18"/>
                <w:szCs w:val="18"/>
              </w:rPr>
            </w:pPr>
            <w:r>
              <w:rPr>
                <w:rFonts w:ascii="宋体" w:hAnsi="宋体" w:eastAsia="宋体" w:cs="宋体"/>
                <w:sz w:val="18"/>
                <w:szCs w:val="18"/>
              </w:rPr>
              <w:t>29,275,440.07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ind w:left="-199" w:leftChars="-95" w:firstLine="0" w:firstLineChars="0"/>
              <w:jc w:val="right"/>
              <w:rPr>
                <w:rFonts w:ascii="宋体" w:hAnsi="宋体" w:eastAsia="宋体" w:cs="宋体"/>
                <w:sz w:val="18"/>
                <w:szCs w:val="18"/>
              </w:rPr>
            </w:pPr>
            <w:r>
              <w:rPr>
                <w:rFonts w:ascii="宋体" w:hAnsi="宋体" w:eastAsia="宋体" w:cs="宋体"/>
                <w:sz w:val="18"/>
                <w:szCs w:val="18"/>
              </w:rPr>
              <w:t>29,275,440.07</w:t>
            </w:r>
          </w:p>
        </w:tc>
        <w:tc>
          <w:tcPr>
            <w:tcW w:w="123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ind w:left="-199" w:leftChars="-95" w:firstLine="0" w:firstLineChars="0"/>
              <w:jc w:val="center"/>
              <w:rPr>
                <w:rFonts w:ascii="宋体" w:hAnsi="宋体" w:eastAsia="宋体" w:cs="宋体"/>
                <w:sz w:val="18"/>
                <w:szCs w:val="18"/>
              </w:rPr>
            </w:pPr>
            <w:r>
              <w:rPr>
                <w:rFonts w:ascii="宋体" w:hAnsi="宋体" w:eastAsia="宋体" w:cs="宋体"/>
                <w:sz w:val="18"/>
                <w:szCs w:val="18"/>
              </w:rPr>
              <w:t>-329.65%</w:t>
            </w:r>
          </w:p>
        </w:tc>
        <w:tc>
          <w:tcPr>
            <w:tcW w:w="14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ind w:left="-199" w:leftChars="-95" w:firstLine="0" w:firstLineChars="0"/>
              <w:jc w:val="right"/>
              <w:rPr>
                <w:rFonts w:ascii="宋体" w:hAnsi="宋体" w:eastAsia="宋体" w:cs="宋体"/>
                <w:sz w:val="18"/>
                <w:szCs w:val="18"/>
              </w:rPr>
            </w:pPr>
            <w:r>
              <w:rPr>
                <w:rFonts w:ascii="宋体" w:hAnsi="宋体" w:eastAsia="宋体" w:cs="宋体"/>
                <w:sz w:val="18"/>
                <w:szCs w:val="18"/>
              </w:rPr>
              <w:t>23,949,127.10</w:t>
            </w:r>
          </w:p>
        </w:tc>
        <w:tc>
          <w:tcPr>
            <w:tcW w:w="145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ind w:left="-199" w:leftChars="-95" w:firstLine="0" w:firstLineChars="0"/>
              <w:jc w:val="right"/>
              <w:rPr>
                <w:rFonts w:ascii="宋体" w:hAnsi="宋体" w:eastAsia="宋体" w:cs="宋体"/>
                <w:sz w:val="18"/>
                <w:szCs w:val="18"/>
              </w:rPr>
            </w:pPr>
            <w:r>
              <w:rPr>
                <w:rFonts w:ascii="宋体" w:hAnsi="宋体" w:eastAsia="宋体" w:cs="宋体"/>
                <w:sz w:val="18"/>
                <w:szCs w:val="18"/>
              </w:rPr>
              <w:t>23,949,127.10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归属于上市公司股东的扣除非经常性损益的净利润（元）</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ind w:left="-199" w:leftChars="-95" w:firstLine="0" w:firstLineChars="0"/>
              <w:jc w:val="right"/>
              <w:rPr>
                <w:rFonts w:ascii="宋体" w:hAnsi="宋体" w:eastAsia="宋体" w:cs="宋体"/>
                <w:sz w:val="18"/>
                <w:szCs w:val="18"/>
              </w:rPr>
            </w:pPr>
            <w:r>
              <w:rPr>
                <w:rFonts w:ascii="宋体" w:hAnsi="宋体" w:eastAsia="宋体" w:cs="宋体"/>
                <w:sz w:val="18"/>
                <w:szCs w:val="18"/>
              </w:rPr>
              <w:t>-94,766,259.71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ind w:left="-199" w:leftChars="-95" w:firstLine="0" w:firstLineChars="0"/>
              <w:jc w:val="right"/>
              <w:rPr>
                <w:rFonts w:ascii="宋体" w:hAnsi="宋体" w:eastAsia="宋体" w:cs="宋体"/>
                <w:sz w:val="18"/>
                <w:szCs w:val="18"/>
              </w:rPr>
            </w:pPr>
            <w:r>
              <w:rPr>
                <w:rFonts w:ascii="宋体" w:hAnsi="宋体" w:eastAsia="宋体" w:cs="宋体"/>
                <w:sz w:val="18"/>
                <w:szCs w:val="18"/>
              </w:rPr>
              <w:t>1,218,090.07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ind w:left="-199" w:leftChars="-95" w:firstLine="0" w:firstLineChars="0"/>
              <w:jc w:val="right"/>
              <w:rPr>
                <w:rFonts w:ascii="宋体" w:hAnsi="宋体" w:eastAsia="宋体" w:cs="宋体"/>
                <w:sz w:val="18"/>
                <w:szCs w:val="18"/>
              </w:rPr>
            </w:pPr>
            <w:r>
              <w:rPr>
                <w:rFonts w:ascii="宋体" w:hAnsi="宋体" w:eastAsia="宋体" w:cs="宋体"/>
                <w:sz w:val="18"/>
                <w:szCs w:val="18"/>
              </w:rPr>
              <w:t>1,218,090.07</w:t>
            </w:r>
          </w:p>
        </w:tc>
        <w:tc>
          <w:tcPr>
            <w:tcW w:w="123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ind w:left="-199" w:leftChars="-95" w:firstLine="0" w:firstLineChars="0"/>
              <w:jc w:val="center"/>
              <w:rPr>
                <w:rFonts w:ascii="宋体" w:hAnsi="宋体" w:eastAsia="宋体" w:cs="宋体"/>
                <w:sz w:val="18"/>
                <w:szCs w:val="18"/>
              </w:rPr>
            </w:pPr>
            <w:r>
              <w:rPr>
                <w:rFonts w:ascii="宋体" w:hAnsi="宋体" w:eastAsia="宋体" w:cs="宋体"/>
                <w:sz w:val="18"/>
                <w:szCs w:val="18"/>
              </w:rPr>
              <w:t>-7,879.91%</w:t>
            </w:r>
          </w:p>
        </w:tc>
        <w:tc>
          <w:tcPr>
            <w:tcW w:w="14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ind w:left="-199" w:leftChars="-95" w:firstLine="0" w:firstLineChars="0"/>
              <w:jc w:val="right"/>
              <w:rPr>
                <w:rFonts w:ascii="宋体" w:hAnsi="宋体" w:eastAsia="宋体" w:cs="宋体"/>
                <w:sz w:val="18"/>
                <w:szCs w:val="18"/>
              </w:rPr>
            </w:pPr>
            <w:r>
              <w:rPr>
                <w:rFonts w:ascii="宋体" w:hAnsi="宋体" w:eastAsia="宋体" w:cs="宋体"/>
                <w:sz w:val="18"/>
                <w:szCs w:val="18"/>
              </w:rPr>
              <w:t>1,002,919.13</w:t>
            </w:r>
          </w:p>
        </w:tc>
        <w:tc>
          <w:tcPr>
            <w:tcW w:w="145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ind w:left="-199" w:leftChars="-95" w:firstLine="0" w:firstLineChars="0"/>
              <w:jc w:val="right"/>
              <w:rPr>
                <w:rFonts w:ascii="宋体" w:hAnsi="宋体" w:eastAsia="宋体" w:cs="宋体"/>
                <w:sz w:val="18"/>
                <w:szCs w:val="18"/>
              </w:rPr>
            </w:pPr>
            <w:r>
              <w:rPr>
                <w:rFonts w:ascii="宋体" w:hAnsi="宋体" w:eastAsia="宋体" w:cs="宋体"/>
                <w:sz w:val="18"/>
                <w:szCs w:val="18"/>
              </w:rPr>
              <w:t>1,002,919.13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经营活动产生的现金流量净额（元）</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ind w:left="-199" w:leftChars="-95" w:firstLine="0" w:firstLineChars="0"/>
              <w:jc w:val="right"/>
              <w:rPr>
                <w:rFonts w:ascii="宋体" w:hAnsi="宋体" w:eastAsia="宋体" w:cs="宋体"/>
                <w:sz w:val="18"/>
                <w:szCs w:val="18"/>
              </w:rPr>
            </w:pPr>
            <w:r>
              <w:rPr>
                <w:rFonts w:ascii="宋体" w:hAnsi="宋体" w:eastAsia="宋体" w:cs="宋体"/>
                <w:sz w:val="18"/>
                <w:szCs w:val="18"/>
              </w:rPr>
              <w:t>58,985,681.62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ind w:left="-199" w:leftChars="-95" w:firstLine="0" w:firstLineChars="0"/>
              <w:jc w:val="right"/>
              <w:rPr>
                <w:rFonts w:ascii="宋体" w:hAnsi="宋体" w:eastAsia="宋体" w:cs="宋体"/>
                <w:sz w:val="18"/>
                <w:szCs w:val="18"/>
              </w:rPr>
            </w:pPr>
            <w:r>
              <w:rPr>
                <w:rFonts w:ascii="宋体" w:hAnsi="宋体" w:eastAsia="宋体" w:cs="宋体"/>
                <w:sz w:val="18"/>
                <w:szCs w:val="18"/>
              </w:rPr>
              <w:t>14,324,899.54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ind w:left="-199" w:leftChars="-95" w:firstLine="0" w:firstLineChars="0"/>
              <w:jc w:val="right"/>
              <w:rPr>
                <w:rFonts w:ascii="宋体" w:hAnsi="宋体" w:eastAsia="宋体" w:cs="宋体"/>
                <w:sz w:val="18"/>
                <w:szCs w:val="18"/>
              </w:rPr>
            </w:pPr>
            <w:r>
              <w:rPr>
                <w:rFonts w:ascii="宋体" w:hAnsi="宋体" w:eastAsia="宋体" w:cs="宋体"/>
                <w:sz w:val="18"/>
                <w:szCs w:val="18"/>
              </w:rPr>
              <w:t>14,324,899.54</w:t>
            </w:r>
          </w:p>
        </w:tc>
        <w:tc>
          <w:tcPr>
            <w:tcW w:w="123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ind w:left="-199" w:leftChars="-95" w:firstLine="0" w:firstLineChars="0"/>
              <w:jc w:val="center"/>
              <w:rPr>
                <w:rFonts w:ascii="宋体" w:hAnsi="宋体" w:eastAsia="宋体" w:cs="宋体"/>
                <w:sz w:val="18"/>
                <w:szCs w:val="18"/>
              </w:rPr>
            </w:pPr>
            <w:r>
              <w:rPr>
                <w:rFonts w:ascii="宋体" w:hAnsi="宋体" w:eastAsia="宋体" w:cs="宋体"/>
                <w:sz w:val="18"/>
                <w:szCs w:val="18"/>
              </w:rPr>
              <w:t>311.77%</w:t>
            </w:r>
          </w:p>
        </w:tc>
        <w:tc>
          <w:tcPr>
            <w:tcW w:w="14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ind w:left="-199" w:leftChars="-95" w:firstLine="0" w:firstLineChars="0"/>
              <w:jc w:val="right"/>
              <w:rPr>
                <w:rFonts w:ascii="宋体" w:hAnsi="宋体" w:eastAsia="宋体" w:cs="宋体"/>
                <w:sz w:val="18"/>
                <w:szCs w:val="18"/>
              </w:rPr>
            </w:pPr>
            <w:r>
              <w:rPr>
                <w:rFonts w:ascii="宋体" w:hAnsi="宋体" w:eastAsia="宋体" w:cs="宋体"/>
                <w:sz w:val="18"/>
                <w:szCs w:val="18"/>
              </w:rPr>
              <w:t>43,349,602.06</w:t>
            </w:r>
          </w:p>
        </w:tc>
        <w:tc>
          <w:tcPr>
            <w:tcW w:w="145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ind w:left="-199" w:leftChars="-95" w:firstLine="0" w:firstLineChars="0"/>
              <w:jc w:val="right"/>
              <w:rPr>
                <w:rFonts w:ascii="宋体" w:hAnsi="宋体" w:eastAsia="宋体" w:cs="宋体"/>
                <w:sz w:val="18"/>
                <w:szCs w:val="18"/>
              </w:rPr>
            </w:pPr>
            <w:r>
              <w:rPr>
                <w:rFonts w:ascii="宋体" w:hAnsi="宋体" w:eastAsia="宋体" w:cs="宋体"/>
                <w:sz w:val="18"/>
                <w:szCs w:val="18"/>
              </w:rPr>
              <w:t>43,349,602.06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基本每股收益（元/股）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-0.1173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0.0511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0.0511</w:t>
            </w:r>
          </w:p>
        </w:tc>
        <w:tc>
          <w:tcPr>
            <w:tcW w:w="123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-329.55%</w:t>
            </w:r>
          </w:p>
        </w:tc>
        <w:tc>
          <w:tcPr>
            <w:tcW w:w="14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0.0418</w:t>
            </w:r>
          </w:p>
        </w:tc>
        <w:tc>
          <w:tcPr>
            <w:tcW w:w="145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0.0418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稀释每股收益（元/股）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-0.1173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0.0511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0.0511</w:t>
            </w:r>
          </w:p>
        </w:tc>
        <w:tc>
          <w:tcPr>
            <w:tcW w:w="123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-329.55%</w:t>
            </w:r>
          </w:p>
        </w:tc>
        <w:tc>
          <w:tcPr>
            <w:tcW w:w="14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0.0418</w:t>
            </w:r>
          </w:p>
        </w:tc>
        <w:tc>
          <w:tcPr>
            <w:tcW w:w="145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0.0418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加权平均净资产收益率</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1.39%</w:t>
            </w:r>
          </w:p>
        </w:tc>
        <w:tc>
          <w:tcPr>
            <w:tcW w:w="123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-4.62%</w:t>
            </w:r>
          </w:p>
        </w:tc>
        <w:tc>
          <w:tcPr>
            <w:tcW w:w="14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1.16%</w:t>
            </w:r>
          </w:p>
        </w:tc>
        <w:tc>
          <w:tcPr>
            <w:tcW w:w="145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35"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2024年末</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2023年末</w:t>
            </w:r>
          </w:p>
        </w:tc>
        <w:tc>
          <w:tcPr>
            <w:tcW w:w="123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本年末比上年末增减</w:t>
            </w:r>
          </w:p>
        </w:tc>
        <w:tc>
          <w:tcPr>
            <w:tcW w:w="289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2022年末</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调整前</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调整后</w:t>
            </w:r>
          </w:p>
        </w:tc>
        <w:tc>
          <w:tcPr>
            <w:tcW w:w="123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调整后</w:t>
            </w:r>
          </w:p>
        </w:tc>
        <w:tc>
          <w:tcPr>
            <w:tcW w:w="144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调整前</w:t>
            </w:r>
          </w:p>
        </w:tc>
        <w:tc>
          <w:tcPr>
            <w:tcW w:w="145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调整后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总资产（元）</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2,959,093,800.40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2,858,765,260.94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2,858,765,260.94</w:t>
            </w:r>
          </w:p>
        </w:tc>
        <w:tc>
          <w:tcPr>
            <w:tcW w:w="123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3.51%</w:t>
            </w:r>
          </w:p>
        </w:tc>
        <w:tc>
          <w:tcPr>
            <w:tcW w:w="14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2,685,958,277.62</w:t>
            </w:r>
          </w:p>
        </w:tc>
        <w:tc>
          <w:tcPr>
            <w:tcW w:w="145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2,685,958,277.62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归属于上市公司股东的净资产（元）</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2,051,550,964.21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2,121,710,261.36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2,121,710,261.36</w:t>
            </w:r>
          </w:p>
        </w:tc>
        <w:tc>
          <w:tcPr>
            <w:tcW w:w="123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-3.31%</w:t>
            </w:r>
          </w:p>
        </w:tc>
        <w:tc>
          <w:tcPr>
            <w:tcW w:w="14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2,089,201,139.12</w:t>
            </w:r>
          </w:p>
        </w:tc>
        <w:tc>
          <w:tcPr>
            <w:tcW w:w="145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2,089,201,139.12</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会计政策变更的原因及会计差错更正的情况</w:t>
      </w:r>
    </w:p>
    <w:p>
      <w:pPr>
        <w:spacing w:before="100" w:after="100" w:line="240" w:lineRule="exact"/>
        <w:jc w:val="left"/>
        <w:rPr>
          <w:rFonts w:hint="eastAsia" w:ascii="宋体" w:hAnsi="宋体" w:eastAsia="宋体" w:cs="宋体"/>
          <w:sz w:val="18"/>
          <w:szCs w:val="18"/>
        </w:rPr>
      </w:pPr>
      <w:bookmarkStart w:id="8" w:name="OLE_LINK18"/>
      <w:r>
        <w:rPr>
          <w:rFonts w:hint="eastAsia" w:ascii="宋体" w:hAnsi="宋体" w:eastAsia="宋体" w:cs="宋体"/>
          <w:sz w:val="18"/>
          <w:szCs w:val="18"/>
        </w:rPr>
        <w:t>公司自2024年度起执行财政部《企业会计准则解释第18号》“关于不属于单项履约义务的保证类质量保证的会计处理”的规定。并在首次执行该解释内容时，如原计提保证类质量保证时计入“销售费用”等的，按照会计政策变更进行追溯调整。公司会计政策变更及追溯调整更加客观、公允地反映</w:t>
      </w:r>
      <w:r>
        <w:rPr>
          <w:rFonts w:hint="eastAsia" w:ascii="宋体" w:hAnsi="宋体" w:cs="宋体"/>
          <w:sz w:val="18"/>
          <w:szCs w:val="18"/>
          <w:lang w:eastAsia="zh-CN"/>
        </w:rPr>
        <w:t>了</w:t>
      </w:r>
      <w:r>
        <w:rPr>
          <w:rFonts w:hint="eastAsia" w:ascii="宋体" w:hAnsi="宋体" w:eastAsia="宋体" w:cs="宋体"/>
          <w:sz w:val="18"/>
          <w:szCs w:val="18"/>
        </w:rPr>
        <w:t xml:space="preserve">公司的财务状况和经营成果，符合相关法律法规的规定及公司实际情况，未对公司财务状况、经营成果和现金流量产生重大影响。 </w:t>
      </w:r>
    </w:p>
    <w:bookmarkEnd w:id="8"/>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公司最近三个会计年度扣除非经常性损益前后净利润孰低者均为负值，且最近一年审计报告显示公司持续经营能力存在不确定性</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扣除非经常损益前后的净利润孰低者为负值</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0052"/>
      </w:r>
      <w:r>
        <w:rPr>
          <w:rFonts w:ascii="宋体" w:hAnsi="宋体" w:eastAsia="宋体" w:cs="宋体"/>
          <w:sz w:val="18"/>
          <w:szCs w:val="18"/>
        </w:rPr>
        <w:t xml:space="preserve">是 </w:t>
      </w:r>
      <w:r>
        <w:rPr>
          <w:rFonts w:ascii="宋体" w:hAnsi="宋体" w:eastAsia="宋体" w:cs="宋体"/>
          <w:sz w:val="18"/>
          <w:szCs w:val="18"/>
        </w:rPr>
        <w:sym w:font="Wingdings 2" w:char="00A3"/>
      </w:r>
      <w:r>
        <w:rPr>
          <w:rFonts w:ascii="宋体" w:hAnsi="宋体" w:eastAsia="宋体" w:cs="宋体"/>
          <w:sz w:val="18"/>
          <w:szCs w:val="18"/>
        </w:rPr>
        <w:t>否</w:t>
      </w:r>
    </w:p>
    <w:tbl>
      <w:tblPr>
        <w:tblStyle w:val="5"/>
        <w:tblW w:w="965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693"/>
        <w:gridCol w:w="1688"/>
        <w:gridCol w:w="1882"/>
        <w:gridCol w:w="1556"/>
        <w:gridCol w:w="18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693"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shd w:val="clear" w:color="auto" w:fill="auto"/>
              </w:rPr>
            </w:pPr>
            <w:r>
              <w:rPr>
                <w:rFonts w:hint="eastAsia" w:ascii="宋体" w:hAnsi="宋体" w:eastAsia="宋体" w:cs="宋体"/>
                <w:i w:val="0"/>
                <w:iCs w:val="0"/>
                <w:color w:val="auto"/>
                <w:kern w:val="0"/>
                <w:sz w:val="18"/>
                <w:szCs w:val="18"/>
                <w:highlight w:val="none"/>
                <w:u w:val="none"/>
                <w:shd w:val="clear" w:color="auto" w:fill="auto"/>
                <w:lang w:val="en-US" w:eastAsia="zh-CN" w:bidi="ar"/>
              </w:rPr>
              <w:t>项目</w:t>
            </w:r>
          </w:p>
        </w:tc>
        <w:tc>
          <w:tcPr>
            <w:tcW w:w="1688"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shd w:val="clear" w:color="auto" w:fill="auto"/>
              </w:rPr>
            </w:pPr>
            <w:r>
              <w:rPr>
                <w:rFonts w:hint="eastAsia" w:ascii="宋体" w:hAnsi="宋体" w:eastAsia="宋体" w:cs="宋体"/>
                <w:i w:val="0"/>
                <w:iCs w:val="0"/>
                <w:color w:val="auto"/>
                <w:kern w:val="0"/>
                <w:sz w:val="18"/>
                <w:szCs w:val="18"/>
                <w:highlight w:val="none"/>
                <w:u w:val="none"/>
                <w:shd w:val="clear" w:color="auto" w:fill="auto"/>
                <w:lang w:val="en-US" w:eastAsia="zh-CN" w:bidi="ar"/>
              </w:rPr>
              <w:t>本年度</w:t>
            </w:r>
          </w:p>
        </w:tc>
        <w:tc>
          <w:tcPr>
            <w:tcW w:w="1882"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shd w:val="clear" w:color="auto" w:fill="auto"/>
              </w:rPr>
            </w:pPr>
            <w:r>
              <w:rPr>
                <w:rFonts w:hint="eastAsia" w:ascii="宋体" w:hAnsi="宋体" w:eastAsia="宋体" w:cs="宋体"/>
                <w:i w:val="0"/>
                <w:iCs w:val="0"/>
                <w:color w:val="auto"/>
                <w:kern w:val="0"/>
                <w:sz w:val="18"/>
                <w:szCs w:val="18"/>
                <w:highlight w:val="none"/>
                <w:u w:val="none"/>
                <w:shd w:val="clear" w:color="auto" w:fill="auto"/>
                <w:lang w:val="en-US" w:eastAsia="zh-CN" w:bidi="ar"/>
              </w:rPr>
              <w:t>具体扣除情况</w:t>
            </w:r>
          </w:p>
        </w:tc>
        <w:tc>
          <w:tcPr>
            <w:tcW w:w="155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shd w:val="clear" w:color="auto" w:fill="auto"/>
              </w:rPr>
            </w:pPr>
            <w:r>
              <w:rPr>
                <w:rFonts w:hint="eastAsia" w:ascii="宋体" w:hAnsi="宋体" w:eastAsia="宋体" w:cs="宋体"/>
                <w:i w:val="0"/>
                <w:iCs w:val="0"/>
                <w:color w:val="auto"/>
                <w:kern w:val="0"/>
                <w:sz w:val="18"/>
                <w:szCs w:val="18"/>
                <w:highlight w:val="none"/>
                <w:u w:val="none"/>
                <w:shd w:val="clear" w:color="auto" w:fill="auto"/>
                <w:lang w:val="en-US" w:eastAsia="zh-CN" w:bidi="ar"/>
              </w:rPr>
              <w:t>上年度</w:t>
            </w:r>
          </w:p>
        </w:tc>
        <w:tc>
          <w:tcPr>
            <w:tcW w:w="1834"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shd w:val="clear" w:color="auto" w:fill="auto"/>
              </w:rPr>
            </w:pPr>
            <w:r>
              <w:rPr>
                <w:rFonts w:hint="eastAsia" w:ascii="宋体" w:hAnsi="宋体" w:eastAsia="宋体" w:cs="宋体"/>
                <w:i w:val="0"/>
                <w:iCs w:val="0"/>
                <w:color w:val="auto"/>
                <w:kern w:val="0"/>
                <w:sz w:val="18"/>
                <w:szCs w:val="18"/>
                <w:highlight w:val="none"/>
                <w:u w:val="none"/>
                <w:shd w:val="clear" w:color="auto" w:fill="auto"/>
                <w:lang w:val="en-US" w:eastAsia="zh-CN" w:bidi="ar"/>
              </w:rPr>
              <w:t>具体扣除情况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693"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shd w:val="clear" w:color="auto" w:fill="auto"/>
              </w:rPr>
            </w:pPr>
            <w:r>
              <w:rPr>
                <w:rFonts w:hint="eastAsia" w:ascii="宋体" w:hAnsi="宋体" w:eastAsia="宋体" w:cs="宋体"/>
                <w:i w:val="0"/>
                <w:iCs w:val="0"/>
                <w:color w:val="auto"/>
                <w:kern w:val="0"/>
                <w:sz w:val="18"/>
                <w:szCs w:val="18"/>
                <w:highlight w:val="none"/>
                <w:u w:val="none"/>
                <w:shd w:val="clear" w:color="auto" w:fill="auto"/>
                <w:lang w:val="en-US" w:eastAsia="zh-CN" w:bidi="ar"/>
              </w:rPr>
              <w:t>营业收入金额</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right"/>
              <w:textAlignment w:val="center"/>
              <w:rPr>
                <w:rFonts w:hint="eastAsia" w:ascii="宋体" w:hAnsi="宋体" w:eastAsia="宋体" w:cs="宋体"/>
                <w:i w:val="0"/>
                <w:iCs w:val="0"/>
                <w:color w:val="auto"/>
                <w:sz w:val="18"/>
                <w:szCs w:val="18"/>
                <w:highlight w:val="none"/>
                <w:u w:val="none"/>
                <w:shd w:val="clear" w:color="auto" w:fill="auto"/>
              </w:rPr>
            </w:pPr>
            <w:r>
              <w:rPr>
                <w:rFonts w:hint="eastAsia" w:ascii="宋体" w:hAnsi="宋体" w:eastAsia="宋体" w:cs="宋体"/>
                <w:i w:val="0"/>
                <w:iCs w:val="0"/>
                <w:color w:val="auto"/>
                <w:kern w:val="0"/>
                <w:sz w:val="18"/>
                <w:szCs w:val="18"/>
                <w:highlight w:val="none"/>
                <w:u w:val="none"/>
                <w:shd w:val="clear" w:color="auto" w:fill="auto"/>
                <w:lang w:val="en-US" w:eastAsia="zh-CN" w:bidi="ar"/>
              </w:rPr>
              <w:t>712,569,387.28</w:t>
            </w:r>
          </w:p>
        </w:tc>
        <w:tc>
          <w:tcPr>
            <w:tcW w:w="188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left"/>
              <w:rPr>
                <w:rFonts w:hint="eastAsia" w:ascii="宋体" w:hAnsi="宋体" w:eastAsia="宋体" w:cs="宋体"/>
                <w:i w:val="0"/>
                <w:iCs w:val="0"/>
                <w:color w:val="auto"/>
                <w:sz w:val="18"/>
                <w:szCs w:val="18"/>
                <w:highlight w:val="none"/>
                <w:u w:val="none"/>
                <w:shd w:val="clear" w:color="auto" w:fill="auto"/>
              </w:rPr>
            </w:pPr>
            <w:r>
              <w:rPr>
                <w:rFonts w:hint="eastAsia" w:ascii="宋体" w:hAnsi="宋体" w:eastAsia="宋体" w:cs="宋体"/>
                <w:i w:val="0"/>
                <w:iCs w:val="0"/>
                <w:caps w:val="0"/>
                <w:color w:val="auto"/>
                <w:spacing w:val="0"/>
                <w:sz w:val="18"/>
                <w:szCs w:val="18"/>
                <w:highlight w:val="none"/>
                <w:shd w:val="clear" w:color="auto" w:fill="auto"/>
              </w:rPr>
              <w:t>营业收入总额</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right"/>
              <w:textAlignment w:val="center"/>
              <w:rPr>
                <w:rFonts w:hint="eastAsia" w:ascii="宋体" w:hAnsi="宋体" w:eastAsia="宋体" w:cs="宋体"/>
                <w:i w:val="0"/>
                <w:iCs w:val="0"/>
                <w:color w:val="auto"/>
                <w:sz w:val="18"/>
                <w:szCs w:val="18"/>
                <w:highlight w:val="none"/>
                <w:u w:val="none"/>
                <w:shd w:val="clear" w:color="auto" w:fill="auto"/>
              </w:rPr>
            </w:pPr>
            <w:r>
              <w:rPr>
                <w:rFonts w:hint="eastAsia" w:ascii="宋体" w:hAnsi="宋体" w:eastAsia="宋体" w:cs="宋体"/>
                <w:i w:val="0"/>
                <w:iCs w:val="0"/>
                <w:color w:val="auto"/>
                <w:kern w:val="0"/>
                <w:sz w:val="18"/>
                <w:szCs w:val="18"/>
                <w:highlight w:val="none"/>
                <w:u w:val="none"/>
                <w:shd w:val="clear" w:color="auto" w:fill="auto"/>
                <w:lang w:val="en-US" w:eastAsia="zh-CN" w:bidi="ar"/>
              </w:rPr>
              <w:t>591,057,966.96</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left"/>
              <w:rPr>
                <w:rFonts w:hint="eastAsia" w:ascii="宋体" w:hAnsi="宋体" w:eastAsia="宋体" w:cs="宋体"/>
                <w:i w:val="0"/>
                <w:iCs w:val="0"/>
                <w:color w:val="auto"/>
                <w:sz w:val="18"/>
                <w:szCs w:val="18"/>
                <w:highlight w:val="none"/>
                <w:u w:val="none"/>
                <w:shd w:val="clear" w:color="auto" w:fill="auto"/>
              </w:rPr>
            </w:pPr>
            <w:r>
              <w:rPr>
                <w:rFonts w:hint="eastAsia" w:ascii="宋体" w:hAnsi="宋体" w:eastAsia="宋体" w:cs="宋体"/>
                <w:i w:val="0"/>
                <w:iCs w:val="0"/>
                <w:caps w:val="0"/>
                <w:color w:val="auto"/>
                <w:spacing w:val="0"/>
                <w:sz w:val="18"/>
                <w:szCs w:val="18"/>
                <w:highlight w:val="none"/>
                <w:shd w:val="clear" w:color="auto" w:fill="auto"/>
              </w:rPr>
              <w:t>营业收入总额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693"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shd w:val="clear" w:color="auto" w:fill="auto"/>
              </w:rPr>
            </w:pPr>
            <w:r>
              <w:rPr>
                <w:rFonts w:hint="eastAsia" w:ascii="宋体" w:hAnsi="宋体" w:eastAsia="宋体" w:cs="宋体"/>
                <w:i w:val="0"/>
                <w:iCs w:val="0"/>
                <w:color w:val="auto"/>
                <w:kern w:val="0"/>
                <w:sz w:val="18"/>
                <w:szCs w:val="18"/>
                <w:highlight w:val="none"/>
                <w:u w:val="none"/>
                <w:shd w:val="clear" w:color="auto" w:fill="auto"/>
                <w:lang w:val="en-US" w:eastAsia="zh-CN" w:bidi="ar"/>
              </w:rPr>
              <w:t>营业收入扣除项目合计金额</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right"/>
              <w:textAlignment w:val="center"/>
              <w:rPr>
                <w:rFonts w:hint="eastAsia" w:ascii="宋体" w:hAnsi="宋体" w:eastAsia="宋体" w:cs="宋体"/>
                <w:i w:val="0"/>
                <w:iCs w:val="0"/>
                <w:color w:val="auto"/>
                <w:sz w:val="18"/>
                <w:szCs w:val="18"/>
                <w:highlight w:val="none"/>
                <w:u w:val="none"/>
                <w:shd w:val="clear" w:color="auto" w:fill="auto"/>
              </w:rPr>
            </w:pPr>
            <w:r>
              <w:rPr>
                <w:rFonts w:hint="eastAsia" w:ascii="宋体" w:hAnsi="宋体" w:eastAsia="宋体" w:cs="宋体"/>
                <w:i w:val="0"/>
                <w:iCs w:val="0"/>
                <w:color w:val="auto"/>
                <w:kern w:val="0"/>
                <w:sz w:val="18"/>
                <w:szCs w:val="18"/>
                <w:highlight w:val="none"/>
                <w:u w:val="none"/>
                <w:shd w:val="clear" w:color="auto" w:fill="auto"/>
                <w:lang w:val="en-US" w:eastAsia="zh-CN" w:bidi="ar"/>
              </w:rPr>
              <w:t>62,664,918.69</w:t>
            </w:r>
          </w:p>
        </w:tc>
        <w:tc>
          <w:tcPr>
            <w:tcW w:w="188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left"/>
              <w:rPr>
                <w:rFonts w:hint="eastAsia" w:ascii="宋体" w:hAnsi="宋体" w:eastAsia="宋体" w:cs="宋体"/>
                <w:i w:val="0"/>
                <w:iCs w:val="0"/>
                <w:color w:val="auto"/>
                <w:sz w:val="18"/>
                <w:szCs w:val="18"/>
                <w:highlight w:val="none"/>
                <w:u w:val="none"/>
                <w:shd w:val="clear" w:color="auto" w:fill="auto"/>
              </w:rPr>
            </w:pPr>
            <w:r>
              <w:rPr>
                <w:rFonts w:hint="eastAsia" w:ascii="宋体" w:hAnsi="宋体" w:eastAsia="宋体" w:cs="宋体"/>
                <w:i w:val="0"/>
                <w:iCs w:val="0"/>
                <w:caps w:val="0"/>
                <w:color w:val="auto"/>
                <w:spacing w:val="0"/>
                <w:sz w:val="18"/>
                <w:szCs w:val="18"/>
                <w:highlight w:val="none"/>
                <w:shd w:val="clear" w:color="auto" w:fill="auto"/>
              </w:rPr>
              <w:t>出租固定资产、咨询服务、销售材料、产品增值税退税、产品</w:t>
            </w:r>
            <w:r>
              <w:rPr>
                <w:rFonts w:hint="eastAsia" w:ascii="宋体" w:hAnsi="宋体" w:cs="宋体"/>
                <w:i w:val="0"/>
                <w:iCs w:val="0"/>
                <w:caps w:val="0"/>
                <w:color w:val="auto"/>
                <w:spacing w:val="0"/>
                <w:sz w:val="18"/>
                <w:szCs w:val="18"/>
                <w:highlight w:val="none"/>
                <w:shd w:val="clear" w:color="auto" w:fill="auto"/>
                <w:lang w:eastAsia="zh-CN"/>
              </w:rPr>
              <w:t>补</w:t>
            </w:r>
            <w:r>
              <w:rPr>
                <w:rFonts w:hint="eastAsia" w:ascii="宋体" w:hAnsi="宋体" w:eastAsia="宋体" w:cs="宋体"/>
                <w:i w:val="0"/>
                <w:iCs w:val="0"/>
                <w:caps w:val="0"/>
                <w:color w:val="auto"/>
                <w:spacing w:val="0"/>
                <w:sz w:val="18"/>
                <w:szCs w:val="18"/>
                <w:highlight w:val="none"/>
                <w:shd w:val="clear" w:color="auto" w:fill="auto"/>
              </w:rPr>
              <w:t>价差收入</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right"/>
              <w:textAlignment w:val="center"/>
              <w:rPr>
                <w:rFonts w:hint="eastAsia" w:ascii="宋体" w:hAnsi="宋体" w:eastAsia="宋体" w:cs="宋体"/>
                <w:i w:val="0"/>
                <w:iCs w:val="0"/>
                <w:color w:val="auto"/>
                <w:sz w:val="18"/>
                <w:szCs w:val="18"/>
                <w:highlight w:val="none"/>
                <w:u w:val="none"/>
                <w:shd w:val="clear" w:color="auto" w:fill="auto"/>
              </w:rPr>
            </w:pPr>
            <w:r>
              <w:rPr>
                <w:rFonts w:hint="eastAsia" w:ascii="宋体" w:hAnsi="宋体" w:eastAsia="宋体" w:cs="宋体"/>
                <w:i w:val="0"/>
                <w:iCs w:val="0"/>
                <w:color w:val="auto"/>
                <w:kern w:val="0"/>
                <w:sz w:val="18"/>
                <w:szCs w:val="18"/>
                <w:highlight w:val="none"/>
                <w:u w:val="none"/>
                <w:shd w:val="clear" w:color="auto" w:fill="auto"/>
                <w:lang w:val="en-US" w:eastAsia="zh-CN" w:bidi="ar"/>
              </w:rPr>
              <w:t>23,779,003.51</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left"/>
              <w:rPr>
                <w:rFonts w:hint="eastAsia" w:ascii="宋体" w:hAnsi="宋体" w:eastAsia="宋体" w:cs="宋体"/>
                <w:i w:val="0"/>
                <w:iCs w:val="0"/>
                <w:color w:val="auto"/>
                <w:sz w:val="18"/>
                <w:szCs w:val="18"/>
                <w:highlight w:val="none"/>
                <w:u w:val="none"/>
                <w:shd w:val="clear" w:color="auto" w:fill="auto"/>
              </w:rPr>
            </w:pPr>
            <w:r>
              <w:rPr>
                <w:rFonts w:hint="eastAsia" w:ascii="宋体" w:hAnsi="宋体" w:eastAsia="宋体" w:cs="宋体"/>
                <w:i w:val="0"/>
                <w:iCs w:val="0"/>
                <w:caps w:val="0"/>
                <w:color w:val="auto"/>
                <w:spacing w:val="0"/>
                <w:sz w:val="18"/>
                <w:szCs w:val="18"/>
                <w:highlight w:val="none"/>
                <w:shd w:val="clear" w:color="auto" w:fill="auto"/>
              </w:rPr>
              <w:t>出租固定资产、咨询服务、销售材料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693"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shd w:val="clear" w:color="auto" w:fill="auto"/>
              </w:rPr>
            </w:pPr>
            <w:r>
              <w:rPr>
                <w:rFonts w:hint="eastAsia" w:ascii="宋体" w:hAnsi="宋体" w:eastAsia="宋体" w:cs="宋体"/>
                <w:i w:val="0"/>
                <w:iCs w:val="0"/>
                <w:color w:val="auto"/>
                <w:kern w:val="0"/>
                <w:sz w:val="18"/>
                <w:szCs w:val="18"/>
                <w:highlight w:val="none"/>
                <w:u w:val="none"/>
                <w:shd w:val="clear" w:color="auto" w:fill="auto"/>
                <w:lang w:val="en-US" w:eastAsia="zh-CN" w:bidi="ar"/>
              </w:rPr>
              <w:t>营业收入扣除项目合计金额占营业收入的比重</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right"/>
              <w:textAlignment w:val="center"/>
              <w:rPr>
                <w:rFonts w:hint="eastAsia" w:ascii="宋体" w:hAnsi="宋体" w:eastAsia="宋体" w:cs="宋体"/>
                <w:i w:val="0"/>
                <w:iCs w:val="0"/>
                <w:color w:val="auto"/>
                <w:sz w:val="18"/>
                <w:szCs w:val="18"/>
                <w:highlight w:val="none"/>
                <w:u w:val="none"/>
                <w:shd w:val="clear" w:color="auto" w:fill="auto"/>
              </w:rPr>
            </w:pPr>
            <w:r>
              <w:rPr>
                <w:rFonts w:hint="eastAsia" w:ascii="宋体" w:hAnsi="宋体" w:eastAsia="宋体" w:cs="宋体"/>
                <w:i w:val="0"/>
                <w:iCs w:val="0"/>
                <w:color w:val="auto"/>
                <w:kern w:val="0"/>
                <w:sz w:val="18"/>
                <w:szCs w:val="18"/>
                <w:highlight w:val="none"/>
                <w:u w:val="none"/>
                <w:shd w:val="clear" w:color="auto" w:fill="auto"/>
                <w:lang w:val="en-US" w:eastAsia="zh-CN" w:bidi="ar"/>
              </w:rPr>
              <w:t>8.79%</w:t>
            </w:r>
          </w:p>
        </w:tc>
        <w:tc>
          <w:tcPr>
            <w:tcW w:w="188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left"/>
              <w:rPr>
                <w:rFonts w:hint="eastAsia" w:ascii="宋体" w:hAnsi="宋体" w:eastAsia="宋体" w:cs="宋体"/>
                <w:i w:val="0"/>
                <w:iCs w:val="0"/>
                <w:color w:val="auto"/>
                <w:sz w:val="18"/>
                <w:szCs w:val="18"/>
                <w:highlight w:val="none"/>
                <w:u w:val="none"/>
                <w:shd w:val="clear" w:color="auto" w:fill="auto"/>
              </w:rPr>
            </w:pPr>
            <w:r>
              <w:rPr>
                <w:rFonts w:hint="eastAsia" w:ascii="宋体" w:hAnsi="宋体" w:eastAsia="宋体" w:cs="宋体"/>
                <w:i w:val="0"/>
                <w:iCs w:val="0"/>
                <w:caps w:val="0"/>
                <w:color w:val="auto"/>
                <w:spacing w:val="0"/>
                <w:sz w:val="18"/>
                <w:szCs w:val="18"/>
                <w:highlight w:val="none"/>
                <w:shd w:val="clear" w:color="auto" w:fill="auto"/>
              </w:rPr>
              <w:t>营业收入扣除项目占总收入比重</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right"/>
              <w:textAlignment w:val="center"/>
              <w:rPr>
                <w:rFonts w:hint="eastAsia" w:ascii="宋体" w:hAnsi="宋体" w:eastAsia="宋体" w:cs="宋体"/>
                <w:i w:val="0"/>
                <w:iCs w:val="0"/>
                <w:color w:val="auto"/>
                <w:sz w:val="18"/>
                <w:szCs w:val="18"/>
                <w:highlight w:val="none"/>
                <w:u w:val="none"/>
                <w:shd w:val="clear" w:color="auto" w:fill="auto"/>
              </w:rPr>
            </w:pPr>
            <w:r>
              <w:rPr>
                <w:rFonts w:hint="eastAsia" w:ascii="宋体" w:hAnsi="宋体" w:eastAsia="宋体" w:cs="宋体"/>
                <w:i w:val="0"/>
                <w:iCs w:val="0"/>
                <w:color w:val="auto"/>
                <w:kern w:val="0"/>
                <w:sz w:val="18"/>
                <w:szCs w:val="18"/>
                <w:highlight w:val="none"/>
                <w:u w:val="none"/>
                <w:shd w:val="clear" w:color="auto" w:fill="auto"/>
                <w:lang w:val="en-US" w:eastAsia="zh-CN" w:bidi="ar"/>
              </w:rPr>
              <w:t>4.02%</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left"/>
              <w:rPr>
                <w:rFonts w:hint="eastAsia" w:ascii="宋体" w:hAnsi="宋体" w:eastAsia="宋体" w:cs="宋体"/>
                <w:i w:val="0"/>
                <w:iCs w:val="0"/>
                <w:color w:val="auto"/>
                <w:sz w:val="18"/>
                <w:szCs w:val="18"/>
                <w:highlight w:val="none"/>
                <w:u w:val="none"/>
                <w:shd w:val="clear" w:color="auto" w:fill="auto"/>
              </w:rPr>
            </w:pPr>
            <w:r>
              <w:rPr>
                <w:rFonts w:hint="eastAsia" w:ascii="宋体" w:hAnsi="宋体" w:eastAsia="宋体" w:cs="宋体"/>
                <w:i w:val="0"/>
                <w:iCs w:val="0"/>
                <w:caps w:val="0"/>
                <w:color w:val="auto"/>
                <w:spacing w:val="0"/>
                <w:sz w:val="18"/>
                <w:szCs w:val="18"/>
                <w:highlight w:val="none"/>
                <w:shd w:val="clear" w:color="auto" w:fill="auto"/>
              </w:rPr>
              <w:t>营业收入扣除项目占总收入比重</w:t>
            </w:r>
          </w:p>
        </w:tc>
      </w:tr>
    </w:tbl>
    <w:p>
      <w:pPr>
        <w:pStyle w:val="2"/>
        <w:shd w:val="clear"/>
      </w:pPr>
    </w:p>
    <w:p>
      <w:pPr>
        <w:keepNext/>
        <w:keepLines/>
        <w:spacing w:before="300" w:after="300" w:line="320" w:lineRule="exact"/>
        <w:jc w:val="left"/>
        <w:outlineLvl w:val="1"/>
        <w:rPr>
          <w:rFonts w:ascii="宋体" w:hAnsi="宋体" w:eastAsia="宋体" w:cs="宋体"/>
          <w:b/>
          <w:bCs/>
          <w:sz w:val="24"/>
          <w:szCs w:val="24"/>
        </w:rPr>
      </w:pPr>
      <w:bookmarkStart w:id="9" w:name="_Toc988897"/>
      <w:r>
        <w:rPr>
          <w:rFonts w:ascii="宋体" w:hAnsi="宋体" w:eastAsia="宋体" w:cs="宋体"/>
          <w:b/>
          <w:bCs/>
          <w:sz w:val="24"/>
          <w:szCs w:val="24"/>
        </w:rPr>
        <w:t>七、境内外会计准则下会计数据差异</w:t>
      </w:r>
      <w:bookmarkEnd w:id="9"/>
    </w:p>
    <w:p>
      <w:pPr>
        <w:keepNext/>
        <w:keepLines/>
        <w:spacing w:before="300" w:after="300" w:line="280" w:lineRule="exact"/>
        <w:jc w:val="left"/>
        <w:outlineLvl w:val="2"/>
        <w:rPr>
          <w:rFonts w:ascii="宋体" w:hAnsi="宋体" w:eastAsia="宋体" w:cs="宋体"/>
          <w:b/>
          <w:bCs/>
          <w:sz w:val="21"/>
          <w:szCs w:val="21"/>
        </w:rPr>
      </w:pPr>
      <w:bookmarkStart w:id="10" w:name="_Toc988898"/>
      <w:r>
        <w:rPr>
          <w:rFonts w:hint="eastAsia" w:ascii="宋体" w:hAnsi="宋体" w:eastAsia="宋体" w:cs="宋体"/>
          <w:b/>
          <w:bCs/>
          <w:sz w:val="21"/>
          <w:szCs w:val="21"/>
          <w:lang w:eastAsia="zh-CN"/>
        </w:rPr>
        <w:t>（一）</w:t>
      </w:r>
      <w:r>
        <w:rPr>
          <w:rFonts w:ascii="宋体" w:hAnsi="宋体" w:eastAsia="宋体" w:cs="宋体"/>
          <w:b/>
          <w:bCs/>
          <w:sz w:val="21"/>
          <w:szCs w:val="21"/>
        </w:rPr>
        <w:t>同时按照国际会计准则与按照中国会计准则披露的财务报告中净利润和净资产差异情况</w:t>
      </w:r>
      <w:bookmarkEnd w:id="10"/>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公司报告期不存在按照国际会计准则与按照中国会计准则披露的财务报告中净利润和净资产差异情况。</w:t>
      </w:r>
    </w:p>
    <w:p>
      <w:pPr>
        <w:keepNext/>
        <w:keepLines/>
        <w:spacing w:before="300" w:after="300" w:line="280" w:lineRule="exact"/>
        <w:jc w:val="left"/>
        <w:outlineLvl w:val="2"/>
        <w:rPr>
          <w:rFonts w:ascii="宋体" w:hAnsi="宋体" w:eastAsia="宋体" w:cs="宋体"/>
          <w:b/>
          <w:bCs/>
          <w:sz w:val="21"/>
          <w:szCs w:val="21"/>
        </w:rPr>
      </w:pPr>
      <w:bookmarkStart w:id="11" w:name="_Toc988899"/>
      <w:r>
        <w:rPr>
          <w:rFonts w:hint="eastAsia" w:ascii="宋体" w:hAnsi="宋体" w:eastAsia="宋体" w:cs="宋体"/>
          <w:b/>
          <w:bCs/>
          <w:sz w:val="21"/>
          <w:szCs w:val="21"/>
          <w:lang w:eastAsia="zh-CN"/>
        </w:rPr>
        <w:t>（二）</w:t>
      </w:r>
      <w:r>
        <w:rPr>
          <w:rFonts w:ascii="宋体" w:hAnsi="宋体" w:eastAsia="宋体" w:cs="宋体"/>
          <w:b/>
          <w:bCs/>
          <w:sz w:val="21"/>
          <w:szCs w:val="21"/>
        </w:rPr>
        <w:t>同时按照境外会计准则与按照中国会计准则披露的财务报告中净利润和净资产差异情况</w:t>
      </w:r>
      <w:bookmarkEnd w:id="11"/>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公司报告期不存在按照境外会计准则与按照中国会计准则披露的财务报告中净利润和净资产差异情况。</w:t>
      </w:r>
    </w:p>
    <w:p>
      <w:pPr>
        <w:keepNext/>
        <w:keepLines/>
        <w:pageBreakBefore w:val="0"/>
        <w:widowControl w:val="0"/>
        <w:kinsoku/>
        <w:wordWrap/>
        <w:overflowPunct/>
        <w:topLinePunct w:val="0"/>
        <w:autoSpaceDE/>
        <w:autoSpaceDN/>
        <w:bidi w:val="0"/>
        <w:adjustRightInd/>
        <w:snapToGrid/>
        <w:spacing w:before="300" w:after="60" w:line="320" w:lineRule="exact"/>
        <w:jc w:val="left"/>
        <w:textAlignment w:val="auto"/>
        <w:outlineLvl w:val="1"/>
        <w:rPr>
          <w:rFonts w:ascii="宋体" w:hAnsi="宋体" w:eastAsia="宋体" w:cs="宋体"/>
          <w:b/>
          <w:bCs/>
          <w:sz w:val="24"/>
          <w:szCs w:val="24"/>
        </w:rPr>
      </w:pPr>
      <w:bookmarkStart w:id="12" w:name="_Toc988900"/>
      <w:r>
        <w:rPr>
          <w:rFonts w:ascii="宋体" w:hAnsi="宋体" w:eastAsia="宋体" w:cs="宋体"/>
          <w:b/>
          <w:bCs/>
          <w:sz w:val="24"/>
          <w:szCs w:val="24"/>
        </w:rPr>
        <w:t>八、分季度主要财务指标</w:t>
      </w:r>
      <w:bookmarkEnd w:id="12"/>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第一季度</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第二季度</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第三季度</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第四季度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营业收入</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111,548,056.10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190,486,597.03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145,480,715.11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265,054,019.04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归属于上市公司股东的净利润</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17,578,583.65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-15,268,952.24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-19,153,712.92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-50,385,704.65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归属于上市公司股东的扣除非经常性损益的净利润</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-4,847,362.32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-2,821,061.01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-24,469,073.23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-62,628,763.15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经营活动产生的现金流量净额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34,934,266.13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-6,736,284.31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-12,660,618.66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43,448,318.46</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上述财务指标或其加总数是否与公司已披露季度报告、半年度报告相关财务指标存在重大差异</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pPr>
        <w:keepNext/>
        <w:keepLines/>
        <w:spacing w:before="300" w:after="300" w:line="320" w:lineRule="exact"/>
        <w:jc w:val="left"/>
        <w:outlineLvl w:val="1"/>
        <w:rPr>
          <w:rFonts w:ascii="宋体" w:hAnsi="宋体" w:eastAsia="宋体" w:cs="宋体"/>
          <w:b/>
          <w:bCs/>
          <w:sz w:val="24"/>
          <w:szCs w:val="24"/>
        </w:rPr>
      </w:pPr>
      <w:bookmarkStart w:id="13" w:name="_Toc988901"/>
      <w:r>
        <w:rPr>
          <w:rFonts w:ascii="宋体" w:hAnsi="宋体" w:eastAsia="宋体" w:cs="宋体"/>
          <w:b/>
          <w:bCs/>
          <w:sz w:val="24"/>
          <w:szCs w:val="24"/>
        </w:rPr>
        <w:t>九、非经常性损益项目及金额</w:t>
      </w:r>
      <w:bookmarkEnd w:id="13"/>
    </w:p>
    <w:p>
      <w:pPr>
        <w:spacing w:before="40" w:after="4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spacing w:before="120" w:after="120" w:line="240" w:lineRule="exact"/>
        <w:jc w:val="right"/>
      </w:pPr>
      <w:r>
        <w:rPr>
          <w:rFonts w:ascii="宋体" w:hAnsi="宋体" w:eastAsia="宋体" w:cs="宋体"/>
          <w:sz w:val="18"/>
          <w:szCs w:val="18"/>
        </w:rPr>
        <w:t>单位：元</w:t>
      </w:r>
    </w:p>
    <w:tbl>
      <w:tblPr>
        <w:tblStyle w:val="5"/>
        <w:tblW w:w="964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077"/>
        <w:gridCol w:w="1850"/>
        <w:gridCol w:w="1800"/>
        <w:gridCol w:w="1720"/>
        <w:gridCol w:w="119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0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85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2024年金额</w:t>
            </w:r>
          </w:p>
        </w:tc>
        <w:tc>
          <w:tcPr>
            <w:tcW w:w="18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2023年金额</w:t>
            </w:r>
          </w:p>
        </w:tc>
        <w:tc>
          <w:tcPr>
            <w:tcW w:w="17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2022年金额</w:t>
            </w:r>
          </w:p>
        </w:tc>
        <w:tc>
          <w:tcPr>
            <w:tcW w:w="119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0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非流动性资产处置损益（包括已计提资产减值准备的冲销部分）</w:t>
            </w:r>
          </w:p>
        </w:tc>
        <w:tc>
          <w:tcPr>
            <w:tcW w:w="18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-5,074,350.66</w:t>
            </w:r>
          </w:p>
        </w:tc>
        <w:tc>
          <w:tcPr>
            <w:tcW w:w="18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1,463,519.66</w:t>
            </w:r>
          </w:p>
        </w:tc>
        <w:tc>
          <w:tcPr>
            <w:tcW w:w="17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-157,194.20</w:t>
            </w:r>
          </w:p>
        </w:tc>
        <w:tc>
          <w:tcPr>
            <w:tcW w:w="119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0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计入当期损益的政府补助（与公司正常经营业务密切相关，符合国家政策规定、按照确定的标准享有、对公司损益产生持续影响的政府补助除外）</w:t>
            </w:r>
          </w:p>
        </w:tc>
        <w:tc>
          <w:tcPr>
            <w:tcW w:w="18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18,289,267.36</w:t>
            </w:r>
          </w:p>
        </w:tc>
        <w:tc>
          <w:tcPr>
            <w:tcW w:w="18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24,006,027.37</w:t>
            </w:r>
          </w:p>
        </w:tc>
        <w:tc>
          <w:tcPr>
            <w:tcW w:w="17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23,828,943.56</w:t>
            </w:r>
          </w:p>
        </w:tc>
        <w:tc>
          <w:tcPr>
            <w:tcW w:w="119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0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除同公司正常经营业务相关的有效套期保值业务外，非金融企业持有金融资产和金融负债产生的公允价值变动损益以及处置金融资产和金融负债产生的损益</w:t>
            </w:r>
          </w:p>
        </w:tc>
        <w:tc>
          <w:tcPr>
            <w:tcW w:w="18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8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7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1,537,255.57</w:t>
            </w:r>
          </w:p>
        </w:tc>
        <w:tc>
          <w:tcPr>
            <w:tcW w:w="119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0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单独进行减值测试的应收款项减值准备转回</w:t>
            </w:r>
          </w:p>
        </w:tc>
        <w:tc>
          <w:tcPr>
            <w:tcW w:w="18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20,000.00</w:t>
            </w:r>
          </w:p>
        </w:tc>
        <w:tc>
          <w:tcPr>
            <w:tcW w:w="18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979,132.98</w:t>
            </w:r>
          </w:p>
        </w:tc>
        <w:tc>
          <w:tcPr>
            <w:tcW w:w="17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223,380.00</w:t>
            </w:r>
          </w:p>
        </w:tc>
        <w:tc>
          <w:tcPr>
            <w:tcW w:w="119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0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除上述各项之外的其他营业外收入和支出</w:t>
            </w:r>
          </w:p>
        </w:tc>
        <w:tc>
          <w:tcPr>
            <w:tcW w:w="18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-12,052,914.80</w:t>
            </w:r>
          </w:p>
        </w:tc>
        <w:tc>
          <w:tcPr>
            <w:tcW w:w="18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3,797,243.17</w:t>
            </w:r>
          </w:p>
        </w:tc>
        <w:tc>
          <w:tcPr>
            <w:tcW w:w="17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257,162.33</w:t>
            </w:r>
          </w:p>
        </w:tc>
        <w:tc>
          <w:tcPr>
            <w:tcW w:w="119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0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其他符合非经常性损益定义的损益项目</w:t>
            </w:r>
          </w:p>
        </w:tc>
        <w:tc>
          <w:tcPr>
            <w:tcW w:w="18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30,207,636.60</w:t>
            </w:r>
          </w:p>
        </w:tc>
        <w:tc>
          <w:tcPr>
            <w:tcW w:w="18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7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26,548.67</w:t>
            </w:r>
          </w:p>
        </w:tc>
        <w:tc>
          <w:tcPr>
            <w:tcW w:w="119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0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减：所得税影响额</w:t>
            </w:r>
          </w:p>
        </w:tc>
        <w:tc>
          <w:tcPr>
            <w:tcW w:w="18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3,663,006.55</w:t>
            </w:r>
          </w:p>
        </w:tc>
        <w:tc>
          <w:tcPr>
            <w:tcW w:w="18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2,071,841.08</w:t>
            </w:r>
          </w:p>
        </w:tc>
        <w:tc>
          <w:tcPr>
            <w:tcW w:w="17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2,355,285.05</w:t>
            </w:r>
          </w:p>
        </w:tc>
        <w:tc>
          <w:tcPr>
            <w:tcW w:w="119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0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少数股东权益影响额（税后）</w:t>
            </w:r>
          </w:p>
        </w:tc>
        <w:tc>
          <w:tcPr>
            <w:tcW w:w="18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190,158.40</w:t>
            </w:r>
          </w:p>
        </w:tc>
        <w:tc>
          <w:tcPr>
            <w:tcW w:w="18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116,732.10</w:t>
            </w:r>
          </w:p>
        </w:tc>
        <w:tc>
          <w:tcPr>
            <w:tcW w:w="17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414,602.91</w:t>
            </w:r>
          </w:p>
        </w:tc>
        <w:tc>
          <w:tcPr>
            <w:tcW w:w="119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0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合计</w:t>
            </w:r>
          </w:p>
        </w:tc>
        <w:tc>
          <w:tcPr>
            <w:tcW w:w="18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27,536,473.55</w:t>
            </w:r>
          </w:p>
        </w:tc>
        <w:tc>
          <w:tcPr>
            <w:tcW w:w="18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28,057,350.00</w:t>
            </w:r>
          </w:p>
        </w:tc>
        <w:tc>
          <w:tcPr>
            <w:tcW w:w="17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22,946,207.97</w:t>
            </w:r>
          </w:p>
        </w:tc>
        <w:tc>
          <w:tcPr>
            <w:tcW w:w="119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shd w:val="clear" w:color="auto" w:fill="D3D3D3"/>
              </w:rPr>
            </w:pPr>
            <w:r>
              <w:rPr>
                <w:rFonts w:ascii="宋体" w:hAnsi="宋体" w:eastAsia="宋体" w:cs="宋体"/>
                <w:sz w:val="18"/>
                <w:szCs w:val="18"/>
                <w:shd w:val="clear" w:color="auto" w:fill="D3D3D3"/>
              </w:rPr>
              <w:t>--</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其他符合非经常性损益定义的损益项目的具体情况：</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公司不存在其他符合非经常性损益定义的损益项目的具体情况。</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将《公开发行证券的公司信息披露解释性公告第1号——非经常性损益》中列举的非经常性损益项目界定为经常性损益项目的情况说明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公司不存在将《公开发行证券的公司信息披露解释性公告第1号——非经常性损益》中列举的非经常性损益项目界定为经常性损益的项目的情形。</w:t>
      </w:r>
    </w:p>
    <w:p>
      <w:r>
        <w:br w:type="page"/>
      </w:r>
    </w:p>
    <w:p>
      <w:pPr>
        <w:keepNext/>
        <w:keepLines/>
        <w:spacing w:before="340" w:after="330" w:line="773" w:lineRule="exact"/>
        <w:jc w:val="center"/>
        <w:outlineLvl w:val="0"/>
        <w:rPr>
          <w:rFonts w:ascii="宋体" w:hAnsi="宋体" w:eastAsia="宋体" w:cs="宋体"/>
          <w:b/>
          <w:bCs/>
          <w:sz w:val="32"/>
          <w:szCs w:val="32"/>
        </w:rPr>
      </w:pPr>
      <w:bookmarkStart w:id="14" w:name="_Toc988902"/>
      <w:r>
        <w:rPr>
          <w:rFonts w:ascii="宋体" w:hAnsi="宋体" w:eastAsia="宋体" w:cs="宋体"/>
          <w:b/>
          <w:bCs/>
          <w:sz w:val="32"/>
          <w:szCs w:val="32"/>
        </w:rPr>
        <w:t>第三节 管理层讨论与分析</w:t>
      </w:r>
      <w:bookmarkEnd w:id="14"/>
    </w:p>
    <w:p>
      <w:pPr>
        <w:keepNext/>
        <w:keepLines/>
        <w:spacing w:before="300" w:after="300" w:line="320" w:lineRule="exact"/>
        <w:jc w:val="left"/>
        <w:outlineLvl w:val="1"/>
        <w:rPr>
          <w:rFonts w:ascii="宋体" w:hAnsi="宋体" w:eastAsia="宋体" w:cs="宋体"/>
          <w:b/>
          <w:bCs/>
          <w:sz w:val="24"/>
          <w:szCs w:val="24"/>
        </w:rPr>
      </w:pPr>
      <w:bookmarkStart w:id="15" w:name="_Toc988903"/>
      <w:r>
        <w:rPr>
          <w:rFonts w:ascii="宋体" w:hAnsi="宋体" w:eastAsia="宋体" w:cs="宋体"/>
          <w:b/>
          <w:bCs/>
          <w:sz w:val="24"/>
          <w:szCs w:val="24"/>
        </w:rPr>
        <w:t>一、报告期内公司所处行业情况</w:t>
      </w:r>
      <w:bookmarkEnd w:id="15"/>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360" w:lineRule="atLeast"/>
        <w:ind w:right="0"/>
        <w:jc w:val="both"/>
        <w:textAlignment w:val="auto"/>
        <w:outlineLvl w:val="2"/>
        <w:rPr>
          <w:rStyle w:val="7"/>
          <w:rFonts w:hint="default" w:ascii="宋体" w:hAnsi="宋体" w:eastAsia="宋体" w:cs="宋体"/>
          <w:sz w:val="21"/>
          <w:szCs w:val="21"/>
        </w:rPr>
      </w:pPr>
      <w:bookmarkStart w:id="16" w:name="OLE_LINK12"/>
      <w:r>
        <w:rPr>
          <w:rStyle w:val="7"/>
          <w:rFonts w:hint="eastAsia" w:ascii="宋体" w:hAnsi="宋体" w:eastAsia="宋体" w:cs="宋体"/>
          <w:sz w:val="21"/>
          <w:szCs w:val="21"/>
        </w:rPr>
        <w:t>（一）航空航天业</w:t>
      </w:r>
    </w:p>
    <w:p>
      <w:pPr>
        <w:pStyle w:val="4"/>
        <w:widowControl/>
        <w:spacing w:beforeAutospacing="0" w:afterAutospacing="0" w:line="360" w:lineRule="atLeast"/>
        <w:ind w:firstLine="420"/>
        <w:jc w:val="both"/>
        <w:rPr>
          <w:szCs w:val="24"/>
        </w:rPr>
      </w:pPr>
      <w:r>
        <w:rPr>
          <w:rFonts w:hint="eastAsia" w:ascii="宋体" w:hAnsi="宋体" w:cs="宋体"/>
          <w:sz w:val="21"/>
          <w:szCs w:val="21"/>
        </w:rPr>
        <w:t>2024年，全球航空业在收入和利润方面实现显著复苏，中国民航业表现尤为突出。2024年航空运输企业整体经营业绩持续改善，但区域航空运输市场分化明显：北美市场增长趋缓，低成本航空公司市场份额扩大；欧洲市场整合持续深化，跨境合作增加；亚太成为全球增长的主要动力，尤其是中国和东南亚市场表现突出；俄罗斯市场受俄乌战争影响，国际航线受限，国内航线增长，外国制造飞机维护困难，本土航空工业得到发展。当前航空制动行业受益于国产大飞机、支线飞机量产、军机换代及无人机市场扩张，国内市场规模在逐步扩大。</w:t>
      </w:r>
    </w:p>
    <w:p>
      <w:pPr>
        <w:pStyle w:val="4"/>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cs="宋体"/>
          <w:sz w:val="21"/>
          <w:szCs w:val="21"/>
        </w:rPr>
        <w:t>在航天方面，航天耐烧蚀碳基复合材料行业受政策驱动影响，2024年整体需求短期有所回落，但耐烧蚀碳基复合材料行业的需求</w:t>
      </w:r>
      <w:r>
        <w:rPr>
          <w:rFonts w:ascii="宋体" w:hAnsi="宋体" w:cs="宋体"/>
          <w:sz w:val="21"/>
          <w:szCs w:val="21"/>
        </w:rPr>
        <w:t>基础仍在</w:t>
      </w:r>
      <w:r>
        <w:rPr>
          <w:rFonts w:hint="eastAsia" w:ascii="宋体" w:hAnsi="宋体" w:cs="宋体"/>
          <w:sz w:val="21"/>
          <w:szCs w:val="21"/>
        </w:rPr>
        <w:t>。</w:t>
      </w:r>
    </w:p>
    <w:p>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60" w:lineRule="atLeast"/>
        <w:ind w:right="0"/>
        <w:jc w:val="both"/>
        <w:textAlignment w:val="auto"/>
        <w:outlineLvl w:val="2"/>
        <w:rPr>
          <w:rStyle w:val="7"/>
          <w:rFonts w:hint="default" w:ascii="宋体" w:hAnsi="宋体" w:eastAsia="宋体" w:cs="宋体"/>
          <w:sz w:val="21"/>
          <w:szCs w:val="21"/>
        </w:rPr>
      </w:pPr>
      <w:r>
        <w:rPr>
          <w:rStyle w:val="7"/>
          <w:rFonts w:hint="eastAsia" w:ascii="宋体" w:hAnsi="宋体" w:eastAsia="宋体" w:cs="宋体"/>
          <w:sz w:val="21"/>
          <w:szCs w:val="21"/>
        </w:rPr>
        <w:t>（二）硬质合金行业</w:t>
      </w:r>
    </w:p>
    <w:p>
      <w:pPr>
        <w:pStyle w:val="4"/>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sz w:val="21"/>
          <w:szCs w:val="21"/>
        </w:rPr>
        <w:t>硬质合金作为国家战略性新兴产业重点支持的新材料，在先进制造、基础设施建设、电子信息、轨道交通、核工业、国防军工和航空航天等关键领域发挥着不可替代的重要作用。凭借其优异的高硬度、高强度、耐腐蚀、耐高温等特性，硬质合金被誉为“工业的牙齿”，已深度应用于汽车制造、航空航天、轨道交通等现代工业制造的各个重要环节。</w:t>
      </w:r>
    </w:p>
    <w:p>
      <w:pPr>
        <w:pStyle w:val="4"/>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sz w:val="21"/>
          <w:szCs w:val="21"/>
        </w:rPr>
        <w:t>当前，我国正处于产业转型升级的关键时期。在“中国制造+互联网”、“中国制造2025”以及“产业链供应链自主可控”等国家战略的持续推动下，高附加值硬质合金产品领域，如精密切削工具、高端凿岩工具及工程刀具、高硬度模具加工等，正迎来国产化替代的重要机遇期，为硬质合金行业高质量发展注入了强劲动力。</w:t>
      </w:r>
    </w:p>
    <w:p>
      <w:pPr>
        <w:pStyle w:val="4"/>
        <w:widowControl/>
        <w:spacing w:beforeAutospacing="0" w:afterAutospacing="0" w:line="360" w:lineRule="atLeast"/>
        <w:ind w:firstLine="420"/>
        <w:jc w:val="both"/>
        <w:rPr>
          <w:szCs w:val="24"/>
        </w:rPr>
      </w:pPr>
      <w:r>
        <w:rPr>
          <w:rFonts w:hint="eastAsia" w:ascii="宋体" w:hAnsi="宋体" w:cs="宋体"/>
          <w:sz w:val="21"/>
          <w:szCs w:val="21"/>
        </w:rPr>
        <w:t>报告期内，我国硬质合金产量和营业总收入同比实现稳步增长，但受多重因素影响，行业利润水平较去年同期出现明显下滑。具体而言，外部环境复杂严峻、市场需求增长乏力、企业盈利能力承压等挑战依然存在，叠加原辅材料价格</w:t>
      </w:r>
      <w:r>
        <w:rPr>
          <w:rFonts w:ascii="宋体" w:hAnsi="宋体" w:cs="宋体"/>
          <w:sz w:val="21"/>
          <w:szCs w:val="21"/>
        </w:rPr>
        <w:t>高位波动</w:t>
      </w:r>
      <w:r>
        <w:rPr>
          <w:rFonts w:hint="eastAsia" w:ascii="宋体" w:hAnsi="宋体" w:cs="宋体"/>
          <w:sz w:val="21"/>
          <w:szCs w:val="21"/>
        </w:rPr>
        <w:t>、地缘政治风险加剧等不利因素，行业整体利润空间受到进一步挤压。随着国家政策支持力度持续加大和企业创新投入不断增加，行业预期逐步企稳。我国硬质合金生产企业将通过持续强化科技创新、不断提升产品品质、加快推进国产化替代进程，在高端制造升级</w:t>
      </w:r>
      <w:r>
        <w:rPr>
          <w:rFonts w:hint="eastAsia" w:ascii="宋体" w:hAnsi="宋体" w:cs="宋体"/>
          <w:sz w:val="21"/>
          <w:szCs w:val="21"/>
          <w:lang w:eastAsia="zh-CN"/>
        </w:rPr>
        <w:t>的</w:t>
      </w:r>
      <w:r>
        <w:rPr>
          <w:rFonts w:hint="eastAsia" w:ascii="宋体" w:hAnsi="宋体" w:cs="宋体"/>
          <w:sz w:val="21"/>
          <w:szCs w:val="21"/>
        </w:rPr>
        <w:t>驱动下，实现从“规模扩张”向“高质量发展”的战略转型。</w:t>
      </w:r>
    </w:p>
    <w:bookmarkEnd w:id="16"/>
    <w:p>
      <w:pPr>
        <w:keepNext/>
        <w:keepLines/>
        <w:spacing w:before="300" w:after="300" w:line="320" w:lineRule="exact"/>
        <w:jc w:val="left"/>
        <w:outlineLvl w:val="1"/>
        <w:rPr>
          <w:rFonts w:ascii="宋体" w:hAnsi="宋体" w:eastAsia="宋体" w:cs="宋体"/>
          <w:b/>
          <w:bCs/>
          <w:sz w:val="24"/>
          <w:szCs w:val="24"/>
        </w:rPr>
      </w:pPr>
      <w:bookmarkStart w:id="17" w:name="_Toc988904"/>
      <w:r>
        <w:rPr>
          <w:rFonts w:ascii="宋体" w:hAnsi="宋体" w:eastAsia="宋体" w:cs="宋体"/>
          <w:b/>
          <w:bCs/>
          <w:sz w:val="24"/>
          <w:szCs w:val="24"/>
        </w:rPr>
        <w:t>二、报告期内公司从事的主要业务</w:t>
      </w:r>
      <w:bookmarkEnd w:id="17"/>
    </w:p>
    <w:p>
      <w:pPr>
        <w:pStyle w:val="4"/>
        <w:keepNext w:val="0"/>
        <w:keepLines w:val="0"/>
        <w:widowControl/>
        <w:suppressLineNumbers w:val="0"/>
        <w:spacing w:before="0" w:beforeAutospacing="0" w:after="0" w:afterAutospacing="0" w:line="360" w:lineRule="atLeast"/>
        <w:ind w:left="0" w:right="0" w:firstLine="426"/>
        <w:jc w:val="both"/>
        <w:rPr>
          <w:rFonts w:hint="default" w:ascii="Times New Roman" w:hAnsi="Times New Roman" w:cs="Times New Roman"/>
          <w:sz w:val="24"/>
          <w:szCs w:val="24"/>
        </w:rPr>
      </w:pPr>
      <w:bookmarkStart w:id="18" w:name="OLE_LINK16"/>
      <w:r>
        <w:rPr>
          <w:rFonts w:hint="eastAsia" w:ascii="宋体" w:hAnsi="宋体" w:eastAsia="宋体" w:cs="宋体"/>
          <w:sz w:val="21"/>
          <w:szCs w:val="21"/>
        </w:rPr>
        <w:t>公司主要从事航空机轮刹车系统及刹车材料、航天用碳/碳复合材料、高性能硬质合金和稀有金属粉体材料等产品的研发、生产与销售，产品主要涉及航空、航天和民用工业等领域。公司建有“国家炭/炭复合材料工程技术研究中心”。</w:t>
      </w:r>
    </w:p>
    <w:p>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60" w:lineRule="atLeast"/>
        <w:ind w:right="0"/>
        <w:jc w:val="both"/>
        <w:textAlignment w:val="auto"/>
        <w:outlineLvl w:val="2"/>
        <w:rPr>
          <w:rStyle w:val="7"/>
          <w:rFonts w:hint="default" w:ascii="宋体" w:hAnsi="宋体" w:eastAsia="宋体" w:cs="宋体"/>
          <w:sz w:val="21"/>
          <w:szCs w:val="21"/>
        </w:rPr>
      </w:pPr>
      <w:r>
        <w:rPr>
          <w:rStyle w:val="7"/>
          <w:rFonts w:hint="eastAsia" w:ascii="宋体" w:hAnsi="宋体" w:eastAsia="宋体" w:cs="宋体"/>
          <w:sz w:val="21"/>
          <w:szCs w:val="21"/>
        </w:rPr>
        <w:t>（一）主要业务、主要产品及用途</w:t>
      </w:r>
    </w:p>
    <w:p>
      <w:pPr>
        <w:keepNext/>
        <w:keepLines/>
        <w:pageBreakBefore w:val="0"/>
        <w:widowControl w:val="0"/>
        <w:kinsoku/>
        <w:wordWrap/>
        <w:overflowPunct/>
        <w:topLinePunct w:val="0"/>
        <w:autoSpaceDE/>
        <w:autoSpaceDN/>
        <w:bidi w:val="0"/>
        <w:adjustRightInd/>
        <w:snapToGrid/>
        <w:spacing w:before="180" w:after="120" w:line="280" w:lineRule="exact"/>
        <w:jc w:val="left"/>
        <w:textAlignment w:val="auto"/>
        <w:outlineLvl w:val="3"/>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1.航空航天领域</w:t>
      </w:r>
    </w:p>
    <w:p>
      <w:pPr>
        <w:pStyle w:val="4"/>
        <w:keepNext w:val="0"/>
        <w:keepLines w:val="0"/>
        <w:widowControl/>
        <w:suppressLineNumbers w:val="0"/>
        <w:spacing w:before="0" w:beforeAutospacing="0" w:after="0" w:afterAutospacing="0" w:line="360" w:lineRule="atLeast"/>
        <w:ind w:left="0" w:right="0" w:firstLine="426"/>
        <w:jc w:val="both"/>
        <w:rPr>
          <w:rFonts w:hint="default" w:ascii="Times New Roman" w:hAnsi="Times New Roman" w:cs="Times New Roman"/>
          <w:sz w:val="24"/>
          <w:szCs w:val="24"/>
        </w:rPr>
      </w:pPr>
      <w:r>
        <w:rPr>
          <w:rFonts w:hint="eastAsia" w:ascii="宋体" w:hAnsi="宋体" w:eastAsia="宋体" w:cs="宋体"/>
          <w:sz w:val="21"/>
          <w:szCs w:val="21"/>
        </w:rPr>
        <w:t>（1）飞机机轮刹车系统</w:t>
      </w:r>
    </w:p>
    <w:p>
      <w:pPr>
        <w:pStyle w:val="4"/>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sz w:val="21"/>
          <w:szCs w:val="21"/>
        </w:rPr>
        <w:t>飞机机轮刹车系统是飞机上一个具有独立功能的重要系统。该系统主要由机轮（刹车机轮和无刹车机轮）和刹车装置（含刹车盘）、电子防滑刹车系统（简称刹车系统）三大部分组成。主要作用是承受飞机在地面的静、动态冲击载荷、吸收刹车能量，并对飞机的起飞、着陆、滑行、转弯进行有效的制动和控制。公司全资子公司长沙鑫航目前主要业务为航空机轮和电子防滑刹车系统及附件，包括机轮、刹车装置、控制盒、刹车系统及系统集成等研发、生产、销售、维修和服务。</w:t>
      </w:r>
    </w:p>
    <w:p>
      <w:pPr>
        <w:pStyle w:val="4"/>
        <w:keepNext w:val="0"/>
        <w:keepLines w:val="0"/>
        <w:widowControl/>
        <w:suppressLineNumbers w:val="0"/>
        <w:spacing w:before="0" w:beforeAutospacing="0" w:after="0" w:afterAutospacing="0" w:line="360" w:lineRule="atLeast"/>
        <w:ind w:left="0" w:right="0" w:firstLine="426"/>
        <w:jc w:val="both"/>
        <w:rPr>
          <w:rFonts w:hint="default" w:ascii="Times New Roman" w:hAnsi="Times New Roman" w:cs="Times New Roman"/>
          <w:sz w:val="24"/>
          <w:szCs w:val="24"/>
        </w:rPr>
      </w:pPr>
      <w:r>
        <w:rPr>
          <w:rFonts w:hint="eastAsia" w:ascii="宋体" w:hAnsi="宋体" w:eastAsia="宋体" w:cs="宋体"/>
          <w:sz w:val="21"/>
          <w:szCs w:val="21"/>
        </w:rPr>
        <w:t>（2）航空用飞机刹车材料</w:t>
      </w:r>
    </w:p>
    <w:p>
      <w:pPr>
        <w:pStyle w:val="4"/>
        <w:widowControl/>
        <w:spacing w:beforeAutospacing="0" w:afterAutospacing="0" w:line="360" w:lineRule="atLeast"/>
        <w:ind w:firstLine="426"/>
        <w:jc w:val="both"/>
        <w:rPr>
          <w:szCs w:val="24"/>
        </w:rPr>
      </w:pPr>
      <w:r>
        <w:rPr>
          <w:rFonts w:hint="eastAsia" w:ascii="宋体" w:hAnsi="宋体" w:cs="宋体"/>
          <w:sz w:val="21"/>
          <w:szCs w:val="21"/>
        </w:rPr>
        <w:t>碳/碳复合材料是一种以碳纤维增强碳基体的先进复合材料，具有密度低、摩擦特性优良、耐高温、使用寿命长等一系列优异性能。公司先后研发了一系列具有自主知识产权的碳/碳复合材料制备技术和工艺装备。</w:t>
      </w:r>
    </w:p>
    <w:p>
      <w:pPr>
        <w:pStyle w:val="4"/>
        <w:widowControl/>
        <w:spacing w:beforeAutospacing="0" w:afterAutospacing="0" w:line="360" w:lineRule="atLeast"/>
        <w:ind w:firstLine="426"/>
        <w:jc w:val="both"/>
        <w:rPr>
          <w:szCs w:val="24"/>
        </w:rPr>
      </w:pPr>
      <w:r>
        <w:rPr>
          <w:rFonts w:hint="eastAsia" w:ascii="宋体" w:hAnsi="宋体" w:cs="宋体"/>
          <w:sz w:val="21"/>
          <w:szCs w:val="21"/>
        </w:rPr>
        <w:t>在航空用碳/碳刹车产品方面，公司已取得波音757、空客320系列、ERJ190系列、MA60等机型PMA证书，同时形成了包括国外客户委托开发碳刹车产品及若干个军机型号碳刹车产品在内的批产能力，目前正在持续开展多个型号的碳刹车产品研制；公司的碳刹车产品技术被成功应用于</w:t>
      </w:r>
      <w:r>
        <w:rPr>
          <w:sz w:val="21"/>
          <w:szCs w:val="21"/>
        </w:rPr>
        <w:t>C919</w:t>
      </w:r>
      <w:r>
        <w:rPr>
          <w:rFonts w:hint="eastAsia" w:ascii="宋体" w:hAnsi="宋体" w:cs="宋体"/>
          <w:sz w:val="21"/>
          <w:szCs w:val="21"/>
        </w:rPr>
        <w:t>大型飞机，该产品能够满足</w:t>
      </w:r>
      <w:r>
        <w:rPr>
          <w:sz w:val="21"/>
          <w:szCs w:val="21"/>
        </w:rPr>
        <w:t>C919</w:t>
      </w:r>
      <w:r>
        <w:rPr>
          <w:rFonts w:hint="eastAsia" w:ascii="宋体" w:hAnsi="宋体" w:cs="宋体"/>
          <w:sz w:val="21"/>
          <w:szCs w:val="21"/>
        </w:rPr>
        <w:t>大飞机的性能要求。</w:t>
      </w:r>
    </w:p>
    <w:p>
      <w:pPr>
        <w:pStyle w:val="4"/>
        <w:widowControl/>
        <w:spacing w:beforeAutospacing="0" w:afterAutospacing="0" w:line="360" w:lineRule="atLeast"/>
        <w:ind w:firstLine="426"/>
        <w:jc w:val="both"/>
        <w:rPr>
          <w:szCs w:val="24"/>
        </w:rPr>
      </w:pPr>
      <w:r>
        <w:rPr>
          <w:rFonts w:hint="eastAsia" w:ascii="宋体" w:hAnsi="宋体" w:cs="宋体"/>
          <w:sz w:val="21"/>
          <w:szCs w:val="21"/>
        </w:rPr>
        <w:t>在粉末冶金材料刹车产品方面，高性能粉末冶金摩擦材料具有制动平稳、耐高温、耐磨损等优良性能。公司先后开发出三叉戟、波音737系列等多种粉末冶金航空刹车副。同时为适应市场需求，公司开发了多款无人机粉末冶金刹车副。</w:t>
      </w:r>
    </w:p>
    <w:p>
      <w:pPr>
        <w:pStyle w:val="4"/>
        <w:keepNext w:val="0"/>
        <w:keepLines w:val="0"/>
        <w:widowControl/>
        <w:suppressLineNumbers w:val="0"/>
        <w:spacing w:before="0" w:beforeAutospacing="0" w:after="0" w:afterAutospacing="0" w:line="360" w:lineRule="atLeast"/>
        <w:ind w:left="0" w:right="0" w:firstLine="426"/>
        <w:jc w:val="both"/>
        <w:rPr>
          <w:rFonts w:hint="default" w:ascii="Times New Roman" w:hAnsi="Times New Roman" w:cs="Times New Roman"/>
          <w:sz w:val="24"/>
          <w:szCs w:val="24"/>
        </w:rPr>
      </w:pPr>
      <w:r>
        <w:rPr>
          <w:rFonts w:hint="eastAsia" w:ascii="宋体" w:hAnsi="宋体" w:eastAsia="宋体" w:cs="宋体"/>
          <w:sz w:val="21"/>
          <w:szCs w:val="21"/>
        </w:rPr>
        <w:t>（3）航天用碳/碳复合材料</w:t>
      </w:r>
    </w:p>
    <w:p>
      <w:pPr>
        <w:pStyle w:val="4"/>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sz w:val="21"/>
          <w:szCs w:val="21"/>
        </w:rPr>
        <w:t>在航天用碳/碳复合材料方面，公司与航天系统内多家单位建立了长期的合作关系，历年来从研制阶段即开始提供多个型号航天发动机用碳/碳复合材料产品。目前有二十多个型号碳/碳复合材料产品已定型并批量生产，另有三十多个新型号航天发动机用碳/碳复合材料产品处在研制阶段。商用航天领域，公司通过自主创新，所研发的碳/碳喉衬材料已成功应用于我国的“快舟系列” 商业航天固体运载火箭上。公司是国内固体火箭发动机用碳/碳复合材料的重要研制、生产基地，为多家航天企业提供炭/炭喉衬产品配套。</w:t>
      </w:r>
    </w:p>
    <w:p>
      <w:pPr>
        <w:keepNext/>
        <w:keepLines/>
        <w:pageBreakBefore w:val="0"/>
        <w:widowControl w:val="0"/>
        <w:kinsoku/>
        <w:wordWrap/>
        <w:overflowPunct/>
        <w:topLinePunct w:val="0"/>
        <w:autoSpaceDE/>
        <w:autoSpaceDN/>
        <w:bidi w:val="0"/>
        <w:adjustRightInd/>
        <w:snapToGrid/>
        <w:spacing w:before="180" w:after="120" w:line="280" w:lineRule="exact"/>
        <w:jc w:val="left"/>
        <w:textAlignment w:val="auto"/>
        <w:outlineLvl w:val="3"/>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2.硬质合金领域</w:t>
      </w:r>
    </w:p>
    <w:p>
      <w:pPr>
        <w:pStyle w:val="4"/>
        <w:keepNext w:val="0"/>
        <w:keepLines w:val="0"/>
        <w:widowControl/>
        <w:suppressLineNumbers w:val="0"/>
        <w:spacing w:before="0" w:beforeAutospacing="0" w:after="0" w:afterAutospacing="0" w:line="360" w:lineRule="atLeast"/>
        <w:ind w:left="0" w:right="0"/>
        <w:jc w:val="both"/>
        <w:rPr>
          <w:rFonts w:hint="default" w:ascii="Times New Roman" w:hAnsi="Times New Roman" w:cs="Times New Roman"/>
          <w:sz w:val="24"/>
          <w:szCs w:val="24"/>
        </w:rPr>
      </w:pPr>
      <w:r>
        <w:rPr>
          <w:rFonts w:hint="eastAsia" w:ascii="宋体" w:hAnsi="宋体" w:eastAsia="宋体" w:cs="宋体"/>
          <w:sz w:val="21"/>
          <w:szCs w:val="21"/>
        </w:rPr>
        <w:t>  （1）高性能硬质合金材料</w:t>
      </w:r>
    </w:p>
    <w:p>
      <w:pPr>
        <w:pStyle w:val="4"/>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sz w:val="21"/>
          <w:szCs w:val="21"/>
        </w:rPr>
        <w:t>公司控股子公司博云东方是国家第三批专精特新“小巨人”企业，拥有具有自主知识产权的“高性能纳米/超细晶硬质合金制备技术”、“高性能特粗晶硬质合金制备技术”等核心技术，专业从事高性能硬质合金产品的研发、生产和销售。公司主要产品为高性能超细/纳米硬质合金棒材、高性能硬质合金模具材料、高性能特粗晶工程与矿用硬质合金、精深加工硬质合金成品（零/部件）等，应用于航空航天、汽车、国防建设、冶金、隧道等掘进工程和采矿、3C等工业领域。</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sz w:val="21"/>
          <w:szCs w:val="21"/>
        </w:rPr>
        <w:t>（2）稀有金属粉体材料</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sz w:val="21"/>
          <w:szCs w:val="21"/>
        </w:rPr>
        <w:t>公司全资子公司伟徽新材是专业从事稀有金属粉体新材料的研发、生产、销售的高新技术企业，公司主要产品分为碳化钽、碳化铬、碳化钒、碳化钛等一元碳化物，以及钨钛固溶体、钽铌固溶体、钨钛钽固溶体等多元复式碳化物。稀有金属碳化物粉末产品为硬质合金的重要添加剂和热喷涂材料的原料之一，并被最终应用于航空航天、汽车制造、国防军工、钢铁冶金、机械加工、电子通讯、矿山能源、建筑工程和海洋工程等各种领域。公司经过持续不断的技术创新，自主研发了高温真空碳化技术、低温裂解技术、高效节能碳化技术、碳化温度梯度控制技术、超细粉体粉碎技术等行业领先水平的稀有金属碳化物制备新技术。开发的金属碳化物微细粉末、超细碳化钽粉末、碳化钨钛铌锆固溶体粉末、碳化钨钛钽钼固溶体粉末、五元硬质合金用固溶体等新产品，填补了国内空白，满足硬质合金行业发展对碳化物的纯度、粒度和颗粒形貌不断提升的要求，推动稀有金属碳化物行业向高纯度化、高端化方向升级发展。</w:t>
      </w:r>
    </w:p>
    <w:p>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60" w:lineRule="atLeast"/>
        <w:ind w:right="0"/>
        <w:jc w:val="both"/>
        <w:textAlignment w:val="auto"/>
        <w:outlineLvl w:val="2"/>
        <w:rPr>
          <w:rStyle w:val="7"/>
          <w:rFonts w:hint="default" w:ascii="宋体" w:hAnsi="宋体" w:eastAsia="宋体" w:cs="宋体"/>
          <w:sz w:val="21"/>
          <w:szCs w:val="21"/>
        </w:rPr>
      </w:pPr>
      <w:r>
        <w:rPr>
          <w:rStyle w:val="7"/>
          <w:rFonts w:hint="eastAsia" w:ascii="宋体" w:hAnsi="宋体" w:eastAsia="宋体" w:cs="宋体"/>
          <w:sz w:val="21"/>
          <w:szCs w:val="21"/>
        </w:rPr>
        <w:t>（二）主要经营模式</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sz w:val="21"/>
          <w:szCs w:val="21"/>
        </w:rPr>
        <w:t>公司根据客户需求，设计研发客户所需要的产品，同时组织生产制造并进行产品销售。 根据公司运营的管理经验及科学的管理方式采取相应的研发模式、采购模式、生产模式和销售模式，适合公司自身发展需要，符合行业特点。</w:t>
      </w:r>
    </w:p>
    <w:p>
      <w:pPr>
        <w:pStyle w:val="4"/>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default" w:ascii="Times New Roman" w:hAnsi="Times New Roman" w:eastAsia="宋体" w:cs="Times New Roman"/>
          <w:sz w:val="24"/>
          <w:szCs w:val="24"/>
        </w:rPr>
        <w:t>①</w:t>
      </w:r>
      <w:r>
        <w:rPr>
          <w:rFonts w:hint="eastAsia" w:ascii="宋体" w:hAnsi="宋体" w:eastAsia="宋体" w:cs="宋体"/>
          <w:b w:val="0"/>
          <w:bCs w:val="0"/>
          <w:sz w:val="21"/>
          <w:szCs w:val="21"/>
        </w:rPr>
        <w:t>研发模式：</w:t>
      </w:r>
      <w:r>
        <w:rPr>
          <w:rFonts w:hint="eastAsia" w:ascii="宋体" w:hAnsi="宋体" w:eastAsia="宋体" w:cs="宋体"/>
          <w:sz w:val="21"/>
          <w:szCs w:val="21"/>
        </w:rPr>
        <w:t>公司设有研发部门，建立了科学合理的研发流程，围绕客户需求，结合技术研发、自身产品等优势，在收集整理市场需求信息的基础上，最大限度地利用现有资源，进行新产品研发设计，为客户的产品需求提供最具可行性的解决方案。</w:t>
      </w:r>
    </w:p>
    <w:p>
      <w:pPr>
        <w:pStyle w:val="4"/>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default" w:ascii="Times New Roman" w:hAnsi="Times New Roman" w:eastAsia="宋体" w:cs="Times New Roman"/>
          <w:sz w:val="24"/>
          <w:szCs w:val="24"/>
        </w:rPr>
        <w:t>②</w:t>
      </w:r>
      <w:r>
        <w:rPr>
          <w:rFonts w:hint="eastAsia" w:ascii="宋体" w:hAnsi="宋体" w:eastAsia="宋体" w:cs="宋体"/>
          <w:b w:val="0"/>
          <w:bCs w:val="0"/>
          <w:sz w:val="21"/>
          <w:szCs w:val="21"/>
        </w:rPr>
        <w:t>采</w:t>
      </w:r>
      <w:r>
        <w:rPr>
          <w:rFonts w:hint="eastAsia" w:ascii="宋体" w:hAnsi="宋体" w:eastAsia="宋体" w:cs="宋体"/>
          <w:sz w:val="21"/>
          <w:szCs w:val="21"/>
        </w:rPr>
        <w:t>购模式：公司主要采用以产定购的模式进行采购，公司的原材料和零部件主要是通过公司采购部门向供应商采购。公司实行严格的供应商管理制度，加强对供应商的管理并合理控制整体采购成本。</w:t>
      </w:r>
    </w:p>
    <w:p>
      <w:pPr>
        <w:pStyle w:val="4"/>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default" w:ascii="Times New Roman" w:hAnsi="Times New Roman" w:eastAsia="宋体" w:cs="Times New Roman"/>
          <w:sz w:val="24"/>
          <w:szCs w:val="24"/>
        </w:rPr>
        <w:t>③</w:t>
      </w:r>
      <w:r>
        <w:rPr>
          <w:rFonts w:hint="eastAsia" w:ascii="宋体" w:hAnsi="宋体" w:eastAsia="宋体" w:cs="宋体"/>
          <w:sz w:val="21"/>
          <w:szCs w:val="21"/>
        </w:rPr>
        <w:t>生产模式：根据公司的业务特点，公司采用“以销定产及适度备货”的生产模式。生产部门根据销售部门提供的订单，与有关部门协商确定生产计划，以保证生产计划与销售情况相适应。</w:t>
      </w:r>
    </w:p>
    <w:p>
      <w:pPr>
        <w:pStyle w:val="4"/>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default" w:ascii="Times New Roman" w:hAnsi="Times New Roman" w:eastAsia="宋体" w:cs="Times New Roman"/>
          <w:sz w:val="24"/>
          <w:szCs w:val="24"/>
        </w:rPr>
        <w:t>④</w:t>
      </w:r>
      <w:r>
        <w:rPr>
          <w:rFonts w:hint="eastAsia" w:ascii="宋体" w:hAnsi="宋体" w:eastAsia="宋体" w:cs="宋体"/>
          <w:sz w:val="21"/>
          <w:szCs w:val="21"/>
        </w:rPr>
        <w:t>销售模式：公司设有市场销售部门，主要采取直接销售给下游客户的直销模式。</w:t>
      </w:r>
    </w:p>
    <w:p>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60" w:lineRule="atLeast"/>
        <w:ind w:right="0"/>
        <w:jc w:val="both"/>
        <w:textAlignment w:val="auto"/>
        <w:outlineLvl w:val="2"/>
        <w:rPr>
          <w:rStyle w:val="7"/>
          <w:rFonts w:hint="default" w:ascii="宋体" w:hAnsi="宋体" w:eastAsia="宋体" w:cs="宋体"/>
          <w:sz w:val="21"/>
          <w:szCs w:val="21"/>
        </w:rPr>
      </w:pPr>
      <w:r>
        <w:rPr>
          <w:rStyle w:val="7"/>
          <w:rFonts w:hint="eastAsia" w:ascii="宋体" w:hAnsi="宋体" w:eastAsia="宋体" w:cs="宋体"/>
          <w:sz w:val="21"/>
          <w:szCs w:val="21"/>
        </w:rPr>
        <w:t>（三）主要业绩驱动因素</w:t>
      </w:r>
    </w:p>
    <w:p>
      <w:pPr>
        <w:pStyle w:val="4"/>
        <w:keepNext w:val="0"/>
        <w:keepLines w:val="0"/>
        <w:widowControl/>
        <w:suppressLineNumbers w:val="0"/>
        <w:spacing w:before="0" w:beforeAutospacing="0" w:after="0" w:afterAutospacing="0" w:line="360" w:lineRule="atLeast"/>
        <w:ind w:left="0" w:right="0" w:firstLine="420"/>
        <w:jc w:val="both"/>
        <w:rPr>
          <w:rFonts w:hint="eastAsia" w:ascii="Times New Roman" w:hAnsi="Times New Roman" w:eastAsia="宋体" w:cs="Times New Roman"/>
          <w:sz w:val="24"/>
          <w:szCs w:val="24"/>
          <w:lang w:eastAsia="zh-CN"/>
        </w:rPr>
      </w:pPr>
      <w:r>
        <w:rPr>
          <w:rFonts w:hint="default" w:ascii="Times New Roman" w:hAnsi="Times New Roman" w:eastAsia="宋体" w:cs="Times New Roman"/>
          <w:sz w:val="24"/>
          <w:szCs w:val="24"/>
        </w:rPr>
        <w:t>①</w:t>
      </w:r>
      <w:r>
        <w:rPr>
          <w:rFonts w:hint="eastAsia" w:ascii="宋体" w:hAnsi="宋体" w:eastAsia="宋体" w:cs="宋体"/>
          <w:b w:val="0"/>
          <w:bCs w:val="0"/>
          <w:sz w:val="21"/>
          <w:szCs w:val="21"/>
        </w:rPr>
        <w:t>紧抓市场机遇、聚焦客户需求</w:t>
      </w:r>
      <w:r>
        <w:rPr>
          <w:rFonts w:hint="eastAsia" w:ascii="宋体" w:hAnsi="宋体" w:eastAsia="宋体" w:cs="宋体"/>
          <w:sz w:val="21"/>
          <w:szCs w:val="21"/>
        </w:rPr>
        <w:t>，不断巩固</w:t>
      </w:r>
      <w:r>
        <w:rPr>
          <w:rFonts w:hint="eastAsia" w:ascii="宋体" w:hAnsi="宋体" w:cs="宋体"/>
          <w:sz w:val="21"/>
          <w:szCs w:val="21"/>
          <w:lang w:eastAsia="zh-CN"/>
        </w:rPr>
        <w:t>开拓</w:t>
      </w:r>
      <w:r>
        <w:rPr>
          <w:rFonts w:hint="eastAsia" w:ascii="宋体" w:hAnsi="宋体" w:eastAsia="宋体" w:cs="宋体"/>
          <w:sz w:val="21"/>
          <w:szCs w:val="21"/>
        </w:rPr>
        <w:t>市场能力。在航空航天领域，受国产大飞机研制和航空国产供应链政策拉动，国产航空零部件市场容量和份额将出现稳步上升，</w:t>
      </w:r>
      <w:r>
        <w:rPr>
          <w:rFonts w:hint="eastAsia" w:ascii="宋体" w:hAnsi="宋体" w:eastAsia="宋体" w:cs="宋体"/>
          <w:b w:val="0"/>
          <w:bCs w:val="0"/>
          <w:sz w:val="21"/>
          <w:szCs w:val="21"/>
        </w:rPr>
        <w:t>军机换代及民机国产化加速需求释放；受小卫星产业和卫星互联网等航天新基建产业发展影响，商业航天通过孕育也将进入快速发展期。在硬质合金领域，</w:t>
      </w:r>
      <w:r>
        <w:rPr>
          <w:rFonts w:hint="eastAsia" w:ascii="宋体" w:hAnsi="宋体" w:eastAsia="宋体" w:cs="宋体"/>
          <w:sz w:val="21"/>
          <w:szCs w:val="21"/>
        </w:rPr>
        <w:t>随着我国硬质合金企业技术进步，国产化替代不断加速，我国硬质合金行业市场规模不断壮大。</w:t>
      </w:r>
      <w:r>
        <w:rPr>
          <w:rFonts w:hint="eastAsia" w:ascii="宋体" w:hAnsi="宋体" w:eastAsia="宋体" w:cs="宋体"/>
          <w:b w:val="0"/>
          <w:bCs w:val="0"/>
          <w:sz w:val="21"/>
          <w:szCs w:val="21"/>
        </w:rPr>
        <w:t>公司紧抓市场机遇，依托稳定的科技创新能力、优秀的品牌影响力、良好的产品品质，大力开拓优质客户</w:t>
      </w:r>
      <w:r>
        <w:rPr>
          <w:rFonts w:hint="eastAsia" w:ascii="宋体" w:hAnsi="宋体" w:cs="宋体"/>
          <w:b w:val="0"/>
          <w:bCs w:val="0"/>
          <w:sz w:val="21"/>
          <w:szCs w:val="21"/>
          <w:lang w:eastAsia="zh-CN"/>
        </w:rPr>
        <w:t>。</w:t>
      </w:r>
    </w:p>
    <w:p>
      <w:pPr>
        <w:pStyle w:val="4"/>
        <w:keepNext w:val="0"/>
        <w:keepLines w:val="0"/>
        <w:widowControl/>
        <w:suppressLineNumbers w:val="0"/>
        <w:spacing w:before="0" w:beforeAutospacing="0" w:after="0" w:afterAutospacing="0" w:line="360" w:lineRule="atLeast"/>
        <w:ind w:left="0" w:right="0" w:firstLine="426"/>
        <w:jc w:val="both"/>
        <w:rPr>
          <w:rFonts w:hint="default" w:ascii="Times New Roman" w:hAnsi="Times New Roman" w:cs="Times New Roman"/>
          <w:sz w:val="24"/>
          <w:szCs w:val="24"/>
        </w:rPr>
      </w:pPr>
      <w:r>
        <w:rPr>
          <w:rFonts w:hint="default" w:ascii="Times New Roman" w:hAnsi="Times New Roman" w:eastAsia="宋体" w:cs="Times New Roman"/>
          <w:sz w:val="24"/>
          <w:szCs w:val="24"/>
        </w:rPr>
        <w:t>②</w:t>
      </w:r>
      <w:r>
        <w:rPr>
          <w:rFonts w:hint="eastAsia" w:ascii="宋体" w:hAnsi="宋体" w:eastAsia="宋体" w:cs="宋体"/>
          <w:sz w:val="21"/>
          <w:szCs w:val="21"/>
        </w:rPr>
        <w:t>深化产学研合作、加大研发创新力度，持续提升产品核心竞争力。公司始终秉承创新发展的理念，坚持自主创新，同时加强与科研院校的产学研合作，依托科研院校雄厚理论技术和丰富研究成果，助推公司工艺提升、新产品的研发及产业化进程，通过深化产学研合作，不断提升公司的核心竞争力。</w:t>
      </w:r>
      <w:bookmarkEnd w:id="18"/>
    </w:p>
    <w:p>
      <w:pPr>
        <w:keepNext/>
        <w:keepLines/>
        <w:spacing w:before="300" w:after="300" w:line="320" w:lineRule="exact"/>
        <w:jc w:val="left"/>
        <w:outlineLvl w:val="1"/>
        <w:rPr>
          <w:rFonts w:ascii="宋体" w:hAnsi="宋体" w:eastAsia="宋体" w:cs="宋体"/>
          <w:b/>
          <w:bCs/>
          <w:sz w:val="24"/>
          <w:szCs w:val="24"/>
        </w:rPr>
      </w:pPr>
      <w:bookmarkStart w:id="19" w:name="_Toc988905"/>
      <w:r>
        <w:rPr>
          <w:rFonts w:ascii="宋体" w:hAnsi="宋体" w:eastAsia="宋体" w:cs="宋体"/>
          <w:b/>
          <w:bCs/>
          <w:sz w:val="24"/>
          <w:szCs w:val="24"/>
        </w:rPr>
        <w:t>三、核心竞争力分析</w:t>
      </w:r>
      <w:bookmarkEnd w:id="19"/>
    </w:p>
    <w:p>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60" w:lineRule="atLeast"/>
        <w:ind w:right="0"/>
        <w:jc w:val="both"/>
        <w:textAlignment w:val="auto"/>
        <w:outlineLvl w:val="2"/>
        <w:rPr>
          <w:rStyle w:val="7"/>
          <w:rFonts w:hint="default" w:ascii="宋体" w:hAnsi="宋体" w:eastAsia="宋体" w:cs="宋体"/>
          <w:sz w:val="21"/>
          <w:szCs w:val="21"/>
        </w:rPr>
      </w:pPr>
      <w:r>
        <w:rPr>
          <w:rStyle w:val="7"/>
          <w:rFonts w:hint="eastAsia" w:ascii="宋体" w:hAnsi="宋体" w:eastAsia="宋体" w:cs="宋体"/>
          <w:sz w:val="21"/>
          <w:szCs w:val="21"/>
        </w:rPr>
        <w:t>（一）技术研发优势</w:t>
      </w:r>
    </w:p>
    <w:p>
      <w:pPr>
        <w:pStyle w:val="4"/>
        <w:keepNext w:val="0"/>
        <w:keepLines w:val="0"/>
        <w:widowControl/>
        <w:suppressLineNumbers w:val="0"/>
        <w:spacing w:before="0" w:beforeAutospacing="0" w:after="0" w:afterAutospacing="0" w:line="360" w:lineRule="atLeast"/>
        <w:ind w:left="0" w:right="0" w:firstLine="426"/>
        <w:jc w:val="both"/>
        <w:rPr>
          <w:rFonts w:hint="default" w:ascii="Times New Roman" w:hAnsi="Times New Roman" w:cs="Times New Roman"/>
          <w:sz w:val="24"/>
          <w:szCs w:val="24"/>
        </w:rPr>
      </w:pPr>
      <w:r>
        <w:rPr>
          <w:rFonts w:hint="eastAsia" w:ascii="宋体" w:hAnsi="宋体" w:eastAsia="宋体" w:cs="宋体"/>
          <w:sz w:val="21"/>
          <w:szCs w:val="21"/>
        </w:rPr>
        <w:t>公司依托中南大学，凝聚了一支以中国工程院黄伯云院士领衔的新材料人才队伍，通过与中南大学的粉末冶金国家重点实验室、粉末冶金国家工程研究中心、轻质高强材料国家级实验室等机构开展产学研合作，形成了国内较完善的粉末冶金材料、碳/碳复合材料等基础研究－应用研究－产业化的创新链，促进了公司自主创新能力的稳步提升。公司是中南大学研究生联合培养基地，旗下两家子公司入选国家级专精特新“小巨人”企业，拥有“国家炭/炭复合材料工程技术研究中心”、“湖南省高效精密硬质合金工模具工程技术研究中心”、“湖南省新材料中试平台”、3个“湖南省企业技术中心”和“博云航空制动研究院”等多层级创新平台。</w:t>
      </w:r>
    </w:p>
    <w:p>
      <w:pPr>
        <w:pStyle w:val="4"/>
        <w:widowControl/>
        <w:spacing w:beforeAutospacing="0" w:afterAutospacing="0" w:line="360" w:lineRule="atLeast"/>
        <w:ind w:firstLine="426"/>
        <w:jc w:val="both"/>
        <w:rPr>
          <w:szCs w:val="24"/>
        </w:rPr>
      </w:pPr>
      <w:r>
        <w:rPr>
          <w:rFonts w:hint="eastAsia" w:ascii="宋体" w:hAnsi="宋体" w:cs="宋体"/>
          <w:sz w:val="21"/>
          <w:szCs w:val="21"/>
        </w:rPr>
        <w:t>公司与中国商飞建立了长期的战略合作关系并参与建设国内唯一、世界先进的“大飞机地面动力学试验平台”；依托国家某重点项目建设的博云航空制动系统测试中心获得CNAS实验室认证，国内第一个有能力完成0.08MJ到130MJ能量覆盖范围的航空机轮刹车性能试验，具备现代航空制动系统正向设计到集成验证的自主研发能力，经与通过FAA认证的霍尼韦尔南湾试验台架对比验证试验，结果一致，达到国际先进水平，有效确保国产大飞机C919机轮刹车供应链安全可控。</w:t>
      </w:r>
    </w:p>
    <w:p>
      <w:pPr>
        <w:pStyle w:val="4"/>
        <w:widowControl/>
        <w:spacing w:beforeAutospacing="0" w:afterAutospacing="0" w:line="360" w:lineRule="atLeast"/>
        <w:ind w:firstLine="426"/>
        <w:jc w:val="both"/>
        <w:rPr>
          <w:szCs w:val="24"/>
        </w:rPr>
      </w:pPr>
      <w:r>
        <w:rPr>
          <w:rFonts w:hint="eastAsia" w:ascii="宋体" w:hAnsi="宋体" w:cs="宋体"/>
          <w:sz w:val="21"/>
          <w:szCs w:val="21"/>
        </w:rPr>
        <w:t>公司自主研制航空机轮及刹车系统、航空制动碳基复合材料、航天用耐烧蚀碳/碳复合材料、特粗晶/超细纳米硬质合金复合材料，其中：碳刹车盘组件取得国内民航客机第一个零部件制造人批准书（PMA0001）；全程参与C919国产大飞机机轮刹车碳盘的研制；耐烧蚀碳/碳复合材料喉衬是航天固体发动机的关键部件，配套快舟系列固体运载火箭等航天重大型号；特粗晶硬质合金成功应用于国内超大直径盾构机，解决超硬岩层深井盾构施工问题；超细纳米硬质合金可应用于国内航空航天、汽车等高端装备制造业所需高端刀具制造。</w:t>
      </w:r>
    </w:p>
    <w:p>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60" w:lineRule="atLeast"/>
        <w:ind w:right="0"/>
        <w:jc w:val="both"/>
        <w:textAlignment w:val="auto"/>
        <w:outlineLvl w:val="2"/>
        <w:rPr>
          <w:rStyle w:val="7"/>
          <w:rFonts w:hint="default" w:ascii="宋体" w:hAnsi="宋体" w:eastAsia="宋体" w:cs="宋体"/>
          <w:sz w:val="21"/>
          <w:szCs w:val="21"/>
        </w:rPr>
      </w:pPr>
      <w:r>
        <w:rPr>
          <w:rStyle w:val="7"/>
          <w:rFonts w:hint="eastAsia" w:ascii="宋体" w:hAnsi="宋体" w:eastAsia="宋体" w:cs="宋体"/>
          <w:sz w:val="21"/>
          <w:szCs w:val="21"/>
        </w:rPr>
        <w:t>（二）政策优势</w:t>
      </w:r>
    </w:p>
    <w:p>
      <w:pPr>
        <w:pStyle w:val="4"/>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sz w:val="21"/>
          <w:szCs w:val="21"/>
        </w:rPr>
        <w:t>公司为国家战略新兴产业、军民融合等政策支持发展的企业，公司的航空产品（民用、军用飞机刹车系统）和航天产品有助于国家航空战略安全，同时在国防上具有重要战略意义。公司主要产品所涉及的行业被国家列为优先重点发展行业。</w:t>
      </w:r>
    </w:p>
    <w:p>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60" w:lineRule="atLeast"/>
        <w:ind w:right="0"/>
        <w:jc w:val="both"/>
        <w:textAlignment w:val="auto"/>
        <w:outlineLvl w:val="2"/>
        <w:rPr>
          <w:rStyle w:val="7"/>
          <w:rFonts w:hint="default" w:ascii="宋体" w:hAnsi="宋体" w:eastAsia="宋体" w:cs="宋体"/>
          <w:sz w:val="21"/>
          <w:szCs w:val="21"/>
        </w:rPr>
      </w:pPr>
      <w:r>
        <w:rPr>
          <w:rStyle w:val="7"/>
          <w:rFonts w:hint="eastAsia" w:ascii="宋体" w:hAnsi="宋体" w:eastAsia="宋体" w:cs="宋体"/>
          <w:sz w:val="21"/>
          <w:szCs w:val="21"/>
        </w:rPr>
        <w:t>（三）可持续发展优势</w:t>
      </w:r>
    </w:p>
    <w:p>
      <w:pPr>
        <w:pStyle w:val="4"/>
        <w:keepNext w:val="0"/>
        <w:keepLines w:val="0"/>
        <w:widowControl/>
        <w:suppressLineNumbers w:val="0"/>
        <w:spacing w:before="0" w:beforeAutospacing="0" w:after="0" w:afterAutospacing="0" w:line="360" w:lineRule="atLeast"/>
        <w:ind w:left="0" w:right="0" w:firstLine="426"/>
        <w:jc w:val="both"/>
        <w:rPr>
          <w:rFonts w:hint="default" w:ascii="Times New Roman" w:hAnsi="Times New Roman" w:cs="Times New Roman"/>
          <w:sz w:val="24"/>
          <w:szCs w:val="24"/>
        </w:rPr>
      </w:pPr>
      <w:r>
        <w:rPr>
          <w:rFonts w:hint="eastAsia" w:ascii="宋体" w:hAnsi="宋体" w:eastAsia="宋体" w:cs="宋体"/>
          <w:sz w:val="21"/>
          <w:szCs w:val="21"/>
        </w:rPr>
        <w:t>公司开发的高性能粉末冶金材料和碳/碳复合材料产品通过在当前航空航天、工业用刀具模具、稀有金属粉体新材料等领域的应用，为公司产品拓展在其它领域的应用奠定了坚实的基础，有利于公司的可持续性发展。</w:t>
      </w:r>
    </w:p>
    <w:p>
      <w:pPr>
        <w:keepNext/>
        <w:keepLines/>
        <w:spacing w:before="300" w:after="300" w:line="320" w:lineRule="exact"/>
        <w:jc w:val="left"/>
        <w:outlineLvl w:val="1"/>
        <w:rPr>
          <w:rFonts w:ascii="宋体" w:hAnsi="宋体" w:eastAsia="宋体" w:cs="宋体"/>
          <w:b/>
          <w:bCs/>
          <w:sz w:val="24"/>
          <w:szCs w:val="24"/>
        </w:rPr>
      </w:pPr>
      <w:bookmarkStart w:id="20" w:name="_Toc988906"/>
      <w:r>
        <w:rPr>
          <w:rFonts w:ascii="宋体" w:hAnsi="宋体" w:eastAsia="宋体" w:cs="宋体"/>
          <w:b/>
          <w:bCs/>
          <w:sz w:val="24"/>
          <w:szCs w:val="24"/>
        </w:rPr>
        <w:t>四、主营业务分析</w:t>
      </w:r>
      <w:bookmarkEnd w:id="20"/>
    </w:p>
    <w:p>
      <w:pPr>
        <w:keepNext/>
        <w:keepLines/>
        <w:spacing w:before="300" w:after="300" w:line="280" w:lineRule="exact"/>
        <w:jc w:val="left"/>
        <w:outlineLvl w:val="2"/>
        <w:rPr>
          <w:rFonts w:ascii="宋体" w:hAnsi="宋体" w:eastAsia="宋体" w:cs="宋体"/>
          <w:b/>
          <w:bCs/>
          <w:sz w:val="21"/>
          <w:szCs w:val="21"/>
        </w:rPr>
      </w:pPr>
      <w:bookmarkStart w:id="21" w:name="_Toc988907"/>
      <w:r>
        <w:rPr>
          <w:rStyle w:val="7"/>
          <w:rFonts w:hint="eastAsia" w:ascii="宋体" w:hAnsi="宋体" w:eastAsia="宋体" w:cs="宋体"/>
          <w:sz w:val="21"/>
          <w:szCs w:val="21"/>
        </w:rPr>
        <w:t>（</w:t>
      </w:r>
      <w:r>
        <w:rPr>
          <w:rStyle w:val="7"/>
          <w:rFonts w:hint="eastAsia" w:ascii="宋体" w:hAnsi="宋体" w:eastAsia="宋体" w:cs="宋体"/>
          <w:sz w:val="21"/>
          <w:szCs w:val="21"/>
          <w:lang w:eastAsia="zh-CN"/>
        </w:rPr>
        <w:t>一</w:t>
      </w:r>
      <w:r>
        <w:rPr>
          <w:rStyle w:val="7"/>
          <w:rFonts w:hint="eastAsia" w:ascii="宋体" w:hAnsi="宋体" w:eastAsia="宋体" w:cs="宋体"/>
          <w:sz w:val="21"/>
          <w:szCs w:val="21"/>
        </w:rPr>
        <w:t>）</w:t>
      </w:r>
      <w:r>
        <w:rPr>
          <w:rFonts w:ascii="宋体" w:hAnsi="宋体" w:eastAsia="宋体" w:cs="宋体"/>
          <w:b/>
          <w:bCs/>
          <w:sz w:val="21"/>
          <w:szCs w:val="21"/>
        </w:rPr>
        <w:t>概述</w:t>
      </w:r>
      <w:bookmarkEnd w:id="21"/>
    </w:p>
    <w:p>
      <w:pPr>
        <w:pStyle w:val="4"/>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default" w:ascii="Times New Roman" w:hAnsi="Times New Roman" w:eastAsia="宋体" w:cs="Times New Roman"/>
          <w:sz w:val="21"/>
          <w:szCs w:val="21"/>
        </w:rPr>
        <w:t>2024</w:t>
      </w:r>
      <w:r>
        <w:rPr>
          <w:rFonts w:hint="eastAsia" w:ascii="宋体" w:hAnsi="宋体" w:eastAsia="宋体" w:cs="宋体"/>
          <w:sz w:val="21"/>
          <w:szCs w:val="21"/>
        </w:rPr>
        <w:t>年度，公司实现营业总收入</w:t>
      </w:r>
      <w:r>
        <w:rPr>
          <w:rFonts w:hint="default" w:ascii="Times New Roman" w:hAnsi="Times New Roman" w:eastAsia="宋体" w:cs="Times New Roman"/>
          <w:sz w:val="21"/>
          <w:szCs w:val="21"/>
        </w:rPr>
        <w:t>712,569,387.28</w:t>
      </w:r>
      <w:r>
        <w:rPr>
          <w:rFonts w:hint="eastAsia" w:ascii="宋体" w:hAnsi="宋体" w:eastAsia="宋体" w:cs="宋体"/>
          <w:sz w:val="21"/>
          <w:szCs w:val="21"/>
        </w:rPr>
        <w:t>元，同比增加</w:t>
      </w:r>
      <w:r>
        <w:rPr>
          <w:rFonts w:hint="default" w:ascii="Times New Roman" w:hAnsi="Times New Roman" w:eastAsia="宋体" w:cs="Times New Roman"/>
          <w:sz w:val="21"/>
          <w:szCs w:val="21"/>
        </w:rPr>
        <w:t>20.56%</w:t>
      </w:r>
      <w:r>
        <w:rPr>
          <w:rFonts w:hint="eastAsia" w:ascii="宋体" w:hAnsi="宋体" w:eastAsia="宋体" w:cs="宋体"/>
          <w:sz w:val="21"/>
          <w:szCs w:val="21"/>
        </w:rPr>
        <w:t>；归属于上市公司股东的净利润</w:t>
      </w:r>
      <w:r>
        <w:rPr>
          <w:rFonts w:hint="default" w:ascii="Times New Roman" w:hAnsi="Times New Roman" w:eastAsia="宋体" w:cs="Times New Roman"/>
          <w:sz w:val="21"/>
          <w:szCs w:val="21"/>
        </w:rPr>
        <w:t>-67,229,786.16</w:t>
      </w:r>
      <w:r>
        <w:rPr>
          <w:rFonts w:hint="eastAsia" w:ascii="宋体" w:hAnsi="宋体" w:eastAsia="宋体" w:cs="宋体"/>
          <w:sz w:val="21"/>
          <w:szCs w:val="21"/>
        </w:rPr>
        <w:t>元，同比下降</w:t>
      </w:r>
      <w:r>
        <w:rPr>
          <w:rFonts w:hint="default" w:ascii="Times New Roman" w:hAnsi="Times New Roman" w:eastAsia="宋体" w:cs="Times New Roman"/>
          <w:sz w:val="21"/>
          <w:szCs w:val="21"/>
        </w:rPr>
        <w:t>329.65%</w:t>
      </w:r>
      <w:r>
        <w:rPr>
          <w:rFonts w:hint="eastAsia" w:ascii="宋体" w:hAnsi="宋体" w:eastAsia="宋体" w:cs="宋体"/>
          <w:sz w:val="21"/>
          <w:szCs w:val="21"/>
        </w:rPr>
        <w:t>。</w:t>
      </w:r>
    </w:p>
    <w:p>
      <w:pPr>
        <w:keepNext/>
        <w:keepLines/>
        <w:pageBreakBefore w:val="0"/>
        <w:widowControl w:val="0"/>
        <w:kinsoku/>
        <w:wordWrap/>
        <w:overflowPunct/>
        <w:topLinePunct w:val="0"/>
        <w:autoSpaceDE/>
        <w:autoSpaceDN/>
        <w:bidi w:val="0"/>
        <w:adjustRightInd/>
        <w:snapToGrid/>
        <w:spacing w:before="180" w:after="120" w:line="280" w:lineRule="exact"/>
        <w:jc w:val="left"/>
        <w:textAlignment w:val="auto"/>
        <w:outlineLvl w:val="3"/>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1.报告期内经营情况</w:t>
      </w:r>
    </w:p>
    <w:p>
      <w:pPr>
        <w:pStyle w:val="4"/>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sz w:val="21"/>
          <w:szCs w:val="21"/>
        </w:rPr>
        <w:t>报告期内，公司克服航空航天板块部分型号暂停交付、硬质合金板块大环境两端承压影响，锚定目标，迎难而上，全力以赴开拓市场，抓稳管好科研生产，夯实内部管理工作，实现了报告期营业收入同比增长</w:t>
      </w:r>
      <w:r>
        <w:rPr>
          <w:rFonts w:hint="eastAsia" w:ascii="宋体" w:hAnsi="宋体" w:cs="宋体"/>
          <w:sz w:val="21"/>
          <w:szCs w:val="21"/>
          <w:lang w:val="en-US" w:eastAsia="zh-CN"/>
        </w:rPr>
        <w:t>20.56%</w:t>
      </w:r>
      <w:r>
        <w:rPr>
          <w:rFonts w:hint="eastAsia" w:ascii="宋体" w:hAnsi="宋体" w:eastAsia="宋体" w:cs="宋体"/>
          <w:sz w:val="21"/>
          <w:szCs w:val="21"/>
        </w:rPr>
        <w:t>，获评国务院国资委 “科改示范企业”“优秀”等级。</w:t>
      </w:r>
    </w:p>
    <w:p>
      <w:pPr>
        <w:pStyle w:val="4"/>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sz w:val="21"/>
          <w:szCs w:val="21"/>
        </w:rPr>
        <w:t>（</w:t>
      </w:r>
      <w:r>
        <w:rPr>
          <w:rFonts w:hint="default" w:ascii="Times New Roman" w:hAnsi="Times New Roman" w:eastAsia="宋体" w:cs="Times New Roman"/>
          <w:sz w:val="21"/>
          <w:szCs w:val="21"/>
        </w:rPr>
        <w:t>1</w:t>
      </w:r>
      <w:r>
        <w:rPr>
          <w:rFonts w:hint="eastAsia" w:ascii="宋体" w:hAnsi="宋体" w:eastAsia="宋体" w:cs="宋体"/>
          <w:sz w:val="21"/>
          <w:szCs w:val="21"/>
        </w:rPr>
        <w:t>）航空航天板块</w:t>
      </w:r>
    </w:p>
    <w:p>
      <w:pPr>
        <w:pStyle w:val="4"/>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ascii="Calibri" w:hAnsi="Calibri" w:eastAsia="宋体" w:cs="Calibri"/>
          <w:sz w:val="21"/>
          <w:szCs w:val="21"/>
        </w:rPr>
        <w:t>1</w:t>
      </w:r>
      <w:r>
        <w:rPr>
          <w:rFonts w:hint="eastAsia" w:ascii="宋体" w:hAnsi="宋体" w:eastAsia="宋体" w:cs="宋体"/>
          <w:sz w:val="21"/>
          <w:szCs w:val="21"/>
        </w:rPr>
        <w:t>）碳</w:t>
      </w:r>
      <w:r>
        <w:rPr>
          <w:rFonts w:hint="default" w:ascii="Times New Roman" w:hAnsi="Times New Roman" w:eastAsia="宋体" w:cs="Times New Roman"/>
          <w:sz w:val="21"/>
          <w:szCs w:val="21"/>
        </w:rPr>
        <w:t>/</w:t>
      </w:r>
      <w:r>
        <w:rPr>
          <w:rFonts w:hint="eastAsia" w:ascii="宋体" w:hAnsi="宋体" w:eastAsia="宋体" w:cs="宋体"/>
          <w:sz w:val="21"/>
          <w:szCs w:val="21"/>
        </w:rPr>
        <w:t>碳复合材料产品方面</w:t>
      </w:r>
    </w:p>
    <w:p>
      <w:pPr>
        <w:pStyle w:val="4"/>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sz w:val="21"/>
          <w:szCs w:val="21"/>
        </w:rPr>
        <w:t>全年共开展了多个产品开发项目的研制工作，完成某型碳</w:t>
      </w:r>
      <w:r>
        <w:rPr>
          <w:rFonts w:hint="default" w:ascii="Calibri" w:hAnsi="Calibri" w:eastAsia="宋体" w:cs="Calibri"/>
          <w:sz w:val="21"/>
          <w:szCs w:val="21"/>
        </w:rPr>
        <w:t>/</w:t>
      </w:r>
      <w:r>
        <w:rPr>
          <w:rFonts w:hint="eastAsia" w:ascii="宋体" w:hAnsi="宋体" w:eastAsia="宋体" w:cs="宋体"/>
          <w:sz w:val="21"/>
          <w:szCs w:val="21"/>
        </w:rPr>
        <w:t>碳复合材料的技术状态鉴定，获得客户批量订单。完成碳盘坯料大批量工艺技术的开发，并应用至其他重点型号。形成无人机航空用碳陶刹车批产产品</w:t>
      </w:r>
      <w:r>
        <w:rPr>
          <w:rFonts w:hint="default" w:ascii="Calibri" w:hAnsi="Calibri" w:eastAsia="宋体" w:cs="Calibri"/>
          <w:sz w:val="21"/>
          <w:szCs w:val="21"/>
        </w:rPr>
        <w:t>1</w:t>
      </w:r>
      <w:r>
        <w:rPr>
          <w:rFonts w:hint="eastAsia" w:ascii="宋体" w:hAnsi="宋体" w:eastAsia="宋体" w:cs="宋体"/>
          <w:sz w:val="21"/>
          <w:szCs w:val="21"/>
        </w:rPr>
        <w:t>项，多项航空用碳陶刹车产品在研，凭借公司研发团队的科研成果，获全国“创新增效”</w:t>
      </w:r>
      <w:r>
        <w:rPr>
          <w:rFonts w:hint="default" w:ascii="Calibri" w:hAnsi="Calibri" w:eastAsia="宋体" w:cs="Calibri"/>
          <w:sz w:val="21"/>
          <w:szCs w:val="21"/>
        </w:rPr>
        <w:t>TOP50</w:t>
      </w:r>
      <w:r>
        <w:rPr>
          <w:rFonts w:hint="eastAsia" w:ascii="宋体" w:hAnsi="宋体" w:eastAsia="宋体" w:cs="宋体"/>
          <w:sz w:val="21"/>
          <w:szCs w:val="21"/>
        </w:rPr>
        <w:t>最具转化价值奖一项，获湖南省创新创业大赛企业组一等奖一项，获湖南省先进技术转化应用大赛二等奖一项。在知识产权领域上，形成了一系列具有自主知识产权的核心技术，全年共有</w:t>
      </w:r>
      <w:r>
        <w:rPr>
          <w:rFonts w:hint="default" w:ascii="Calibri" w:hAnsi="Calibri" w:eastAsia="宋体" w:cs="Calibri"/>
          <w:sz w:val="21"/>
          <w:szCs w:val="21"/>
        </w:rPr>
        <w:t>7</w:t>
      </w:r>
      <w:r>
        <w:rPr>
          <w:rFonts w:hint="eastAsia" w:ascii="宋体" w:hAnsi="宋体" w:eastAsia="宋体" w:cs="宋体"/>
          <w:sz w:val="21"/>
          <w:szCs w:val="21"/>
        </w:rPr>
        <w:t>项专利（其中</w:t>
      </w:r>
      <w:r>
        <w:rPr>
          <w:rFonts w:hint="default" w:ascii="Calibri" w:hAnsi="Calibri" w:eastAsia="宋体" w:cs="Calibri"/>
          <w:sz w:val="21"/>
          <w:szCs w:val="21"/>
        </w:rPr>
        <w:t>5</w:t>
      </w:r>
      <w:r>
        <w:rPr>
          <w:rFonts w:hint="eastAsia" w:ascii="宋体" w:hAnsi="宋体" w:eastAsia="宋体" w:cs="宋体"/>
          <w:sz w:val="21"/>
          <w:szCs w:val="21"/>
        </w:rPr>
        <w:t>项发明专利）获得授权，技术创新实现了长足发展。在市场开拓上，在维持现有客户基础上，持续拓展新的航空市场，同时在航天市场成功开发重点客户。</w:t>
      </w:r>
    </w:p>
    <w:p>
      <w:pPr>
        <w:pStyle w:val="4"/>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default" w:ascii="Calibri" w:hAnsi="Calibri" w:eastAsia="宋体" w:cs="Calibri"/>
          <w:sz w:val="21"/>
          <w:szCs w:val="21"/>
        </w:rPr>
        <w:t>2</w:t>
      </w:r>
      <w:r>
        <w:rPr>
          <w:rFonts w:hint="eastAsia" w:ascii="宋体" w:hAnsi="宋体" w:eastAsia="宋体" w:cs="宋体"/>
          <w:sz w:val="21"/>
          <w:szCs w:val="21"/>
        </w:rPr>
        <w:t>）机轮刹车系统方面</w:t>
      </w:r>
    </w:p>
    <w:p>
      <w:pPr>
        <w:spacing w:line="360" w:lineRule="exact"/>
        <w:ind w:firstLine="420" w:firstLineChars="200"/>
        <w:rPr>
          <w:rFonts w:ascii="Times New Roman" w:hAnsi="Times New Roman"/>
          <w:bCs/>
          <w:sz w:val="21"/>
          <w:szCs w:val="21"/>
        </w:rPr>
      </w:pPr>
      <w:r>
        <w:rPr>
          <w:rFonts w:hint="eastAsia" w:ascii="Times New Roman" w:hAnsi="Times New Roman"/>
          <w:bCs/>
          <w:sz w:val="21"/>
          <w:szCs w:val="21"/>
        </w:rPr>
        <w:t>全资子公司长沙鑫航围绕“科研提速、生产提质、管理提效”总目标，全年共开展科研项目24项，多个科研项目已实现首飞。报告期内累计申请专利10项，其中发明专利5项；获得授权专利3项，其中发明专利2项。长沙鑫航荣获2024年中国航空工业集团有限公司科学技术奖一等奖，并获湖南省制造业单项冠军认定。在市场营销方面，积极开拓大修厂业务及无人机市场，新增数家无人机合作商，同时与数家达成意向合作。</w:t>
      </w:r>
    </w:p>
    <w:p>
      <w:pPr>
        <w:spacing w:line="360" w:lineRule="exact"/>
        <w:ind w:firstLine="420" w:firstLineChars="200"/>
        <w:rPr>
          <w:rFonts w:ascii="Times New Roman" w:hAnsi="Times New Roman"/>
          <w:bCs/>
          <w:sz w:val="21"/>
          <w:szCs w:val="21"/>
        </w:rPr>
      </w:pPr>
      <w:r>
        <w:rPr>
          <w:rFonts w:hint="eastAsia" w:ascii="Times New Roman" w:hAnsi="Times New Roman"/>
          <w:bCs/>
          <w:sz w:val="21"/>
          <w:szCs w:val="21"/>
        </w:rPr>
        <w:t>公司航空航天板块2024年有1名员工新获得享受政府特殊津贴殊荣，有1名员工获“湘直工匠”称号，7名员工入选2024年度 “湘江英才”， 某紧急生产项目青年突击队荣获 “2023 年度长沙市优秀青年突击队标兵”称号等。</w:t>
      </w:r>
    </w:p>
    <w:p>
      <w:pPr>
        <w:pStyle w:val="4"/>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sz w:val="21"/>
          <w:szCs w:val="21"/>
        </w:rPr>
        <w:t>（</w:t>
      </w:r>
      <w:r>
        <w:rPr>
          <w:rFonts w:hint="default" w:ascii="Times New Roman" w:hAnsi="Times New Roman" w:eastAsia="宋体" w:cs="Times New Roman"/>
          <w:sz w:val="21"/>
          <w:szCs w:val="21"/>
        </w:rPr>
        <w:t>2</w:t>
      </w:r>
      <w:r>
        <w:rPr>
          <w:rFonts w:hint="eastAsia" w:ascii="宋体" w:hAnsi="宋体" w:eastAsia="宋体" w:cs="宋体"/>
          <w:sz w:val="21"/>
          <w:szCs w:val="21"/>
        </w:rPr>
        <w:t>）硬质合金板块</w:t>
      </w:r>
    </w:p>
    <w:p>
      <w:pPr>
        <w:pStyle w:val="4"/>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default" w:ascii="Calibri" w:hAnsi="Calibri" w:eastAsia="宋体" w:cs="Calibri"/>
          <w:sz w:val="21"/>
          <w:szCs w:val="21"/>
        </w:rPr>
        <w:t>1</w:t>
      </w:r>
      <w:r>
        <w:rPr>
          <w:rFonts w:hint="eastAsia" w:ascii="宋体" w:hAnsi="宋体" w:eastAsia="宋体" w:cs="宋体"/>
          <w:sz w:val="21"/>
          <w:szCs w:val="21"/>
        </w:rPr>
        <w:t>）高性能硬质合金材料方面</w:t>
      </w:r>
    </w:p>
    <w:p>
      <w:pPr>
        <w:spacing w:line="360" w:lineRule="exact"/>
        <w:ind w:firstLine="420" w:firstLineChars="200"/>
        <w:rPr>
          <w:rFonts w:ascii="Times New Roman" w:hAnsi="Times New Roman"/>
          <w:bCs/>
          <w:sz w:val="21"/>
          <w:szCs w:val="21"/>
        </w:rPr>
      </w:pPr>
      <w:r>
        <w:rPr>
          <w:rFonts w:hint="eastAsia" w:ascii="Times New Roman" w:hAnsi="Times New Roman"/>
          <w:bCs/>
          <w:sz w:val="21"/>
          <w:szCs w:val="21"/>
        </w:rPr>
        <w:t>博云东方通过国家级专精特新“小巨人”企业复核；参与起草制定的国家标准GB/T 43878-2024《旋挖钻机截齿》已正式实施；湖南省高效精密硬质合金工模具工程技术研究中心完成了组建期目标任务及考核指标，通过了省科技厅验收评审；高性能超粗硬质合金获“2024年度全球工程机械配套件百强榜</w:t>
      </w:r>
      <w:r>
        <w:rPr>
          <w:rFonts w:ascii="Times New Roman" w:hAnsi="Times New Roman"/>
          <w:bCs/>
          <w:sz w:val="21"/>
          <w:szCs w:val="21"/>
        </w:rPr>
        <w:t>-</w:t>
      </w:r>
      <w:r>
        <w:rPr>
          <w:rFonts w:hint="eastAsia" w:ascii="Times New Roman" w:hAnsi="Times New Roman"/>
          <w:bCs/>
          <w:sz w:val="21"/>
          <w:szCs w:val="21"/>
        </w:rPr>
        <w:t>专用属具TOP10”；高性能纳米硬质合金获中国机床工具工业协会CCMT2024“春燕奖”。</w:t>
      </w:r>
    </w:p>
    <w:p>
      <w:pPr>
        <w:pStyle w:val="4"/>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default" w:ascii="Calibri" w:hAnsi="Calibri" w:eastAsia="宋体" w:cs="Calibri"/>
          <w:sz w:val="21"/>
          <w:szCs w:val="21"/>
        </w:rPr>
        <w:t>2</w:t>
      </w:r>
      <w:r>
        <w:rPr>
          <w:rFonts w:hint="eastAsia" w:ascii="宋体" w:hAnsi="宋体" w:eastAsia="宋体" w:cs="宋体"/>
          <w:sz w:val="21"/>
          <w:szCs w:val="21"/>
        </w:rPr>
        <w:t>）稀有金属粉体材料方面</w:t>
      </w:r>
    </w:p>
    <w:p>
      <w:pPr>
        <w:pStyle w:val="4"/>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sz w:val="21"/>
          <w:szCs w:val="21"/>
        </w:rPr>
        <w:t>全资子公司伟徽新材金属陶瓷用</w:t>
      </w:r>
      <w:r>
        <w:rPr>
          <w:rFonts w:hint="default" w:ascii="Times New Roman" w:hAnsi="Times New Roman" w:eastAsia="宋体" w:cs="Times New Roman"/>
          <w:sz w:val="21"/>
          <w:szCs w:val="21"/>
        </w:rPr>
        <w:t>Ti</w:t>
      </w:r>
      <w:r>
        <w:rPr>
          <w:rFonts w:hint="eastAsia" w:ascii="宋体" w:hAnsi="宋体" w:eastAsia="宋体" w:cs="宋体"/>
          <w:sz w:val="21"/>
          <w:szCs w:val="21"/>
        </w:rPr>
        <w:t>（</w:t>
      </w:r>
      <w:r>
        <w:rPr>
          <w:rFonts w:hint="default" w:ascii="Times New Roman" w:hAnsi="Times New Roman" w:eastAsia="宋体" w:cs="Times New Roman"/>
          <w:sz w:val="21"/>
          <w:szCs w:val="21"/>
        </w:rPr>
        <w:t>C,N</w:t>
      </w:r>
      <w:r>
        <w:rPr>
          <w:rFonts w:hint="eastAsia" w:ascii="宋体" w:hAnsi="宋体" w:eastAsia="宋体" w:cs="宋体"/>
          <w:sz w:val="21"/>
          <w:szCs w:val="21"/>
        </w:rPr>
        <w:t>）粉末技术攻关项目已向两家重点客户提供了样品。凭“硬质合金用超细碳化铬关键技术的研发及产业化项目”荣获创新创业大赛全国优秀企业奖，并获得湖南省专精特新中小企业和湖南省企业技术中心认定，跻身长沙市智能制造试点企业之列。</w:t>
      </w:r>
    </w:p>
    <w:p>
      <w:pPr>
        <w:keepNext/>
        <w:keepLines/>
        <w:pageBreakBefore w:val="0"/>
        <w:widowControl w:val="0"/>
        <w:kinsoku/>
        <w:wordWrap/>
        <w:overflowPunct/>
        <w:topLinePunct w:val="0"/>
        <w:autoSpaceDE/>
        <w:autoSpaceDN/>
        <w:bidi w:val="0"/>
        <w:adjustRightInd/>
        <w:snapToGrid/>
        <w:spacing w:before="180" w:after="120" w:line="280" w:lineRule="exact"/>
        <w:jc w:val="left"/>
        <w:textAlignment w:val="auto"/>
        <w:outlineLvl w:val="3"/>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2.</w:t>
      </w:r>
      <w:bookmarkStart w:id="22" w:name="OLE_LINK8"/>
      <w:r>
        <w:rPr>
          <w:rFonts w:hint="eastAsia" w:ascii="宋体" w:hAnsi="宋体" w:eastAsia="宋体" w:cs="宋体"/>
          <w:b/>
          <w:bCs/>
          <w:sz w:val="21"/>
          <w:szCs w:val="21"/>
          <w:lang w:val="en-US" w:eastAsia="zh-CN"/>
        </w:rPr>
        <w:t>报告期内由盈转亏原因分析</w:t>
      </w:r>
      <w:bookmarkEnd w:id="22"/>
    </w:p>
    <w:p>
      <w:pPr>
        <w:pStyle w:val="4"/>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sz w:val="21"/>
          <w:szCs w:val="21"/>
        </w:rPr>
        <w:t>报告期内公司</w:t>
      </w:r>
      <w:r>
        <w:rPr>
          <w:rFonts w:hint="default" w:ascii="Times New Roman" w:hAnsi="Times New Roman" w:eastAsia="宋体" w:cs="Times New Roman"/>
          <w:sz w:val="21"/>
          <w:szCs w:val="21"/>
        </w:rPr>
        <w:t>2024</w:t>
      </w:r>
      <w:r>
        <w:rPr>
          <w:rFonts w:hint="eastAsia" w:ascii="宋体" w:hAnsi="宋体" w:eastAsia="宋体" w:cs="宋体"/>
          <w:sz w:val="21"/>
          <w:szCs w:val="21"/>
        </w:rPr>
        <w:t>年净利润由盈转亏，且同比降幅较大，主要原因为：</w:t>
      </w:r>
      <w:bookmarkStart w:id="23" w:name="OLE_LINK9"/>
      <w:r>
        <w:rPr>
          <w:rFonts w:hint="default" w:ascii="Times New Roman" w:hAnsi="Times New Roman" w:eastAsia="宋体" w:cs="Times New Roman"/>
          <w:sz w:val="24"/>
          <w:szCs w:val="24"/>
        </w:rPr>
        <w:t>①</w:t>
      </w:r>
      <w:bookmarkEnd w:id="23"/>
      <w:r>
        <w:rPr>
          <w:rFonts w:hint="eastAsia" w:ascii="宋体" w:hAnsi="宋体" w:eastAsia="宋体" w:cs="宋体"/>
          <w:sz w:val="21"/>
          <w:szCs w:val="21"/>
        </w:rPr>
        <w:t>报告期内公司硬质合金板块积极拓展市场，营业收入同比保持了一定的增长，但受硬质合金市场竞争加剧、原辅料价格高位波动以及博云东方麓谷新基地投产后折旧费用等固定开支增加等综合因素影响，硬质合金板块特别是博云东方的整体毛利率及净利润同比下降较大；</w:t>
      </w:r>
      <w:bookmarkStart w:id="24" w:name="OLE_LINK10"/>
      <w:r>
        <w:rPr>
          <w:rFonts w:hint="default" w:ascii="Times New Roman" w:hAnsi="Times New Roman" w:eastAsia="宋体" w:cs="Times New Roman"/>
          <w:sz w:val="24"/>
          <w:szCs w:val="24"/>
        </w:rPr>
        <w:t>②</w:t>
      </w:r>
      <w:bookmarkEnd w:id="24"/>
      <w:r>
        <w:rPr>
          <w:rFonts w:hint="eastAsia" w:ascii="宋体" w:hAnsi="宋体" w:eastAsia="宋体" w:cs="宋体"/>
          <w:sz w:val="21"/>
          <w:szCs w:val="21"/>
        </w:rPr>
        <w:t>报告期长沙鑫航某研保项目补助资金应工信部的要求由“递延收益</w:t>
      </w:r>
      <w:r>
        <w:rPr>
          <w:rFonts w:hint="default" w:ascii="Times New Roman" w:hAnsi="Times New Roman" w:eastAsia="宋体" w:cs="Times New Roman"/>
          <w:sz w:val="21"/>
          <w:szCs w:val="21"/>
        </w:rPr>
        <w:t>-</w:t>
      </w:r>
      <w:r>
        <w:rPr>
          <w:rFonts w:hint="eastAsia" w:ascii="宋体" w:hAnsi="宋体" w:eastAsia="宋体" w:cs="宋体"/>
          <w:sz w:val="21"/>
          <w:szCs w:val="21"/>
        </w:rPr>
        <w:t xml:space="preserve">与资产相关的政府补助”变更为以国有资本金的形式资本金注入，使得 </w:t>
      </w:r>
      <w:r>
        <w:rPr>
          <w:rFonts w:hint="default" w:ascii="Times New Roman" w:hAnsi="Times New Roman" w:eastAsia="宋体" w:cs="Times New Roman"/>
          <w:sz w:val="21"/>
          <w:szCs w:val="21"/>
        </w:rPr>
        <w:t xml:space="preserve">2023 </w:t>
      </w:r>
      <w:r>
        <w:rPr>
          <w:rFonts w:hint="eastAsia" w:ascii="宋体" w:hAnsi="宋体" w:eastAsia="宋体" w:cs="宋体"/>
          <w:sz w:val="21"/>
          <w:szCs w:val="21"/>
        </w:rPr>
        <w:t xml:space="preserve">年度前累计已摊销部分递延收益计入营业外支出，从而减少报告期净利润，具体情况请见公司发布在巨潮资讯网的《关于全资子公司长沙鑫航 </w:t>
      </w:r>
      <w:r>
        <w:rPr>
          <w:rFonts w:hint="default" w:ascii="Times New Roman" w:hAnsi="Times New Roman" w:eastAsia="宋体" w:cs="Times New Roman"/>
          <w:sz w:val="21"/>
          <w:szCs w:val="21"/>
        </w:rPr>
        <w:t xml:space="preserve">XXX </w:t>
      </w:r>
      <w:r>
        <w:rPr>
          <w:rFonts w:hint="eastAsia" w:ascii="宋体" w:hAnsi="宋体" w:eastAsia="宋体" w:cs="宋体"/>
          <w:sz w:val="21"/>
          <w:szCs w:val="21"/>
        </w:rPr>
        <w:t>机轮及刹车系统研制保障条件建设项目以前年度收到的政府补助资金变更为国有资本金注入的公告》（公告编号：</w:t>
      </w:r>
      <w:r>
        <w:rPr>
          <w:rFonts w:hint="default" w:ascii="Times New Roman" w:hAnsi="Times New Roman" w:eastAsia="宋体" w:cs="Times New Roman"/>
          <w:sz w:val="21"/>
          <w:szCs w:val="21"/>
        </w:rPr>
        <w:t>2024-022</w:t>
      </w:r>
      <w:r>
        <w:rPr>
          <w:rFonts w:hint="eastAsia" w:ascii="宋体" w:hAnsi="宋体" w:eastAsia="宋体" w:cs="宋体"/>
          <w:sz w:val="21"/>
          <w:szCs w:val="21"/>
        </w:rPr>
        <w:t>）；</w:t>
      </w:r>
      <w:bookmarkStart w:id="25" w:name="OLE_LINK11"/>
      <w:r>
        <w:rPr>
          <w:rFonts w:hint="default" w:ascii="Times New Roman" w:hAnsi="Times New Roman" w:eastAsia="宋体" w:cs="Times New Roman"/>
          <w:sz w:val="24"/>
          <w:szCs w:val="24"/>
        </w:rPr>
        <w:t>③</w:t>
      </w:r>
      <w:bookmarkEnd w:id="25"/>
      <w:r>
        <w:rPr>
          <w:rFonts w:hint="eastAsia" w:ascii="宋体" w:hAnsi="宋体" w:eastAsia="宋体" w:cs="宋体"/>
          <w:sz w:val="21"/>
          <w:szCs w:val="21"/>
        </w:rPr>
        <w:t>按照会计准则要求，计提相关研究开发支出</w:t>
      </w:r>
      <w:r>
        <w:rPr>
          <w:rFonts w:hint="eastAsia" w:ascii="宋体" w:hAnsi="宋体" w:cs="宋体"/>
          <w:sz w:val="21"/>
          <w:szCs w:val="21"/>
          <w:lang w:eastAsia="zh-CN"/>
        </w:rPr>
        <w:t>减值准备</w:t>
      </w:r>
      <w:r>
        <w:rPr>
          <w:rFonts w:hint="eastAsia" w:ascii="宋体" w:hAnsi="宋体" w:eastAsia="宋体" w:cs="宋体"/>
          <w:sz w:val="21"/>
          <w:szCs w:val="21"/>
        </w:rPr>
        <w:t>及存货跌价准备等。</w:t>
      </w:r>
    </w:p>
    <w:p>
      <w:pPr>
        <w:keepNext/>
        <w:keepLines/>
        <w:spacing w:before="300" w:after="300" w:line="280" w:lineRule="exact"/>
        <w:jc w:val="left"/>
        <w:outlineLvl w:val="2"/>
        <w:rPr>
          <w:rFonts w:ascii="宋体" w:hAnsi="宋体" w:eastAsia="宋体" w:cs="宋体"/>
          <w:b/>
          <w:bCs/>
          <w:sz w:val="21"/>
          <w:szCs w:val="21"/>
        </w:rPr>
      </w:pPr>
      <w:bookmarkStart w:id="26" w:name="_Toc988908"/>
      <w:r>
        <w:rPr>
          <w:rFonts w:hint="eastAsia" w:ascii="宋体" w:hAnsi="宋体" w:eastAsia="宋体" w:cs="宋体"/>
          <w:b/>
          <w:bCs/>
          <w:sz w:val="21"/>
          <w:szCs w:val="21"/>
          <w:lang w:eastAsia="zh-CN"/>
        </w:rPr>
        <w:t>（二）</w:t>
      </w:r>
      <w:r>
        <w:rPr>
          <w:rFonts w:ascii="宋体" w:hAnsi="宋体" w:eastAsia="宋体" w:cs="宋体"/>
          <w:b/>
          <w:bCs/>
          <w:sz w:val="21"/>
          <w:szCs w:val="21"/>
        </w:rPr>
        <w:t>收入与成本</w:t>
      </w:r>
      <w:bookmarkEnd w:id="26"/>
    </w:p>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3"/>
        <w:rPr>
          <w:rFonts w:hint="eastAsia" w:ascii="宋体" w:hAnsi="宋体" w:eastAsia="宋体" w:cs="宋体"/>
          <w:b/>
          <w:bCs/>
          <w:sz w:val="21"/>
          <w:szCs w:val="21"/>
          <w:lang w:val="en-US" w:eastAsia="zh-CN"/>
        </w:rPr>
      </w:pPr>
      <w:bookmarkStart w:id="27" w:name="_Toc988909"/>
      <w:r>
        <w:rPr>
          <w:rFonts w:hint="eastAsia" w:ascii="宋体" w:hAnsi="宋体" w:eastAsia="宋体" w:cs="宋体"/>
          <w:b/>
          <w:bCs/>
          <w:sz w:val="21"/>
          <w:szCs w:val="21"/>
          <w:lang w:val="en-US" w:eastAsia="zh-CN"/>
        </w:rPr>
        <w:t>1.营业收入构成</w:t>
      </w:r>
      <w:bookmarkEnd w:id="27"/>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2024年</w:t>
            </w:r>
          </w:p>
        </w:tc>
        <w:tc>
          <w:tcPr>
            <w:tcW w:w="321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2023年</w:t>
            </w:r>
          </w:p>
        </w:tc>
        <w:tc>
          <w:tcPr>
            <w:tcW w:w="160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同比增减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占营业收入比重</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占营业收入比重</w:t>
            </w:r>
          </w:p>
        </w:tc>
        <w:tc>
          <w:tcPr>
            <w:tcW w:w="160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营业收入合计</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712,569,387.28</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shd w:val="clear" w:color="auto" w:fill="D3D3D3"/>
              </w:rPr>
            </w:pPr>
            <w:r>
              <w:rPr>
                <w:rFonts w:ascii="宋体" w:hAnsi="宋体" w:eastAsia="宋体" w:cs="宋体"/>
                <w:sz w:val="18"/>
                <w:szCs w:val="18"/>
                <w:shd w:val="clear" w:color="auto" w:fill="D3D3D3"/>
              </w:rPr>
              <w:t>100%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591,057,966.96</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shd w:val="clear" w:color="auto" w:fill="D3D3D3"/>
              </w:rPr>
            </w:pPr>
            <w:r>
              <w:rPr>
                <w:rFonts w:ascii="宋体" w:hAnsi="宋体" w:eastAsia="宋体" w:cs="宋体"/>
                <w:sz w:val="18"/>
                <w:szCs w:val="18"/>
                <w:shd w:val="clear" w:color="auto" w:fill="D3D3D3"/>
              </w:rPr>
              <w:t>100%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6"/>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分行业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航空航天及民用碳/碳复合材料</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266,523,798.29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37.40%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242,527,448.96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41.03%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9.89%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粉末冶金（硬质合金）</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426,104,453.20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59.80%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324,751,514.49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54.95%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19,941,135.79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2.80%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23,779,003.51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4.02%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-16.14%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6"/>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分产品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航空航天及民用碳/碳复合材料</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266,523,798.29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37.40%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242,527,448.96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41.03%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9.89%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高性能硬质合金及相关材料</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426,104,453.20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59.80%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324,751,514.49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54.95%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19,941,135.79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2.80%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23,779,003.51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4.02%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-16.14%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6"/>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分地区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国内地区</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666,793,810.45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93.58%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531,252,224.98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89.88%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25.51%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国外地区</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45,775,576.83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6.42%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59,805,741.98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10.12%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-23.46%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6"/>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分销售模式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直销</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712,569,387.28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100.00%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591,057,966.96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100.00%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20.56%</w:t>
            </w:r>
          </w:p>
        </w:tc>
      </w:tr>
    </w:tbl>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3"/>
        <w:rPr>
          <w:rFonts w:hint="eastAsia" w:ascii="宋体" w:hAnsi="宋体" w:eastAsia="宋体" w:cs="宋体"/>
          <w:b/>
          <w:bCs/>
          <w:sz w:val="21"/>
          <w:szCs w:val="21"/>
          <w:lang w:val="en-US" w:eastAsia="zh-CN"/>
        </w:rPr>
      </w:pPr>
      <w:bookmarkStart w:id="28" w:name="_Toc988910"/>
      <w:r>
        <w:rPr>
          <w:rFonts w:hint="eastAsia" w:ascii="宋体" w:hAnsi="宋体" w:eastAsia="宋体" w:cs="宋体"/>
          <w:b/>
          <w:bCs/>
          <w:sz w:val="21"/>
          <w:szCs w:val="21"/>
          <w:lang w:val="en-US" w:eastAsia="zh-CN"/>
        </w:rPr>
        <w:t>2.占公司营业收入或营业利润10%以上的行业、产品、地区、销售模式的情况</w:t>
      </w:r>
      <w:bookmarkEnd w:id="28"/>
    </w:p>
    <w:p>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500"/>
        <w:gridCol w:w="1560"/>
        <w:gridCol w:w="1071"/>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5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营业收入</w:t>
            </w:r>
          </w:p>
        </w:tc>
        <w:tc>
          <w:tcPr>
            <w:tcW w:w="156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营业成本</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毛利率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营业收入比上年同期增减</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营业成本比上年同期增减</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毛利率比上年同期增减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7"/>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分行业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航空航天及民用碳/碳复合材料</w:t>
            </w:r>
          </w:p>
        </w:tc>
        <w:tc>
          <w:tcPr>
            <w:tcW w:w="15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266,523,798.29</w:t>
            </w:r>
          </w:p>
        </w:tc>
        <w:tc>
          <w:tcPr>
            <w:tcW w:w="15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136,760,049.65</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48.69%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9.89%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8.46%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粉末冶金（硬质合金）</w:t>
            </w:r>
          </w:p>
        </w:tc>
        <w:tc>
          <w:tcPr>
            <w:tcW w:w="15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426,104,453.20</w:t>
            </w:r>
          </w:p>
        </w:tc>
        <w:tc>
          <w:tcPr>
            <w:tcW w:w="15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417,788,074.83</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31.21%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45.56%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-9.67%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7"/>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分产品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航空航天及民用碳/碳复合材料</w:t>
            </w:r>
          </w:p>
        </w:tc>
        <w:tc>
          <w:tcPr>
            <w:tcW w:w="15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266,523,798.29</w:t>
            </w:r>
          </w:p>
        </w:tc>
        <w:tc>
          <w:tcPr>
            <w:tcW w:w="15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136,760,049.65</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48.69%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9.89%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8.46%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高性能硬质合金及相关材料</w:t>
            </w:r>
          </w:p>
        </w:tc>
        <w:tc>
          <w:tcPr>
            <w:tcW w:w="15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426,104,453.20</w:t>
            </w:r>
          </w:p>
        </w:tc>
        <w:tc>
          <w:tcPr>
            <w:tcW w:w="15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417,788,074.83</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31.21%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45.56%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-9.67%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7"/>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分地区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国内地区</w:t>
            </w:r>
          </w:p>
        </w:tc>
        <w:tc>
          <w:tcPr>
            <w:tcW w:w="15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646,852,674.66</w:t>
            </w:r>
          </w:p>
        </w:tc>
        <w:tc>
          <w:tcPr>
            <w:tcW w:w="15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516,154,784.82</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20.21%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27.47%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29.44%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国外地区</w:t>
            </w:r>
          </w:p>
        </w:tc>
        <w:tc>
          <w:tcPr>
            <w:tcW w:w="15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45,775,576.83</w:t>
            </w:r>
          </w:p>
        </w:tc>
        <w:tc>
          <w:tcPr>
            <w:tcW w:w="15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38,393,339.66</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16.13%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-23.46%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15.55%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-28.31%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7"/>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分销售模式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直销</w:t>
            </w:r>
          </w:p>
        </w:tc>
        <w:tc>
          <w:tcPr>
            <w:tcW w:w="15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692,628,251.49</w:t>
            </w:r>
          </w:p>
        </w:tc>
        <w:tc>
          <w:tcPr>
            <w:tcW w:w="15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554,548,124.48</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22.10%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28.37%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-3.91%</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公司主营业务数据统计口径在报告期发生调整的情况下，公司最近1年按报告期末口径调整后的主营业务数据</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3"/>
        <w:rPr>
          <w:rFonts w:hint="eastAsia" w:ascii="宋体" w:hAnsi="宋体" w:eastAsia="宋体" w:cs="宋体"/>
          <w:b/>
          <w:bCs/>
          <w:sz w:val="21"/>
          <w:szCs w:val="21"/>
          <w:lang w:val="en-US" w:eastAsia="zh-CN"/>
        </w:rPr>
      </w:pPr>
      <w:bookmarkStart w:id="29" w:name="_Toc988911"/>
      <w:r>
        <w:rPr>
          <w:rFonts w:hint="eastAsia" w:ascii="宋体" w:hAnsi="宋体" w:eastAsia="宋体" w:cs="宋体"/>
          <w:b/>
          <w:bCs/>
          <w:sz w:val="21"/>
          <w:szCs w:val="21"/>
          <w:lang w:val="en-US" w:eastAsia="zh-CN"/>
        </w:rPr>
        <w:t>3.公司实物销售收入是否大于劳务收入</w:t>
      </w:r>
      <w:bookmarkEnd w:id="29"/>
    </w:p>
    <w:p>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是 □否</w:t>
      </w:r>
    </w:p>
    <w:tbl>
      <w:tblPr>
        <w:tblStyle w:val="5"/>
        <w:tblW w:w="963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行业分类</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单位</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2024年</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2023年</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同比增减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vMerge w:val="restart"/>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粉末冶金（硬质合金）</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销售量</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吨</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1,174.88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884.47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32.83%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vMerge w:val="continue"/>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生产量</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吨</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1,195.21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963.76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24.02%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vMerge w:val="continue"/>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库存量</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吨</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420.97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400.64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5.07%</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相关数据同比发生变动30%以上的原因说明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pStyle w:val="4"/>
        <w:keepNext w:val="0"/>
        <w:keepLines w:val="0"/>
        <w:widowControl/>
        <w:suppressLineNumbers w:val="0"/>
      </w:pPr>
      <w:r>
        <w:rPr>
          <w:rFonts w:hint="eastAsia" w:ascii="宋体" w:hAnsi="宋体" w:eastAsia="宋体" w:cs="宋体"/>
          <w:sz w:val="18"/>
          <w:szCs w:val="18"/>
        </w:rPr>
        <w:t>主要因子公司博云东方因麓谷基地生产线投入使用，生产规模扩大，销售增加。</w:t>
      </w:r>
    </w:p>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3"/>
        <w:rPr>
          <w:rFonts w:hint="eastAsia" w:ascii="宋体" w:hAnsi="宋体" w:eastAsia="宋体" w:cs="宋体"/>
          <w:b/>
          <w:bCs/>
          <w:sz w:val="21"/>
          <w:szCs w:val="21"/>
          <w:lang w:val="en-US" w:eastAsia="zh-CN"/>
        </w:rPr>
      </w:pPr>
      <w:bookmarkStart w:id="30" w:name="_Toc988912"/>
      <w:r>
        <w:rPr>
          <w:rFonts w:hint="eastAsia" w:ascii="宋体" w:hAnsi="宋体" w:eastAsia="宋体" w:cs="宋体"/>
          <w:b/>
          <w:bCs/>
          <w:sz w:val="21"/>
          <w:szCs w:val="21"/>
          <w:lang w:val="en-US" w:eastAsia="zh-CN"/>
        </w:rPr>
        <w:t>4.公司已签订的重大销售合同、重大采购合同截至本报告期的履行情况</w:t>
      </w:r>
      <w:bookmarkEnd w:id="30"/>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3"/>
        <w:rPr>
          <w:rFonts w:hint="eastAsia" w:ascii="宋体" w:hAnsi="宋体" w:eastAsia="宋体" w:cs="宋体"/>
          <w:b/>
          <w:bCs/>
          <w:sz w:val="21"/>
          <w:szCs w:val="21"/>
          <w:lang w:val="en-US" w:eastAsia="zh-CN"/>
        </w:rPr>
      </w:pPr>
      <w:bookmarkStart w:id="31" w:name="_Toc988913"/>
      <w:r>
        <w:rPr>
          <w:rFonts w:hint="eastAsia" w:ascii="宋体" w:hAnsi="宋体" w:eastAsia="宋体" w:cs="宋体"/>
          <w:b/>
          <w:bCs/>
          <w:sz w:val="21"/>
          <w:szCs w:val="21"/>
          <w:lang w:val="en-US" w:eastAsia="zh-CN"/>
        </w:rPr>
        <w:t>5.营业成本构成</w:t>
      </w:r>
      <w:bookmarkEnd w:id="31"/>
    </w:p>
    <w:p>
      <w:pPr>
        <w:spacing w:before="100" w:after="100" w:line="240" w:lineRule="exact"/>
        <w:jc w:val="left"/>
        <w:rPr>
          <w:rFonts w:ascii="宋体" w:hAnsi="宋体" w:eastAsia="宋体" w:cs="宋体"/>
          <w:sz w:val="18"/>
          <w:szCs w:val="18"/>
        </w:rPr>
      </w:pPr>
      <w:r>
        <w:rPr>
          <w:rFonts w:ascii="宋体" w:hAnsi="宋体" w:eastAsia="宋体" w:cs="宋体"/>
          <w:sz w:val="18"/>
          <w:szCs w:val="18"/>
        </w:rPr>
        <w:t>行业和产品分类</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557"/>
        <w:gridCol w:w="1400"/>
        <w:gridCol w:w="1580"/>
        <w:gridCol w:w="1110"/>
        <w:gridCol w:w="1590"/>
        <w:gridCol w:w="1025"/>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55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行业分类</w:t>
            </w:r>
          </w:p>
        </w:tc>
        <w:tc>
          <w:tcPr>
            <w:tcW w:w="140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2690"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2024年</w:t>
            </w:r>
          </w:p>
        </w:tc>
        <w:tc>
          <w:tcPr>
            <w:tcW w:w="2615"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2023年</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同比增减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55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40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58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11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占营业成本比重</w:t>
            </w:r>
          </w:p>
        </w:tc>
        <w:tc>
          <w:tcPr>
            <w:tcW w:w="159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102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占营业成本比重</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55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航空航天及民用碳/碳复合材料</w:t>
            </w:r>
          </w:p>
        </w:tc>
        <w:tc>
          <w:tcPr>
            <w:tcW w:w="14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主营业务成本</w:t>
            </w:r>
          </w:p>
        </w:tc>
        <w:tc>
          <w:tcPr>
            <w:tcW w:w="158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136,760,049.65</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24.39%</w:t>
            </w:r>
          </w:p>
        </w:tc>
        <w:tc>
          <w:tcPr>
            <w:tcW w:w="15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144,954,829.43</w:t>
            </w:r>
          </w:p>
        </w:tc>
        <w:tc>
          <w:tcPr>
            <w:tcW w:w="10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32.91%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55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粉末冶金（硬质合金）</w:t>
            </w:r>
          </w:p>
        </w:tc>
        <w:tc>
          <w:tcPr>
            <w:tcW w:w="14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主营业务成本</w:t>
            </w:r>
          </w:p>
        </w:tc>
        <w:tc>
          <w:tcPr>
            <w:tcW w:w="158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417,788,074.83</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74.50%</w:t>
            </w:r>
          </w:p>
        </w:tc>
        <w:tc>
          <w:tcPr>
            <w:tcW w:w="15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287,030,906.08</w:t>
            </w:r>
          </w:p>
        </w:tc>
        <w:tc>
          <w:tcPr>
            <w:tcW w:w="10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65.18%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45.56%</w:t>
            </w:r>
          </w:p>
        </w:tc>
      </w:tr>
    </w:tbl>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557"/>
        <w:gridCol w:w="1400"/>
        <w:gridCol w:w="1590"/>
        <w:gridCol w:w="1120"/>
        <w:gridCol w:w="1530"/>
        <w:gridCol w:w="1065"/>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55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产品分类</w:t>
            </w:r>
          </w:p>
        </w:tc>
        <w:tc>
          <w:tcPr>
            <w:tcW w:w="140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2710"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2024年</w:t>
            </w:r>
          </w:p>
        </w:tc>
        <w:tc>
          <w:tcPr>
            <w:tcW w:w="2595"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2023年</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同比增减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55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40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59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11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占营业成本比重</w:t>
            </w:r>
          </w:p>
        </w:tc>
        <w:tc>
          <w:tcPr>
            <w:tcW w:w="153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106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占营业成本比重</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55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航空航天及民用碳/碳复合材料</w:t>
            </w:r>
          </w:p>
        </w:tc>
        <w:tc>
          <w:tcPr>
            <w:tcW w:w="14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主营业务成本</w:t>
            </w:r>
          </w:p>
        </w:tc>
        <w:tc>
          <w:tcPr>
            <w:tcW w:w="15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136,760,049.65</w:t>
            </w:r>
          </w:p>
        </w:tc>
        <w:tc>
          <w:tcPr>
            <w:tcW w:w="11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24.39%</w:t>
            </w:r>
          </w:p>
        </w:tc>
        <w:tc>
          <w:tcPr>
            <w:tcW w:w="15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144,954,829.43</w:t>
            </w:r>
          </w:p>
        </w:tc>
        <w:tc>
          <w:tcPr>
            <w:tcW w:w="10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32.91%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55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高性能硬质合金及相关材料</w:t>
            </w:r>
          </w:p>
        </w:tc>
        <w:tc>
          <w:tcPr>
            <w:tcW w:w="14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主营业务成本</w:t>
            </w:r>
          </w:p>
        </w:tc>
        <w:tc>
          <w:tcPr>
            <w:tcW w:w="15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417,788,074.83</w:t>
            </w:r>
          </w:p>
        </w:tc>
        <w:tc>
          <w:tcPr>
            <w:tcW w:w="11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74.50%</w:t>
            </w:r>
          </w:p>
        </w:tc>
        <w:tc>
          <w:tcPr>
            <w:tcW w:w="15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287,030,906.08</w:t>
            </w:r>
          </w:p>
        </w:tc>
        <w:tc>
          <w:tcPr>
            <w:tcW w:w="10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65.18%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45.56%</w:t>
            </w:r>
          </w:p>
        </w:tc>
      </w:tr>
    </w:tbl>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3"/>
        <w:rPr>
          <w:rFonts w:hint="eastAsia" w:ascii="宋体" w:hAnsi="宋体" w:eastAsia="宋体" w:cs="宋体"/>
          <w:b/>
          <w:bCs/>
          <w:sz w:val="21"/>
          <w:szCs w:val="21"/>
          <w:lang w:val="en-US" w:eastAsia="zh-CN"/>
        </w:rPr>
      </w:pPr>
      <w:bookmarkStart w:id="32" w:name="_Toc988914"/>
      <w:r>
        <w:rPr>
          <w:rFonts w:hint="eastAsia" w:ascii="宋体" w:hAnsi="宋体" w:eastAsia="宋体" w:cs="宋体"/>
          <w:b/>
          <w:bCs/>
          <w:sz w:val="21"/>
          <w:szCs w:val="21"/>
          <w:lang w:val="en-US" w:eastAsia="zh-CN"/>
        </w:rPr>
        <w:t>6.报告期内合并范围是否发生变动</w:t>
      </w:r>
      <w:bookmarkEnd w:id="32"/>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3"/>
        <w:rPr>
          <w:rFonts w:hint="eastAsia" w:ascii="宋体" w:hAnsi="宋体" w:eastAsia="宋体" w:cs="宋体"/>
          <w:b/>
          <w:bCs/>
          <w:sz w:val="21"/>
          <w:szCs w:val="21"/>
          <w:lang w:val="en-US" w:eastAsia="zh-CN"/>
        </w:rPr>
      </w:pPr>
      <w:bookmarkStart w:id="33" w:name="_Toc988915"/>
      <w:r>
        <w:rPr>
          <w:rFonts w:hint="eastAsia" w:ascii="宋体" w:hAnsi="宋体" w:eastAsia="宋体" w:cs="宋体"/>
          <w:b/>
          <w:bCs/>
          <w:sz w:val="21"/>
          <w:szCs w:val="21"/>
          <w:lang w:val="en-US" w:eastAsia="zh-CN"/>
        </w:rPr>
        <w:t>7.公司报告期内业务、产品或服务发生重大变化或调整有关情况</w:t>
      </w:r>
      <w:bookmarkEnd w:id="33"/>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3"/>
        <w:rPr>
          <w:rFonts w:hint="eastAsia" w:ascii="宋体" w:hAnsi="宋体" w:eastAsia="宋体" w:cs="宋体"/>
          <w:b/>
          <w:bCs/>
          <w:sz w:val="21"/>
          <w:szCs w:val="21"/>
          <w:lang w:val="en-US" w:eastAsia="zh-CN"/>
        </w:rPr>
      </w:pPr>
      <w:bookmarkStart w:id="34" w:name="_Toc988916"/>
      <w:r>
        <w:rPr>
          <w:rFonts w:hint="eastAsia" w:ascii="宋体" w:hAnsi="宋体" w:eastAsia="宋体" w:cs="宋体"/>
          <w:b/>
          <w:bCs/>
          <w:sz w:val="21"/>
          <w:szCs w:val="21"/>
          <w:lang w:val="en-US" w:eastAsia="zh-CN"/>
        </w:rPr>
        <w:t>8.主要销售客户和主要供应商情况</w:t>
      </w:r>
      <w:bookmarkEnd w:id="34"/>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公司主要销售客户情况</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前五名客户合计销售金额（元）</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189,913,247.84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前五名客户合计销售金额占年度销售总额比例</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前五名客户销售额中关联方销售额占年度销售总额比例</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公司前5大客户资料</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序号</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客户名称</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销售额（元）</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占年度销售总额比例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客户1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57,646,593.98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客户2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50,535,785.87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7.09%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客户3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28,560,950.94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客户4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27,619,738.29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客户5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25,550,178.76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合计</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189,913,247.84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26.65%</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主要客户其他情况说明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公司主要供应商情况</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前五名供应商合计采购金额（元）</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282,411,966.79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前五名供应商合计采购金额占年度采购总额比例</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前五名供应商采购额中关联方采购额占年度采购总额比例</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r>
    </w:tbl>
    <w:p>
      <w:pPr>
        <w:keepNext w:val="0"/>
        <w:keepLines w:val="0"/>
        <w:pageBreakBefore w:val="0"/>
        <w:widowControl w:val="0"/>
        <w:kinsoku/>
        <w:wordWrap/>
        <w:overflowPunct/>
        <w:topLinePunct w:val="0"/>
        <w:autoSpaceDE/>
        <w:autoSpaceDN/>
        <w:bidi w:val="0"/>
        <w:adjustRightInd/>
        <w:snapToGrid/>
        <w:spacing w:before="280" w:after="40" w:line="240" w:lineRule="exact"/>
        <w:jc w:val="left"/>
        <w:textAlignment w:val="auto"/>
        <w:rPr>
          <w:rFonts w:ascii="宋体" w:hAnsi="宋体" w:eastAsia="宋体" w:cs="宋体"/>
          <w:sz w:val="18"/>
          <w:szCs w:val="18"/>
        </w:rPr>
      </w:pPr>
      <w:r>
        <w:rPr>
          <w:rFonts w:ascii="宋体" w:hAnsi="宋体" w:eastAsia="宋体" w:cs="宋体"/>
          <w:sz w:val="18"/>
          <w:szCs w:val="18"/>
        </w:rPr>
        <w:t>公司前5名供应商资料</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序号</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供应商名称</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采购额（元）</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占年度采购总额比例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供应商1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80,804,867.26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16.69%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供应商2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79,549,548.67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16.43%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供应商3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69,753,274.34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14.41%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供应商4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38,549,851.74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供应商5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13,754,424.78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合计</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282,411,966.79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58.33%</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主要供应商其他情况说明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2"/>
        <w:rPr>
          <w:rFonts w:ascii="宋体" w:hAnsi="宋体" w:eastAsia="宋体" w:cs="宋体"/>
          <w:b/>
          <w:bCs/>
          <w:sz w:val="21"/>
          <w:szCs w:val="21"/>
        </w:rPr>
      </w:pPr>
      <w:bookmarkStart w:id="35" w:name="_Toc988917"/>
      <w:r>
        <w:rPr>
          <w:rFonts w:hint="eastAsia" w:ascii="宋体" w:hAnsi="宋体" w:eastAsia="宋体" w:cs="宋体"/>
          <w:b/>
          <w:bCs/>
          <w:sz w:val="21"/>
          <w:szCs w:val="21"/>
          <w:lang w:eastAsia="zh-CN"/>
        </w:rPr>
        <w:t>（三）</w:t>
      </w:r>
      <w:r>
        <w:rPr>
          <w:rFonts w:ascii="宋体" w:hAnsi="宋体" w:eastAsia="宋体" w:cs="宋体"/>
          <w:b/>
          <w:bCs/>
          <w:sz w:val="21"/>
          <w:szCs w:val="21"/>
        </w:rPr>
        <w:t>费用</w:t>
      </w:r>
      <w:bookmarkEnd w:id="3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4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193"/>
        <w:gridCol w:w="266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2024年</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2023年</w:t>
            </w:r>
          </w:p>
        </w:tc>
        <w:tc>
          <w:tcPr>
            <w:tcW w:w="119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同比增减</w:t>
            </w:r>
          </w:p>
        </w:tc>
        <w:tc>
          <w:tcPr>
            <w:tcW w:w="266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重大变动说明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销售费用</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22,981,042.04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21,417,156.09</w:t>
            </w:r>
          </w:p>
        </w:tc>
        <w:tc>
          <w:tcPr>
            <w:tcW w:w="119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7.30%</w:t>
            </w:r>
          </w:p>
        </w:tc>
        <w:tc>
          <w:tcPr>
            <w:tcW w:w="26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管理费用</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66,752,715.23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53,276,527.65</w:t>
            </w:r>
          </w:p>
        </w:tc>
        <w:tc>
          <w:tcPr>
            <w:tcW w:w="119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25.29%</w:t>
            </w:r>
          </w:p>
        </w:tc>
        <w:tc>
          <w:tcPr>
            <w:tcW w:w="26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主要为本期子公司博云东方因麓谷新基地投入运营，折旧及摊销、物业管理费及水电费等增加所致。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财务费用</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3,814,637.88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-3,092,130.71</w:t>
            </w:r>
          </w:p>
        </w:tc>
        <w:tc>
          <w:tcPr>
            <w:tcW w:w="119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223.37%</w:t>
            </w:r>
          </w:p>
        </w:tc>
        <w:tc>
          <w:tcPr>
            <w:tcW w:w="26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主要为本期子公司博云东方因生产规模扩大，贷款增加导致利息支出增加所致。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研发费用</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49,252,117.42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47,089,215.76</w:t>
            </w:r>
          </w:p>
        </w:tc>
        <w:tc>
          <w:tcPr>
            <w:tcW w:w="119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4.59%</w:t>
            </w:r>
          </w:p>
        </w:tc>
        <w:tc>
          <w:tcPr>
            <w:tcW w:w="26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bl>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2"/>
        <w:rPr>
          <w:rFonts w:hint="eastAsia" w:ascii="宋体" w:hAnsi="宋体" w:eastAsia="宋体" w:cs="宋体"/>
          <w:b/>
          <w:bCs/>
          <w:sz w:val="21"/>
          <w:szCs w:val="21"/>
          <w:lang w:eastAsia="zh-CN"/>
        </w:rPr>
      </w:pPr>
      <w:bookmarkStart w:id="36" w:name="_Toc988918"/>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四</w:t>
      </w:r>
      <w:r>
        <w:rPr>
          <w:rFonts w:hint="eastAsia" w:ascii="宋体" w:hAnsi="宋体" w:eastAsia="宋体" w:cs="宋体"/>
          <w:b/>
          <w:bCs/>
          <w:sz w:val="21"/>
          <w:szCs w:val="21"/>
          <w:lang w:eastAsia="zh-CN"/>
        </w:rPr>
        <w:t>）研发投入</w:t>
      </w:r>
      <w:bookmarkEnd w:id="36"/>
    </w:p>
    <w:p>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tbl>
      <w:tblPr>
        <w:tblStyle w:val="5"/>
        <w:tblW w:w="964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739"/>
        <w:gridCol w:w="2505"/>
        <w:gridCol w:w="1845"/>
        <w:gridCol w:w="1935"/>
        <w:gridCol w:w="161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3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主要研发项目名称</w:t>
            </w:r>
          </w:p>
        </w:tc>
        <w:tc>
          <w:tcPr>
            <w:tcW w:w="25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项目目的</w:t>
            </w:r>
          </w:p>
        </w:tc>
        <w:tc>
          <w:tcPr>
            <w:tcW w:w="18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项目进展</w:t>
            </w:r>
          </w:p>
        </w:tc>
        <w:tc>
          <w:tcPr>
            <w:tcW w:w="193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拟达到的目标</w:t>
            </w:r>
          </w:p>
        </w:tc>
        <w:tc>
          <w:tcPr>
            <w:tcW w:w="161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预计对公司未来发展的影响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3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某型碳-碳喉衬坯料研制</w:t>
            </w:r>
          </w:p>
        </w:tc>
        <w:tc>
          <w:tcPr>
            <w:tcW w:w="25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为配合客户研制需求，我司开展配套碳碳喉衬坯料的研制。</w:t>
            </w:r>
          </w:p>
        </w:tc>
        <w:tc>
          <w:tcPr>
            <w:tcW w:w="184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完成了多轮试制，成功实现产品交付，成功完成地面试验，并持续与客户进行沟通。</w:t>
            </w:r>
          </w:p>
        </w:tc>
        <w:tc>
          <w:tcPr>
            <w:tcW w:w="19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（1）交付满足技术要求的地面试验用碳</w:t>
            </w:r>
            <w:r>
              <w:rPr>
                <w:rFonts w:hint="eastAsia" w:ascii="宋体" w:hAnsi="宋体" w:cs="宋体"/>
                <w:sz w:val="18"/>
                <w:szCs w:val="18"/>
                <w:lang w:val="en-US" w:eastAsia="zh-CN"/>
              </w:rPr>
              <w:t>/</w:t>
            </w:r>
            <w:r>
              <w:rPr>
                <w:rFonts w:ascii="宋体" w:hAnsi="宋体" w:eastAsia="宋体" w:cs="宋体"/>
                <w:sz w:val="18"/>
                <w:szCs w:val="18"/>
              </w:rPr>
              <w:t>碳喉衬坯料；（2）完成工艺技术的研制总结及项目签收。</w:t>
            </w:r>
          </w:p>
        </w:tc>
        <w:tc>
          <w:tcPr>
            <w:tcW w:w="16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形成销售，增加营收效益。</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3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某粉末冶金刹车盘组件的研制</w:t>
            </w:r>
          </w:p>
        </w:tc>
        <w:tc>
          <w:tcPr>
            <w:tcW w:w="25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成功开发满足要求的粉末冶金刹车盘组件产品</w:t>
            </w:r>
          </w:p>
        </w:tc>
        <w:tc>
          <w:tcPr>
            <w:tcW w:w="184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完成设计鉴定及项目验收。</w:t>
            </w:r>
          </w:p>
        </w:tc>
        <w:tc>
          <w:tcPr>
            <w:tcW w:w="19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（1）成功开发满足要求的粉末冶金刹车盘组件产品。（2）形成全套技术资料及项目签收。</w:t>
            </w:r>
          </w:p>
        </w:tc>
        <w:tc>
          <w:tcPr>
            <w:tcW w:w="16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形成粉末冶金材料刹车盘产品，扩展公司产品线，并形成销售。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3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某型号机轮研制项目</w:t>
            </w:r>
          </w:p>
        </w:tc>
        <w:tc>
          <w:tcPr>
            <w:tcW w:w="25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通过方案竞标和实物竞标，获取研制资格，完成研制并通过鉴定。</w:t>
            </w:r>
          </w:p>
        </w:tc>
        <w:tc>
          <w:tcPr>
            <w:tcW w:w="184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已完成性能试验、首飞安全试验；完成首飞件交付，飞机正在试飞。</w:t>
            </w:r>
          </w:p>
        </w:tc>
        <w:tc>
          <w:tcPr>
            <w:tcW w:w="19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产品批量交付装机使用。</w:t>
            </w:r>
          </w:p>
        </w:tc>
        <w:tc>
          <w:tcPr>
            <w:tcW w:w="16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为公司带来持续订单与经济收入。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3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低烧结敏感性纳米碳化钨粉末制备</w:t>
            </w:r>
          </w:p>
        </w:tc>
        <w:tc>
          <w:tcPr>
            <w:tcW w:w="25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both"/>
              <w:rPr>
                <w:rFonts w:ascii="宋体" w:hAnsi="宋体" w:eastAsia="宋体" w:cs="宋体"/>
                <w:sz w:val="18"/>
                <w:szCs w:val="18"/>
              </w:rPr>
            </w:pPr>
            <w:r>
              <w:rPr>
                <w:rFonts w:ascii="宋体" w:hAnsi="宋体" w:eastAsia="宋体" w:cs="宋体"/>
                <w:sz w:val="18"/>
                <w:szCs w:val="18"/>
              </w:rPr>
              <w:t>开展纳米WC粉末的低烧结敏感性调控机制研究，研究纳米WC粉末特性与其烧结敏感性内在关联机制；开展纳米WC粉末碳-氢协同反应过程中组织演变及相变机制研究，研究还原碳化工艺对WC粉末分散性和均匀性的影响规律，开发纳米WC粉末批量一致性制备关键技术，获得低烧结敏感性纳米 WC粉末。</w:t>
            </w:r>
          </w:p>
        </w:tc>
        <w:tc>
          <w:tcPr>
            <w:tcW w:w="184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完成多批次对比实验;申请并受理了一项发明专利。</w:t>
            </w:r>
          </w:p>
        </w:tc>
        <w:tc>
          <w:tcPr>
            <w:tcW w:w="19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WC粉末（无抑制剂）：①纯度&gt;99.96%，BET 比表面积&gt;3.8m2/g，平均粒度&lt;100nm；②批量一致性：总碳含量波动值士0.05%，游离碳含量≤0.2%，氧含量&lt;0.3%。</w:t>
            </w:r>
          </w:p>
        </w:tc>
        <w:tc>
          <w:tcPr>
            <w:tcW w:w="16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实现低烧结敏感性纳米碳化钨粉末国产化替代，有效改善纳米硬质合金晶粒均匀性，提升其综合性能。</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公司研发人员情况</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2024年</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2023年</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变动比例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5"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研发人员数量（人）</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142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130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9.23%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研发人员数量占比</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16.60%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15.49%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1.11%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研发人员学历结构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本科</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72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67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7.46%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硕士</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46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37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24.32%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博士</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50.00%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本科及以下</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-12.50%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研发人员年龄构成</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30岁以下</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34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25.93%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30~40岁</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64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60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6.67%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40岁以上</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44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43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2.33%</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公司研发投入情况</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2024年</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2023年</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变动比例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研发投入金额（元）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88,847,062.77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79,538,536.67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11.70%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研发投入占营业收入比例</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12.47%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13.46%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-0.99%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研发投入资本化的金额（元）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39,594,945.35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32,449,320.91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22.02%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资本化研发投入占研发投入的比例</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44.57%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40.80%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3.77%</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公司研发人员构成发生重大变化的原因及影响</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研发投入总额占营业收入的比重较上年发生显著变化的原因</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研发投入资本化率大幅变动的原因及其合理性说明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2"/>
        <w:rPr>
          <w:rFonts w:hint="eastAsia" w:ascii="宋体" w:hAnsi="宋体" w:eastAsia="宋体" w:cs="宋体"/>
          <w:b/>
          <w:bCs/>
          <w:sz w:val="21"/>
          <w:szCs w:val="21"/>
          <w:lang w:eastAsia="zh-CN"/>
        </w:rPr>
      </w:pPr>
      <w:bookmarkStart w:id="37" w:name="_Toc988919"/>
      <w:r>
        <w:rPr>
          <w:rFonts w:hint="eastAsia" w:ascii="宋体" w:hAnsi="宋体" w:eastAsia="宋体" w:cs="宋体"/>
          <w:b/>
          <w:bCs/>
          <w:sz w:val="21"/>
          <w:szCs w:val="21"/>
          <w:lang w:eastAsia="zh-CN"/>
        </w:rPr>
        <w:t>（五）现金流</w:t>
      </w:r>
      <w:bookmarkEnd w:id="37"/>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4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667"/>
        <w:gridCol w:w="2490"/>
        <w:gridCol w:w="2350"/>
        <w:gridCol w:w="213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66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249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2024年</w:t>
            </w:r>
          </w:p>
        </w:tc>
        <w:tc>
          <w:tcPr>
            <w:tcW w:w="235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2023年</w:t>
            </w:r>
          </w:p>
        </w:tc>
        <w:tc>
          <w:tcPr>
            <w:tcW w:w="213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同比增减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5" w:hRule="atLeast"/>
        </w:trPr>
        <w:tc>
          <w:tcPr>
            <w:tcW w:w="266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经营活动现金流入小计</w:t>
            </w:r>
          </w:p>
        </w:tc>
        <w:tc>
          <w:tcPr>
            <w:tcW w:w="24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662,593,396.36</w:t>
            </w:r>
          </w:p>
        </w:tc>
        <w:tc>
          <w:tcPr>
            <w:tcW w:w="23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498,075,268.52</w:t>
            </w:r>
          </w:p>
        </w:tc>
        <w:tc>
          <w:tcPr>
            <w:tcW w:w="213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33.03%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66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经营活动现金流出小计</w:t>
            </w:r>
          </w:p>
        </w:tc>
        <w:tc>
          <w:tcPr>
            <w:tcW w:w="24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603,607,714.74</w:t>
            </w:r>
          </w:p>
        </w:tc>
        <w:tc>
          <w:tcPr>
            <w:tcW w:w="23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483,750,368.98</w:t>
            </w:r>
          </w:p>
        </w:tc>
        <w:tc>
          <w:tcPr>
            <w:tcW w:w="213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24.78%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66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经营活动产生的现金流量净额</w:t>
            </w:r>
          </w:p>
        </w:tc>
        <w:tc>
          <w:tcPr>
            <w:tcW w:w="24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58,985,681.62</w:t>
            </w:r>
          </w:p>
        </w:tc>
        <w:tc>
          <w:tcPr>
            <w:tcW w:w="23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14,324,899.54</w:t>
            </w:r>
          </w:p>
        </w:tc>
        <w:tc>
          <w:tcPr>
            <w:tcW w:w="213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311.77%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66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投资活动现金流入小计</w:t>
            </w:r>
          </w:p>
        </w:tc>
        <w:tc>
          <w:tcPr>
            <w:tcW w:w="24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65,449,538.33</w:t>
            </w:r>
          </w:p>
        </w:tc>
        <w:tc>
          <w:tcPr>
            <w:tcW w:w="23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32,964,106.34</w:t>
            </w:r>
          </w:p>
        </w:tc>
        <w:tc>
          <w:tcPr>
            <w:tcW w:w="213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98.55%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66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投资活动现金流出小计</w:t>
            </w:r>
          </w:p>
        </w:tc>
        <w:tc>
          <w:tcPr>
            <w:tcW w:w="24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160,334,114.05</w:t>
            </w:r>
          </w:p>
        </w:tc>
        <w:tc>
          <w:tcPr>
            <w:tcW w:w="23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227,460,885.42</w:t>
            </w:r>
          </w:p>
        </w:tc>
        <w:tc>
          <w:tcPr>
            <w:tcW w:w="213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-29.51%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66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投资活动产生的现金流量净额</w:t>
            </w:r>
          </w:p>
        </w:tc>
        <w:tc>
          <w:tcPr>
            <w:tcW w:w="24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-94,884,575.72</w:t>
            </w:r>
          </w:p>
        </w:tc>
        <w:tc>
          <w:tcPr>
            <w:tcW w:w="23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-194,496,779.08</w:t>
            </w:r>
          </w:p>
        </w:tc>
        <w:tc>
          <w:tcPr>
            <w:tcW w:w="213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51.22%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66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筹资活动现金流入小计</w:t>
            </w:r>
          </w:p>
        </w:tc>
        <w:tc>
          <w:tcPr>
            <w:tcW w:w="24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380,000,000.00</w:t>
            </w:r>
          </w:p>
        </w:tc>
        <w:tc>
          <w:tcPr>
            <w:tcW w:w="23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230,469,050.00</w:t>
            </w:r>
          </w:p>
        </w:tc>
        <w:tc>
          <w:tcPr>
            <w:tcW w:w="213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64.88%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66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筹资活动现金流出小计</w:t>
            </w:r>
          </w:p>
        </w:tc>
        <w:tc>
          <w:tcPr>
            <w:tcW w:w="24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268,249,265.27</w:t>
            </w:r>
          </w:p>
        </w:tc>
        <w:tc>
          <w:tcPr>
            <w:tcW w:w="23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133,551,786.14</w:t>
            </w:r>
          </w:p>
        </w:tc>
        <w:tc>
          <w:tcPr>
            <w:tcW w:w="213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100.86%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66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筹资活动产生的现金流量净额</w:t>
            </w:r>
          </w:p>
        </w:tc>
        <w:tc>
          <w:tcPr>
            <w:tcW w:w="24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111,750,734.73</w:t>
            </w:r>
          </w:p>
        </w:tc>
        <w:tc>
          <w:tcPr>
            <w:tcW w:w="23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96,917,263.86</w:t>
            </w:r>
          </w:p>
        </w:tc>
        <w:tc>
          <w:tcPr>
            <w:tcW w:w="213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15.31%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66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现金及现金等价物净增加额</w:t>
            </w:r>
          </w:p>
        </w:tc>
        <w:tc>
          <w:tcPr>
            <w:tcW w:w="24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75,017,414.36</w:t>
            </w:r>
          </w:p>
        </w:tc>
        <w:tc>
          <w:tcPr>
            <w:tcW w:w="23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-83,116,979.90</w:t>
            </w:r>
          </w:p>
        </w:tc>
        <w:tc>
          <w:tcPr>
            <w:tcW w:w="213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190.26%</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相关数据同比发生重大变动的主要影响因素说明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210" w:leftChars="0" w:right="0" w:hanging="210" w:hangingChars="117"/>
        <w:jc w:val="left"/>
        <w:textAlignment w:val="auto"/>
        <w:rPr>
          <w:rFonts w:hint="eastAsia" w:ascii="宋体" w:hAnsi="宋体" w:eastAsia="宋体" w:cs="宋体"/>
          <w:kern w:val="0"/>
          <w:sz w:val="18"/>
          <w:szCs w:val="18"/>
          <w:lang w:bidi="ar-SA"/>
        </w:rPr>
      </w:pPr>
      <w:r>
        <w:rPr>
          <w:rFonts w:hint="eastAsia" w:ascii="宋体" w:hAnsi="宋体" w:eastAsia="宋体" w:cs="宋体"/>
          <w:kern w:val="0"/>
          <w:sz w:val="18"/>
          <w:szCs w:val="18"/>
          <w:lang w:bidi="ar-SA"/>
        </w:rPr>
        <w:t>①经营活动现金流入同比增加33.03%，主要为本期母公司博云新材销售商品、提供劳务收到的现金增加所致。</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210" w:leftChars="0" w:right="0" w:hanging="210" w:hangingChars="117"/>
        <w:jc w:val="left"/>
        <w:textAlignment w:val="auto"/>
        <w:rPr>
          <w:rFonts w:hint="eastAsia" w:ascii="宋体" w:hAnsi="宋体" w:cs="宋体"/>
          <w:kern w:val="0"/>
          <w:sz w:val="18"/>
          <w:szCs w:val="18"/>
          <w:lang w:val="en-US" w:eastAsia="zh-CN" w:bidi="ar-SA"/>
        </w:rPr>
      </w:pPr>
      <w:r>
        <w:rPr>
          <w:rFonts w:hint="eastAsia" w:ascii="宋体" w:hAnsi="宋体" w:eastAsia="宋体" w:cs="宋体"/>
          <w:kern w:val="0"/>
          <w:sz w:val="18"/>
          <w:szCs w:val="18"/>
          <w:lang w:bidi="ar-SA"/>
        </w:rPr>
        <w:t>②经营活动现金流出同比增加24.78%，主要为本期子公司博云东方购买商品、接受劳务支付的现金增加所致</w:t>
      </w:r>
      <w:r>
        <w:rPr>
          <w:rFonts w:hint="eastAsia" w:ascii="宋体" w:hAnsi="宋体" w:cs="宋体"/>
          <w:kern w:val="0"/>
          <w:sz w:val="18"/>
          <w:szCs w:val="18"/>
          <w:lang w:val="en-US" w:eastAsia="zh-CN" w:bidi="ar-SA"/>
        </w:rPr>
        <w:t>.</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210" w:leftChars="0" w:right="0" w:hanging="210" w:hangingChars="117"/>
        <w:jc w:val="left"/>
        <w:textAlignment w:val="auto"/>
        <w:rPr>
          <w:rFonts w:hint="eastAsia" w:ascii="宋体" w:hAnsi="宋体" w:eastAsia="宋体" w:cs="宋体"/>
          <w:kern w:val="0"/>
          <w:sz w:val="18"/>
          <w:szCs w:val="18"/>
          <w:lang w:bidi="ar-SA"/>
        </w:rPr>
      </w:pPr>
      <w:r>
        <w:rPr>
          <w:rFonts w:hint="eastAsia" w:ascii="宋体" w:hAnsi="宋体" w:eastAsia="宋体" w:cs="宋体"/>
          <w:kern w:val="0"/>
          <w:sz w:val="18"/>
          <w:szCs w:val="18"/>
          <w:lang w:bidi="ar-SA"/>
        </w:rPr>
        <w:t>③经营活动产生的现金流量净额同比增加311.77%，主要为本期母公司博云新材销售商品、提供劳务收到的现金增加所致。</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210" w:leftChars="0" w:right="0" w:hanging="210" w:hangingChars="117"/>
        <w:jc w:val="left"/>
        <w:textAlignment w:val="auto"/>
        <w:rPr>
          <w:rFonts w:hint="eastAsia" w:ascii="宋体" w:hAnsi="宋体" w:eastAsia="宋体" w:cs="宋体"/>
          <w:kern w:val="0"/>
          <w:sz w:val="18"/>
          <w:szCs w:val="18"/>
          <w:lang w:bidi="ar-SA"/>
        </w:rPr>
      </w:pPr>
      <w:r>
        <w:rPr>
          <w:rFonts w:hint="eastAsia" w:ascii="宋体" w:hAnsi="宋体" w:eastAsia="宋体" w:cs="宋体"/>
          <w:kern w:val="0"/>
          <w:sz w:val="18"/>
          <w:szCs w:val="18"/>
          <w:lang w:bidi="ar-SA"/>
        </w:rPr>
        <w:t>④投资活动现金流入同比增加98.55%，主要</w:t>
      </w:r>
      <w:r>
        <w:rPr>
          <w:rFonts w:hint="eastAsia" w:ascii="宋体" w:hAnsi="宋体" w:cs="宋体"/>
          <w:kern w:val="0"/>
          <w:sz w:val="18"/>
          <w:szCs w:val="18"/>
          <w:lang w:eastAsia="zh-CN" w:bidi="ar-SA"/>
        </w:rPr>
        <w:t>为</w:t>
      </w:r>
      <w:r>
        <w:rPr>
          <w:rFonts w:hint="eastAsia" w:ascii="宋体" w:hAnsi="宋体" w:eastAsia="宋体" w:cs="宋体"/>
          <w:kern w:val="0"/>
          <w:sz w:val="18"/>
          <w:szCs w:val="18"/>
          <w:lang w:bidi="ar-SA"/>
        </w:rPr>
        <w:t>本期母公司博云新材收到上海海通创新锦程投资管理中心本金、子公司博云东方出售设备给沃尔博收到的现金所致。</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210" w:leftChars="0" w:right="0" w:hanging="210" w:hangingChars="117"/>
        <w:jc w:val="left"/>
        <w:textAlignment w:val="auto"/>
        <w:rPr>
          <w:rFonts w:hint="eastAsia" w:ascii="宋体" w:hAnsi="宋体" w:eastAsia="宋体" w:cs="宋体"/>
          <w:kern w:val="0"/>
          <w:sz w:val="18"/>
          <w:szCs w:val="18"/>
          <w:lang w:bidi="ar-SA"/>
        </w:rPr>
      </w:pPr>
      <w:r>
        <w:rPr>
          <w:rFonts w:hint="eastAsia" w:ascii="宋体" w:hAnsi="宋体" w:eastAsia="宋体" w:cs="宋体"/>
          <w:kern w:val="0"/>
          <w:sz w:val="18"/>
          <w:szCs w:val="18"/>
          <w:lang w:bidi="ar-SA"/>
        </w:rPr>
        <w:t>⑤投资活动现金流出同比减少29.51%，主要为本期子公司博云东方购建固定资产、无形资产和其他长期资产支付的现金减少所致。</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210" w:leftChars="0" w:right="0" w:hanging="210" w:hangingChars="117"/>
        <w:jc w:val="left"/>
        <w:textAlignment w:val="auto"/>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bidi="ar-SA"/>
        </w:rPr>
        <w:t>⑥投资活动产生的现金流量净额同比增加51.22%，主要为本期子公司博云东方购建固定资产、无形资产和其他长期资产支付的现金减少所致</w:t>
      </w:r>
      <w:r>
        <w:rPr>
          <w:rFonts w:hint="eastAsia" w:ascii="宋体" w:hAnsi="宋体" w:cs="宋体"/>
          <w:kern w:val="0"/>
          <w:sz w:val="18"/>
          <w:szCs w:val="18"/>
          <w:lang w:eastAsia="zh-CN" w:bidi="ar-SA"/>
        </w:rPr>
        <w:t>。</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210" w:leftChars="0" w:right="0" w:hanging="210" w:hangingChars="117"/>
        <w:jc w:val="left"/>
        <w:textAlignment w:val="auto"/>
        <w:rPr>
          <w:rFonts w:hint="eastAsia" w:ascii="宋体" w:hAnsi="宋体" w:eastAsia="宋体" w:cs="宋体"/>
          <w:kern w:val="0"/>
          <w:sz w:val="18"/>
          <w:szCs w:val="18"/>
          <w:lang w:bidi="ar-SA"/>
        </w:rPr>
      </w:pPr>
      <w:r>
        <w:rPr>
          <w:rFonts w:hint="eastAsia" w:ascii="宋体" w:hAnsi="宋体" w:eastAsia="宋体" w:cs="宋体"/>
          <w:kern w:val="0"/>
          <w:sz w:val="18"/>
          <w:szCs w:val="18"/>
          <w:lang w:bidi="ar-SA"/>
        </w:rPr>
        <w:t>⑦筹资活动现金流入同比增加64.88%，主要为子公司博云东方本期借款增加所致。</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210" w:leftChars="0" w:right="0" w:hanging="210" w:hangingChars="117"/>
        <w:jc w:val="left"/>
        <w:textAlignment w:val="auto"/>
        <w:rPr>
          <w:rFonts w:hint="eastAsia" w:ascii="宋体" w:hAnsi="宋体" w:eastAsia="宋体" w:cs="宋体"/>
          <w:kern w:val="0"/>
          <w:sz w:val="18"/>
          <w:szCs w:val="18"/>
          <w:lang w:bidi="ar-SA"/>
        </w:rPr>
      </w:pPr>
      <w:r>
        <w:rPr>
          <w:rFonts w:hint="eastAsia" w:ascii="宋体" w:hAnsi="宋体" w:eastAsia="宋体" w:cs="宋体"/>
          <w:kern w:val="0"/>
          <w:sz w:val="18"/>
          <w:szCs w:val="18"/>
          <w:lang w:bidi="ar-SA"/>
        </w:rPr>
        <w:t>⑧筹资活动现金流出同比增加100.86%，主要为子公司博云东方偿还债务支付的现金增加所致。</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210" w:leftChars="0" w:right="0" w:hanging="210" w:hangingChars="117"/>
        <w:jc w:val="left"/>
        <w:textAlignment w:val="auto"/>
        <w:rPr>
          <w:rFonts w:hint="eastAsia" w:ascii="宋体" w:hAnsi="宋体" w:eastAsia="宋体" w:cs="宋体"/>
          <w:kern w:val="0"/>
          <w:sz w:val="18"/>
          <w:szCs w:val="18"/>
          <w:lang w:bidi="ar-SA"/>
        </w:rPr>
      </w:pPr>
      <w:r>
        <w:rPr>
          <w:rFonts w:hint="eastAsia" w:ascii="宋体" w:hAnsi="宋体" w:eastAsia="宋体" w:cs="宋体"/>
          <w:kern w:val="0"/>
          <w:sz w:val="18"/>
          <w:szCs w:val="18"/>
          <w:lang w:bidi="ar-SA"/>
        </w:rPr>
        <w:t>⑨筹资活动产生的现金流量净额同比增加15.31%，主要为本期母公司博云新材偿还债务支付的现金减少所致。</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210" w:leftChars="0" w:right="0" w:hanging="210" w:hangingChars="117"/>
        <w:jc w:val="left"/>
        <w:textAlignment w:val="auto"/>
        <w:rPr>
          <w:rFonts w:hint="eastAsia" w:ascii="宋体" w:hAnsi="宋体" w:eastAsia="宋体" w:cs="宋体"/>
          <w:kern w:val="0"/>
          <w:sz w:val="18"/>
          <w:szCs w:val="18"/>
          <w:lang w:bidi="ar-SA"/>
        </w:rPr>
      </w:pPr>
      <w:r>
        <w:rPr>
          <w:rFonts w:hint="eastAsia" w:ascii="宋体" w:hAnsi="宋体" w:eastAsia="宋体" w:cs="宋体"/>
          <w:kern w:val="0"/>
          <w:sz w:val="18"/>
          <w:szCs w:val="18"/>
          <w:lang w:bidi="ar-SA"/>
        </w:rPr>
        <w:t>⑩现金及现金等价物净增加额同比增加190.26%，为本期经营活动产生的现金流量净额、投资活动产生的现金流量净额、筹资活动产生的现金流量净额增加所致。</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报告期内公司经营活动产生的现金净流量与本年度净利润存在重大差异的原因说明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pageBreakBefore w:val="0"/>
        <w:widowControl w:val="0"/>
        <w:kinsoku/>
        <w:wordWrap/>
        <w:overflowPunct/>
        <w:topLinePunct w:val="0"/>
        <w:autoSpaceDE/>
        <w:autoSpaceDN/>
        <w:bidi w:val="0"/>
        <w:adjustRightInd/>
        <w:snapToGrid/>
        <w:spacing w:before="300" w:line="320" w:lineRule="exact"/>
        <w:jc w:val="left"/>
        <w:textAlignment w:val="auto"/>
        <w:outlineLvl w:val="1"/>
        <w:rPr>
          <w:rFonts w:ascii="宋体" w:hAnsi="宋体" w:eastAsia="宋体" w:cs="宋体"/>
          <w:b/>
          <w:bCs/>
          <w:sz w:val="24"/>
          <w:szCs w:val="24"/>
        </w:rPr>
      </w:pPr>
      <w:bookmarkStart w:id="38" w:name="_Toc988920"/>
      <w:r>
        <w:rPr>
          <w:rFonts w:ascii="宋体" w:hAnsi="宋体" w:eastAsia="宋体" w:cs="宋体"/>
          <w:b/>
          <w:bCs/>
          <w:sz w:val="24"/>
          <w:szCs w:val="24"/>
        </w:rPr>
        <w:t>五、非主营业务分析</w:t>
      </w:r>
      <w:bookmarkEnd w:id="38"/>
    </w:p>
    <w:p>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4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731"/>
        <w:gridCol w:w="2660"/>
        <w:gridCol w:w="139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173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占利润总额比例</w:t>
            </w:r>
          </w:p>
        </w:tc>
        <w:tc>
          <w:tcPr>
            <w:tcW w:w="266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形成原因说明</w:t>
            </w:r>
          </w:p>
        </w:tc>
        <w:tc>
          <w:tcPr>
            <w:tcW w:w="139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是否具有可持续性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auto"/>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投资收益</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-13,065,193.18</w:t>
            </w:r>
          </w:p>
        </w:tc>
        <w:tc>
          <w:tcPr>
            <w:tcW w:w="173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17.21%</w:t>
            </w:r>
          </w:p>
        </w:tc>
        <w:tc>
          <w:tcPr>
            <w:tcW w:w="26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主要为本期合资公司项目投资亏损所致</w:t>
            </w:r>
          </w:p>
        </w:tc>
        <w:tc>
          <w:tcPr>
            <w:tcW w:w="139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auto"/>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资产减值</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-57,654,674.16</w:t>
            </w:r>
          </w:p>
        </w:tc>
        <w:tc>
          <w:tcPr>
            <w:tcW w:w="173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75.93%</w:t>
            </w:r>
          </w:p>
        </w:tc>
        <w:tc>
          <w:tcPr>
            <w:tcW w:w="26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为本期计提存货减值、合同资产减值、无形资产减值、开发支出减值所致</w:t>
            </w:r>
          </w:p>
        </w:tc>
        <w:tc>
          <w:tcPr>
            <w:tcW w:w="139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auto"/>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营业外收入</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760,128.22</w:t>
            </w:r>
          </w:p>
        </w:tc>
        <w:tc>
          <w:tcPr>
            <w:tcW w:w="173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-1.00%</w:t>
            </w:r>
          </w:p>
        </w:tc>
        <w:tc>
          <w:tcPr>
            <w:tcW w:w="26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39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auto"/>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营业外支出</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17,388,971.92</w:t>
            </w:r>
          </w:p>
        </w:tc>
        <w:tc>
          <w:tcPr>
            <w:tcW w:w="173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-22.90%</w:t>
            </w:r>
          </w:p>
        </w:tc>
        <w:tc>
          <w:tcPr>
            <w:tcW w:w="26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主要为本期子公司长沙鑫航研保项目政府补助资金以前年度摊销部分财务核算调整所致。</w:t>
            </w:r>
          </w:p>
        </w:tc>
        <w:tc>
          <w:tcPr>
            <w:tcW w:w="139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auto"/>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信用减值</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-5,369,973.46</w:t>
            </w:r>
          </w:p>
        </w:tc>
        <w:tc>
          <w:tcPr>
            <w:tcW w:w="173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7.07%</w:t>
            </w:r>
          </w:p>
        </w:tc>
        <w:tc>
          <w:tcPr>
            <w:tcW w:w="26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为本期计提应收账款、应收票据及其他应收款坏账准备所致</w:t>
            </w:r>
          </w:p>
        </w:tc>
        <w:tc>
          <w:tcPr>
            <w:tcW w:w="139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否</w:t>
            </w:r>
          </w:p>
        </w:tc>
      </w:tr>
    </w:tbl>
    <w:p>
      <w:pPr>
        <w:keepNext/>
        <w:keepLines/>
        <w:spacing w:before="300" w:after="300" w:line="320" w:lineRule="exact"/>
        <w:jc w:val="left"/>
        <w:outlineLvl w:val="1"/>
        <w:rPr>
          <w:rFonts w:ascii="宋体" w:hAnsi="宋体" w:eastAsia="宋体" w:cs="宋体"/>
          <w:b/>
          <w:bCs/>
          <w:sz w:val="24"/>
          <w:szCs w:val="24"/>
        </w:rPr>
      </w:pPr>
      <w:bookmarkStart w:id="39" w:name="_Toc988921"/>
      <w:r>
        <w:rPr>
          <w:rFonts w:ascii="宋体" w:hAnsi="宋体" w:eastAsia="宋体" w:cs="宋体"/>
          <w:b/>
          <w:bCs/>
          <w:sz w:val="24"/>
          <w:szCs w:val="24"/>
        </w:rPr>
        <w:t>六、资产及负债状况分析</w:t>
      </w:r>
      <w:bookmarkEnd w:id="39"/>
    </w:p>
    <w:p>
      <w:pPr>
        <w:keepNext/>
        <w:keepLines/>
        <w:pageBreakBefore w:val="0"/>
        <w:widowControl w:val="0"/>
        <w:kinsoku/>
        <w:wordWrap/>
        <w:overflowPunct/>
        <w:topLinePunct w:val="0"/>
        <w:autoSpaceDE/>
        <w:autoSpaceDN/>
        <w:bidi w:val="0"/>
        <w:adjustRightInd/>
        <w:snapToGrid/>
        <w:spacing w:before="300" w:line="320" w:lineRule="exact"/>
        <w:jc w:val="left"/>
        <w:textAlignment w:val="auto"/>
        <w:outlineLvl w:val="1"/>
        <w:rPr>
          <w:rFonts w:ascii="宋体" w:hAnsi="宋体" w:eastAsia="宋体" w:cs="宋体"/>
          <w:b/>
          <w:bCs/>
          <w:sz w:val="21"/>
          <w:szCs w:val="21"/>
        </w:rPr>
      </w:pPr>
      <w:bookmarkStart w:id="40" w:name="_Toc988922"/>
      <w:r>
        <w:rPr>
          <w:rFonts w:hint="eastAsia" w:ascii="宋体" w:hAnsi="宋体" w:eastAsia="宋体" w:cs="宋体"/>
          <w:b/>
          <w:bCs/>
          <w:sz w:val="21"/>
          <w:szCs w:val="21"/>
          <w:lang w:eastAsia="zh-CN"/>
        </w:rPr>
        <w:t>（一）</w:t>
      </w:r>
      <w:r>
        <w:rPr>
          <w:rFonts w:ascii="宋体" w:hAnsi="宋体" w:eastAsia="宋体" w:cs="宋体"/>
          <w:b/>
          <w:bCs/>
          <w:sz w:val="21"/>
          <w:szCs w:val="21"/>
        </w:rPr>
        <w:t>资产构成重大变动情况</w:t>
      </w:r>
      <w:bookmarkEnd w:id="40"/>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07"/>
        <w:gridCol w:w="1520"/>
        <w:gridCol w:w="1060"/>
        <w:gridCol w:w="1600"/>
        <w:gridCol w:w="950"/>
        <w:gridCol w:w="1110"/>
        <w:gridCol w:w="219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tc>
        <w:tc>
          <w:tcPr>
            <w:tcW w:w="2580"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2024年末</w:t>
            </w:r>
          </w:p>
        </w:tc>
        <w:tc>
          <w:tcPr>
            <w:tcW w:w="2550"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2024年初</w:t>
            </w:r>
          </w:p>
        </w:tc>
        <w:tc>
          <w:tcPr>
            <w:tcW w:w="111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比重增减</w:t>
            </w:r>
          </w:p>
        </w:tc>
        <w:tc>
          <w:tcPr>
            <w:tcW w:w="219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重大变动说明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5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106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占总资产比例</w:t>
            </w:r>
          </w:p>
        </w:tc>
        <w:tc>
          <w:tcPr>
            <w:tcW w:w="16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95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占总资产比例</w:t>
            </w:r>
          </w:p>
        </w:tc>
        <w:tc>
          <w:tcPr>
            <w:tcW w:w="111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219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货币资金</w:t>
            </w:r>
          </w:p>
        </w:tc>
        <w:tc>
          <w:tcPr>
            <w:tcW w:w="15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560,769,511.15</w:t>
            </w:r>
          </w:p>
        </w:tc>
        <w:tc>
          <w:tcPr>
            <w:tcW w:w="10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18.95%</w:t>
            </w:r>
          </w:p>
        </w:tc>
        <w:tc>
          <w:tcPr>
            <w:tcW w:w="16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512,127,325.16</w:t>
            </w:r>
          </w:p>
        </w:tc>
        <w:tc>
          <w:tcPr>
            <w:tcW w:w="9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17.91%</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1.04%</w:t>
            </w:r>
          </w:p>
        </w:tc>
        <w:tc>
          <w:tcPr>
            <w:tcW w:w="219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应收账款</w:t>
            </w:r>
          </w:p>
        </w:tc>
        <w:tc>
          <w:tcPr>
            <w:tcW w:w="15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406,996,000.12</w:t>
            </w:r>
          </w:p>
        </w:tc>
        <w:tc>
          <w:tcPr>
            <w:tcW w:w="10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13.75%</w:t>
            </w:r>
          </w:p>
        </w:tc>
        <w:tc>
          <w:tcPr>
            <w:tcW w:w="16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298,416,660.42</w:t>
            </w:r>
          </w:p>
        </w:tc>
        <w:tc>
          <w:tcPr>
            <w:tcW w:w="9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10.44%</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3.31%</w:t>
            </w:r>
          </w:p>
        </w:tc>
        <w:tc>
          <w:tcPr>
            <w:tcW w:w="219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比年初增长36.39%，主要为本期子公司博云东方营业收入增加导致应收账款增加所致。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合同资产</w:t>
            </w:r>
          </w:p>
        </w:tc>
        <w:tc>
          <w:tcPr>
            <w:tcW w:w="15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3,353,380.24</w:t>
            </w:r>
          </w:p>
        </w:tc>
        <w:tc>
          <w:tcPr>
            <w:tcW w:w="10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0.11%</w:t>
            </w:r>
          </w:p>
        </w:tc>
        <w:tc>
          <w:tcPr>
            <w:tcW w:w="16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2,353,671.63</w:t>
            </w:r>
          </w:p>
        </w:tc>
        <w:tc>
          <w:tcPr>
            <w:tcW w:w="9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0.08%</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0.03%</w:t>
            </w:r>
          </w:p>
        </w:tc>
        <w:tc>
          <w:tcPr>
            <w:tcW w:w="219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ind w:right="-4" w:rightChars="0"/>
              <w:jc w:val="left"/>
              <w:rPr>
                <w:rFonts w:ascii="宋体" w:hAnsi="宋体" w:eastAsia="宋体" w:cs="宋体"/>
                <w:sz w:val="18"/>
                <w:szCs w:val="18"/>
              </w:rPr>
            </w:pPr>
            <w:r>
              <w:rPr>
                <w:rFonts w:ascii="宋体" w:hAnsi="宋体" w:eastAsia="宋体" w:cs="宋体"/>
                <w:sz w:val="18"/>
                <w:szCs w:val="18"/>
              </w:rPr>
              <w:t>比年初增长42.47%，主要为本期子公司博云东方未到期质保金增加所致。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存货</w:t>
            </w:r>
          </w:p>
        </w:tc>
        <w:tc>
          <w:tcPr>
            <w:tcW w:w="15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536,734,222.18</w:t>
            </w:r>
          </w:p>
        </w:tc>
        <w:tc>
          <w:tcPr>
            <w:tcW w:w="10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18.14%</w:t>
            </w:r>
          </w:p>
        </w:tc>
        <w:tc>
          <w:tcPr>
            <w:tcW w:w="16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544,930,137.33</w:t>
            </w:r>
          </w:p>
        </w:tc>
        <w:tc>
          <w:tcPr>
            <w:tcW w:w="9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19.06%</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-0.92%</w:t>
            </w:r>
          </w:p>
        </w:tc>
        <w:tc>
          <w:tcPr>
            <w:tcW w:w="219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right="-138" w:rightChars="-66"/>
              <w:jc w:val="left"/>
              <w:rPr>
                <w:rFonts w:ascii="宋体" w:hAnsi="宋体" w:eastAsia="宋体" w:cs="宋体"/>
                <w:sz w:val="18"/>
                <w:szCs w:val="18"/>
              </w:rPr>
            </w:pPr>
            <w:r>
              <w:rPr>
                <w:rFonts w:ascii="宋体" w:hAnsi="宋体" w:eastAsia="宋体" w:cs="宋体"/>
                <w:sz w:val="18"/>
                <w:szCs w:val="18"/>
              </w:rPr>
              <w:t>长期股权投资</w:t>
            </w:r>
          </w:p>
        </w:tc>
        <w:tc>
          <w:tcPr>
            <w:tcW w:w="15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14,910,414.73</w:t>
            </w:r>
          </w:p>
        </w:tc>
        <w:tc>
          <w:tcPr>
            <w:tcW w:w="9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0.52%</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-0.52%</w:t>
            </w:r>
          </w:p>
        </w:tc>
        <w:tc>
          <w:tcPr>
            <w:tcW w:w="219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比年初下降100%，为投资的合资公司本期按权益法计提的亏损账面价值减计至零所致。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固定资产</w:t>
            </w:r>
          </w:p>
        </w:tc>
        <w:tc>
          <w:tcPr>
            <w:tcW w:w="15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922,527,643.47</w:t>
            </w:r>
          </w:p>
        </w:tc>
        <w:tc>
          <w:tcPr>
            <w:tcW w:w="10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31.18%</w:t>
            </w:r>
          </w:p>
        </w:tc>
        <w:tc>
          <w:tcPr>
            <w:tcW w:w="16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711,815,784.08</w:t>
            </w:r>
          </w:p>
        </w:tc>
        <w:tc>
          <w:tcPr>
            <w:tcW w:w="9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24.90%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6.28%</w:t>
            </w:r>
          </w:p>
        </w:tc>
        <w:tc>
          <w:tcPr>
            <w:tcW w:w="219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比年初增长29.60%，主要为本期子公司博云东方麓谷基地产业化项目从在建工程转入所致。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在建工程</w:t>
            </w:r>
          </w:p>
        </w:tc>
        <w:tc>
          <w:tcPr>
            <w:tcW w:w="15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16,311,417.71</w:t>
            </w:r>
          </w:p>
        </w:tc>
        <w:tc>
          <w:tcPr>
            <w:tcW w:w="10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0.55%</w:t>
            </w:r>
          </w:p>
        </w:tc>
        <w:tc>
          <w:tcPr>
            <w:tcW w:w="16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183,036,596.42</w:t>
            </w:r>
          </w:p>
        </w:tc>
        <w:tc>
          <w:tcPr>
            <w:tcW w:w="9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6.40%</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-5.85%</w:t>
            </w:r>
          </w:p>
        </w:tc>
        <w:tc>
          <w:tcPr>
            <w:tcW w:w="219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比年初下降91.09%，主要为本期子公司博云东方麓谷基地产业化项目转固所致。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短期借款</w:t>
            </w:r>
          </w:p>
        </w:tc>
        <w:tc>
          <w:tcPr>
            <w:tcW w:w="15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320,257,847.26</w:t>
            </w:r>
          </w:p>
        </w:tc>
        <w:tc>
          <w:tcPr>
            <w:tcW w:w="10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10.82%</w:t>
            </w:r>
          </w:p>
        </w:tc>
        <w:tc>
          <w:tcPr>
            <w:tcW w:w="16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230,175,000.00</w:t>
            </w:r>
          </w:p>
        </w:tc>
        <w:tc>
          <w:tcPr>
            <w:tcW w:w="9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8.05%</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2.77%</w:t>
            </w:r>
          </w:p>
        </w:tc>
        <w:tc>
          <w:tcPr>
            <w:tcW w:w="219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比年初增长39.14%，为本期子公司博云东方和子公司长沙鑫航短期流动资金贷款增加所致。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合同负债</w:t>
            </w:r>
          </w:p>
        </w:tc>
        <w:tc>
          <w:tcPr>
            <w:tcW w:w="15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12,685,882.34</w:t>
            </w:r>
          </w:p>
        </w:tc>
        <w:tc>
          <w:tcPr>
            <w:tcW w:w="10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0.43%</w:t>
            </w:r>
          </w:p>
        </w:tc>
        <w:tc>
          <w:tcPr>
            <w:tcW w:w="16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12,716,588.45</w:t>
            </w:r>
          </w:p>
        </w:tc>
        <w:tc>
          <w:tcPr>
            <w:tcW w:w="9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0.44%</w:t>
            </w:r>
          </w:p>
        </w:tc>
        <w:tc>
          <w:tcPr>
            <w:tcW w:w="11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-0.01%</w:t>
            </w:r>
          </w:p>
        </w:tc>
        <w:tc>
          <w:tcPr>
            <w:tcW w:w="219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7"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widowControl/>
              <w:suppressLineNumbers w:val="0"/>
              <w:jc w:val="lef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应收票据</w:t>
            </w:r>
          </w:p>
        </w:tc>
        <w:tc>
          <w:tcPr>
            <w:tcW w:w="1520"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right"/>
              <w:textAlignment w:val="center"/>
              <w:rPr>
                <w:rFonts w:ascii="宋体" w:hAnsi="宋体" w:eastAsia="宋体" w:cs="宋体"/>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55,114,644.89</w:t>
            </w:r>
          </w:p>
        </w:tc>
        <w:tc>
          <w:tcPr>
            <w:tcW w:w="1060"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right"/>
              <w:textAlignment w:val="center"/>
              <w:rPr>
                <w:rFonts w:ascii="宋体" w:hAnsi="宋体" w:eastAsia="宋体" w:cs="宋体"/>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1.86%</w:t>
            </w:r>
          </w:p>
        </w:tc>
        <w:tc>
          <w:tcPr>
            <w:tcW w:w="1600"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right"/>
              <w:textAlignment w:val="center"/>
              <w:rPr>
                <w:rFonts w:ascii="宋体" w:hAnsi="宋体" w:eastAsia="宋体" w:cs="宋体"/>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90,189,966.95</w:t>
            </w:r>
          </w:p>
        </w:tc>
        <w:tc>
          <w:tcPr>
            <w:tcW w:w="950"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3.15%</w:t>
            </w:r>
          </w:p>
        </w:tc>
        <w:tc>
          <w:tcPr>
            <w:tcW w:w="1110"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right"/>
              <w:textAlignment w:val="center"/>
              <w:rPr>
                <w:rFonts w:ascii="宋体" w:hAnsi="宋体" w:eastAsia="宋体" w:cs="宋体"/>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-1.29%</w:t>
            </w:r>
          </w:p>
        </w:tc>
        <w:tc>
          <w:tcPr>
            <w:tcW w:w="219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比年初下降38.89%，主要为本期母公司博云新材票据到期及已背书未到期票据减少所致。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7"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widowControl/>
              <w:suppressLineNumbers w:val="0"/>
              <w:jc w:val="lef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其他权益工具投资</w:t>
            </w:r>
          </w:p>
        </w:tc>
        <w:tc>
          <w:tcPr>
            <w:tcW w:w="1520"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right"/>
              <w:textAlignment w:val="center"/>
              <w:rPr>
                <w:rFonts w:ascii="宋体" w:hAnsi="宋体" w:eastAsia="宋体" w:cs="宋体"/>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89,111,401.05</w:t>
            </w:r>
          </w:p>
        </w:tc>
        <w:tc>
          <w:tcPr>
            <w:tcW w:w="1060"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right"/>
              <w:textAlignment w:val="center"/>
              <w:rPr>
                <w:rFonts w:ascii="宋体" w:hAnsi="宋体" w:eastAsia="宋体" w:cs="宋体"/>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3.01%</w:t>
            </w:r>
          </w:p>
        </w:tc>
        <w:tc>
          <w:tcPr>
            <w:tcW w:w="1600"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right"/>
              <w:textAlignment w:val="center"/>
              <w:rPr>
                <w:rFonts w:ascii="宋体" w:hAnsi="宋体" w:eastAsia="宋体" w:cs="宋体"/>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105,034,123.55</w:t>
            </w:r>
          </w:p>
        </w:tc>
        <w:tc>
          <w:tcPr>
            <w:tcW w:w="950"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3.67%</w:t>
            </w:r>
          </w:p>
        </w:tc>
        <w:tc>
          <w:tcPr>
            <w:tcW w:w="1110"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right"/>
              <w:textAlignment w:val="center"/>
              <w:rPr>
                <w:rFonts w:ascii="宋体" w:hAnsi="宋体" w:eastAsia="宋体" w:cs="宋体"/>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-0.66%</w:t>
            </w:r>
          </w:p>
        </w:tc>
        <w:tc>
          <w:tcPr>
            <w:tcW w:w="219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highlight w:val="none"/>
              </w:rPr>
            </w:pPr>
            <w:r>
              <w:rPr>
                <w:rFonts w:hint="eastAsia" w:ascii="宋体" w:hAnsi="宋体" w:cs="宋体"/>
                <w:i w:val="0"/>
                <w:iCs w:val="0"/>
                <w:color w:val="000000"/>
                <w:kern w:val="0"/>
                <w:sz w:val="18"/>
                <w:szCs w:val="18"/>
                <w:highlight w:val="none"/>
                <w:u w:val="none"/>
                <w:lang w:val="en-US" w:eastAsia="zh-CN" w:bidi="ar"/>
              </w:rPr>
              <w:t>比年初下降15.16%，主要</w:t>
            </w:r>
            <w:r>
              <w:rPr>
                <w:rFonts w:hint="eastAsia" w:ascii="宋体" w:hAnsi="宋体" w:eastAsia="宋体" w:cs="宋体"/>
                <w:i w:val="0"/>
                <w:iCs w:val="0"/>
                <w:color w:val="000000"/>
                <w:kern w:val="0"/>
                <w:sz w:val="18"/>
                <w:szCs w:val="18"/>
                <w:highlight w:val="none"/>
                <w:u w:val="none"/>
                <w:lang w:val="en-US" w:eastAsia="zh-CN" w:bidi="ar"/>
              </w:rPr>
              <w:t>为本期母公司博云新材其他权益工具投资</w:t>
            </w:r>
            <w:r>
              <w:rPr>
                <w:rFonts w:hint="eastAsia" w:ascii="宋体" w:hAnsi="宋体" w:cs="宋体"/>
                <w:i w:val="0"/>
                <w:iCs w:val="0"/>
                <w:color w:val="000000"/>
                <w:kern w:val="0"/>
                <w:sz w:val="18"/>
                <w:szCs w:val="18"/>
                <w:highlight w:val="none"/>
                <w:u w:val="none"/>
                <w:lang w:val="en-US" w:eastAsia="zh-CN" w:bidi="ar"/>
              </w:rPr>
              <w:t>的部分</w:t>
            </w:r>
            <w:r>
              <w:rPr>
                <w:rFonts w:hint="eastAsia" w:ascii="宋体" w:hAnsi="宋体" w:eastAsia="宋体" w:cs="宋体"/>
                <w:i w:val="0"/>
                <w:iCs w:val="0"/>
                <w:color w:val="000000"/>
                <w:kern w:val="0"/>
                <w:sz w:val="18"/>
                <w:szCs w:val="18"/>
                <w:highlight w:val="none"/>
                <w:u w:val="none"/>
                <w:lang w:val="en-US" w:eastAsia="zh-CN" w:bidi="ar"/>
              </w:rPr>
              <w:t>核算项目</w:t>
            </w:r>
            <w:r>
              <w:rPr>
                <w:rFonts w:hint="eastAsia" w:ascii="宋体" w:hAnsi="宋体" w:cs="宋体"/>
                <w:i w:val="0"/>
                <w:iCs w:val="0"/>
                <w:strike w:val="0"/>
                <w:dstrike w:val="0"/>
                <w:color w:val="000000"/>
                <w:kern w:val="0"/>
                <w:sz w:val="18"/>
                <w:szCs w:val="18"/>
                <w:highlight w:val="none"/>
                <w:u w:val="none"/>
                <w:lang w:val="en-US" w:eastAsia="zh-CN" w:bidi="ar"/>
              </w:rPr>
              <w:t>进入清算期</w:t>
            </w:r>
            <w:r>
              <w:rPr>
                <w:rFonts w:hint="eastAsia" w:ascii="宋体" w:hAnsi="宋体" w:eastAsia="宋体" w:cs="宋体"/>
                <w:i w:val="0"/>
                <w:iCs w:val="0"/>
                <w:strike w:val="0"/>
                <w:color w:val="000000"/>
                <w:kern w:val="0"/>
                <w:sz w:val="18"/>
                <w:szCs w:val="18"/>
                <w:highlight w:val="none"/>
                <w:u w:val="none"/>
                <w:lang w:val="en-US" w:eastAsia="zh-CN" w:bidi="ar"/>
              </w:rPr>
              <w:t>所</w:t>
            </w:r>
            <w:r>
              <w:rPr>
                <w:rFonts w:hint="eastAsia" w:ascii="宋体" w:hAnsi="宋体" w:eastAsia="宋体" w:cs="宋体"/>
                <w:i w:val="0"/>
                <w:iCs w:val="0"/>
                <w:color w:val="000000"/>
                <w:kern w:val="0"/>
                <w:sz w:val="18"/>
                <w:szCs w:val="18"/>
                <w:highlight w:val="none"/>
                <w:u w:val="none"/>
                <w:lang w:val="en-US" w:eastAsia="zh-CN" w:bidi="ar"/>
              </w:rPr>
              <w:t>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7"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widowControl/>
              <w:suppressLineNumbers w:val="0"/>
              <w:jc w:val="lef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应付账款</w:t>
            </w:r>
          </w:p>
        </w:tc>
        <w:tc>
          <w:tcPr>
            <w:tcW w:w="1520"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right"/>
              <w:textAlignment w:val="center"/>
              <w:rPr>
                <w:rFonts w:ascii="宋体" w:hAnsi="宋体" w:eastAsia="宋体" w:cs="宋体"/>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182,117,635.81</w:t>
            </w:r>
          </w:p>
        </w:tc>
        <w:tc>
          <w:tcPr>
            <w:tcW w:w="1060"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right"/>
              <w:textAlignment w:val="center"/>
              <w:rPr>
                <w:rFonts w:ascii="宋体" w:hAnsi="宋体" w:eastAsia="宋体" w:cs="宋体"/>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6.15%</w:t>
            </w:r>
          </w:p>
        </w:tc>
        <w:tc>
          <w:tcPr>
            <w:tcW w:w="1600"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right"/>
              <w:textAlignment w:val="center"/>
              <w:rPr>
                <w:rFonts w:ascii="宋体" w:hAnsi="宋体" w:eastAsia="宋体" w:cs="宋体"/>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103,189,502.92</w:t>
            </w:r>
          </w:p>
        </w:tc>
        <w:tc>
          <w:tcPr>
            <w:tcW w:w="950"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3.61%</w:t>
            </w:r>
          </w:p>
        </w:tc>
        <w:tc>
          <w:tcPr>
            <w:tcW w:w="1110"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right"/>
              <w:textAlignment w:val="center"/>
              <w:rPr>
                <w:rFonts w:ascii="宋体" w:hAnsi="宋体" w:eastAsia="宋体" w:cs="宋体"/>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2.54%</w:t>
            </w:r>
          </w:p>
        </w:tc>
        <w:tc>
          <w:tcPr>
            <w:tcW w:w="219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比年初增长76.49%，主要为本期子公司博云东方生产投入加大应付原材料采购款增加所致。</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境外资产占比较高</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2"/>
        <w:rPr>
          <w:rFonts w:ascii="宋体" w:hAnsi="宋体" w:eastAsia="宋体" w:cs="宋体"/>
          <w:b/>
          <w:bCs/>
          <w:sz w:val="21"/>
          <w:szCs w:val="21"/>
        </w:rPr>
      </w:pPr>
      <w:bookmarkStart w:id="41" w:name="_Toc988923"/>
      <w:r>
        <w:rPr>
          <w:rFonts w:hint="eastAsia" w:ascii="宋体" w:hAnsi="宋体" w:eastAsia="宋体" w:cs="宋体"/>
          <w:b/>
          <w:bCs/>
          <w:sz w:val="21"/>
          <w:szCs w:val="21"/>
          <w:lang w:eastAsia="zh-CN"/>
        </w:rPr>
        <w:t>（二）</w:t>
      </w:r>
      <w:r>
        <w:rPr>
          <w:rFonts w:ascii="宋体" w:hAnsi="宋体" w:eastAsia="宋体" w:cs="宋体"/>
          <w:b/>
          <w:bCs/>
          <w:sz w:val="21"/>
          <w:szCs w:val="21"/>
        </w:rPr>
        <w:t>以公允价值计量的资产和负债</w:t>
      </w:r>
      <w:bookmarkEnd w:id="41"/>
    </w:p>
    <w:p>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期初数</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本期公允价值变动损益</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计入权益的累计公允价值变动</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本期计提的减值</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本期购买金额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本期出售金额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其他变动</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9"/>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金融资产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4.其他权益工具投资</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105,034,123.55</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-1,734,595.89</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4,217,736.04</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14,188,126.61</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89,111,401.05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5.应收款项融资</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14,258,718.27</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117,111,865.53</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126,881,926.81</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4,488,656.99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上述合计</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119,292,841.82</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-1,734,595.89</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4,217,736.04</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117,111,865.53</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141,070,053.42</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93,600,058.04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金融负债</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其他变动的内容</w:t>
      </w:r>
    </w:p>
    <w:p>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textAlignment w:val="auto"/>
      </w:pPr>
      <w:r>
        <w:rPr>
          <w:rFonts w:hint="eastAsia" w:ascii="宋体" w:hAnsi="宋体" w:eastAsia="宋体" w:cs="宋体"/>
          <w:sz w:val="18"/>
          <w:szCs w:val="18"/>
        </w:rPr>
        <w:t>无。</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报告期内公司主要资产计量属性是否发生重大变化</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pPr>
        <w:keepNext/>
        <w:keepLines/>
        <w:spacing w:before="300" w:after="300" w:line="280" w:lineRule="exact"/>
        <w:jc w:val="left"/>
        <w:outlineLvl w:val="2"/>
        <w:rPr>
          <w:rFonts w:ascii="宋体" w:hAnsi="宋体" w:eastAsia="宋体" w:cs="宋体"/>
          <w:b/>
          <w:bCs/>
          <w:sz w:val="21"/>
          <w:szCs w:val="21"/>
        </w:rPr>
      </w:pPr>
      <w:bookmarkStart w:id="42" w:name="_Toc988924"/>
      <w:r>
        <w:rPr>
          <w:rFonts w:hint="eastAsia" w:ascii="宋体" w:hAnsi="宋体" w:eastAsia="宋体" w:cs="宋体"/>
          <w:b/>
          <w:bCs/>
          <w:sz w:val="21"/>
          <w:szCs w:val="21"/>
          <w:lang w:eastAsia="zh-CN"/>
        </w:rPr>
        <w:t>（三）</w:t>
      </w:r>
      <w:r>
        <w:rPr>
          <w:rFonts w:ascii="宋体" w:hAnsi="宋体" w:eastAsia="宋体" w:cs="宋体"/>
          <w:b/>
          <w:bCs/>
          <w:sz w:val="21"/>
          <w:szCs w:val="21"/>
        </w:rPr>
        <w:t>截至报告期末的资产权利受限情况</w:t>
      </w:r>
      <w:bookmarkEnd w:id="42"/>
    </w:p>
    <w:p>
      <w:pPr>
        <w:pStyle w:val="4"/>
        <w:keepNext w:val="0"/>
        <w:keepLines w:val="0"/>
        <w:widowControl/>
        <w:suppressLineNumbers w:val="0"/>
        <w:spacing w:before="0" w:beforeAutospacing="0" w:after="0" w:afterAutospacing="0"/>
        <w:ind w:left="0" w:right="0"/>
        <w:jc w:val="left"/>
        <w:rPr>
          <w:rFonts w:hint="default" w:ascii="Times New Roman" w:hAnsi="Times New Roman" w:cs="Times New Roman"/>
          <w:sz w:val="24"/>
          <w:szCs w:val="24"/>
        </w:rPr>
      </w:pPr>
      <w:r>
        <w:rPr>
          <w:rFonts w:hint="eastAsia" w:ascii="宋体" w:hAnsi="宋体" w:eastAsia="宋体" w:cs="宋体"/>
          <w:sz w:val="18"/>
          <w:szCs w:val="18"/>
        </w:rPr>
        <w:t>详见第十节“财务报告”中七、合并财务报表注释“第20点”所有权或使用权受到限制的资产。</w:t>
      </w:r>
    </w:p>
    <w:p>
      <w:pPr>
        <w:keepNext/>
        <w:keepLines/>
        <w:spacing w:before="300" w:after="300" w:line="320" w:lineRule="exact"/>
        <w:jc w:val="left"/>
        <w:outlineLvl w:val="1"/>
        <w:rPr>
          <w:rFonts w:ascii="宋体" w:hAnsi="宋体" w:eastAsia="宋体" w:cs="宋体"/>
          <w:b/>
          <w:bCs/>
          <w:sz w:val="24"/>
          <w:szCs w:val="24"/>
        </w:rPr>
      </w:pPr>
      <w:bookmarkStart w:id="43" w:name="_Toc988925"/>
      <w:r>
        <w:rPr>
          <w:rFonts w:ascii="宋体" w:hAnsi="宋体" w:eastAsia="宋体" w:cs="宋体"/>
          <w:b/>
          <w:bCs/>
          <w:sz w:val="24"/>
          <w:szCs w:val="24"/>
        </w:rPr>
        <w:t>七、投资状况分析</w:t>
      </w:r>
      <w:bookmarkEnd w:id="43"/>
    </w:p>
    <w:p>
      <w:pPr>
        <w:keepNext/>
        <w:keepLines/>
        <w:spacing w:before="300" w:after="300" w:line="280" w:lineRule="exact"/>
        <w:jc w:val="left"/>
        <w:outlineLvl w:val="2"/>
        <w:rPr>
          <w:rFonts w:ascii="宋体" w:hAnsi="宋体" w:eastAsia="宋体" w:cs="宋体"/>
          <w:b/>
          <w:bCs/>
          <w:sz w:val="21"/>
          <w:szCs w:val="21"/>
        </w:rPr>
      </w:pPr>
      <w:bookmarkStart w:id="44" w:name="_Toc988926"/>
      <w:r>
        <w:rPr>
          <w:rFonts w:hint="eastAsia" w:ascii="宋体" w:hAnsi="宋体" w:eastAsia="宋体" w:cs="宋体"/>
          <w:b/>
          <w:bCs/>
          <w:sz w:val="21"/>
          <w:szCs w:val="21"/>
          <w:lang w:eastAsia="zh-CN"/>
        </w:rPr>
        <w:t>（一）</w:t>
      </w:r>
      <w:r>
        <w:rPr>
          <w:rFonts w:ascii="宋体" w:hAnsi="宋体" w:eastAsia="宋体" w:cs="宋体"/>
          <w:b/>
          <w:bCs/>
          <w:sz w:val="21"/>
          <w:szCs w:val="21"/>
        </w:rPr>
        <w:t>总体情况</w:t>
      </w:r>
      <w:bookmarkEnd w:id="44"/>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2"/>
        <w:rPr>
          <w:rFonts w:ascii="宋体" w:hAnsi="宋体" w:eastAsia="宋体" w:cs="宋体"/>
          <w:b/>
          <w:bCs/>
          <w:sz w:val="21"/>
          <w:szCs w:val="21"/>
        </w:rPr>
      </w:pPr>
      <w:bookmarkStart w:id="45" w:name="_Toc988927"/>
      <w:r>
        <w:rPr>
          <w:rFonts w:hint="eastAsia" w:ascii="宋体" w:hAnsi="宋体" w:eastAsia="宋体" w:cs="宋体"/>
          <w:b/>
          <w:bCs/>
          <w:sz w:val="21"/>
          <w:szCs w:val="21"/>
          <w:lang w:eastAsia="zh-CN"/>
        </w:rPr>
        <w:t>（二）</w:t>
      </w:r>
      <w:r>
        <w:rPr>
          <w:rFonts w:ascii="宋体" w:hAnsi="宋体" w:eastAsia="宋体" w:cs="宋体"/>
          <w:b/>
          <w:bCs/>
          <w:sz w:val="21"/>
          <w:szCs w:val="21"/>
        </w:rPr>
        <w:t>报告期内获取的重大的股权投资情况</w:t>
      </w:r>
      <w:bookmarkEnd w:id="45"/>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2"/>
        <w:rPr>
          <w:rFonts w:ascii="宋体" w:hAnsi="宋体" w:eastAsia="宋体" w:cs="宋体"/>
          <w:b/>
          <w:bCs/>
          <w:sz w:val="21"/>
          <w:szCs w:val="21"/>
        </w:rPr>
      </w:pPr>
      <w:bookmarkStart w:id="46" w:name="_Toc988928"/>
      <w:r>
        <w:rPr>
          <w:rFonts w:hint="eastAsia" w:ascii="宋体" w:hAnsi="宋体" w:eastAsia="宋体" w:cs="宋体"/>
          <w:b/>
          <w:bCs/>
          <w:sz w:val="21"/>
          <w:szCs w:val="21"/>
          <w:lang w:eastAsia="zh-CN"/>
        </w:rPr>
        <w:t>（三）</w:t>
      </w:r>
      <w:r>
        <w:rPr>
          <w:rFonts w:ascii="宋体" w:hAnsi="宋体" w:eastAsia="宋体" w:cs="宋体"/>
          <w:b/>
          <w:bCs/>
          <w:sz w:val="21"/>
          <w:szCs w:val="21"/>
        </w:rPr>
        <w:t>报告期内正在进行的重大的非股权投资情况</w:t>
      </w:r>
      <w:bookmarkEnd w:id="46"/>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2"/>
        <w:rPr>
          <w:rFonts w:ascii="宋体" w:hAnsi="宋体" w:eastAsia="宋体" w:cs="宋体"/>
          <w:b/>
          <w:bCs/>
          <w:sz w:val="21"/>
          <w:szCs w:val="21"/>
        </w:rPr>
      </w:pPr>
      <w:bookmarkStart w:id="47" w:name="_Toc988929"/>
      <w:r>
        <w:rPr>
          <w:rFonts w:hint="eastAsia" w:ascii="宋体" w:hAnsi="宋体" w:eastAsia="宋体" w:cs="宋体"/>
          <w:b/>
          <w:bCs/>
          <w:sz w:val="21"/>
          <w:szCs w:val="21"/>
          <w:lang w:eastAsia="zh-CN"/>
        </w:rPr>
        <w:t>（四）</w:t>
      </w:r>
      <w:r>
        <w:rPr>
          <w:rFonts w:ascii="宋体" w:hAnsi="宋体" w:eastAsia="宋体" w:cs="宋体"/>
          <w:b/>
          <w:bCs/>
          <w:sz w:val="21"/>
          <w:szCs w:val="21"/>
        </w:rPr>
        <w:t>金融资产投资</w:t>
      </w:r>
      <w:bookmarkEnd w:id="47"/>
    </w:p>
    <w:p>
      <w:pPr>
        <w:keepNext/>
        <w:keepLines/>
        <w:spacing w:before="300" w:after="300" w:line="280" w:lineRule="exact"/>
        <w:jc w:val="left"/>
        <w:outlineLvl w:val="3"/>
        <w:rPr>
          <w:rFonts w:hint="eastAsia" w:ascii="宋体" w:hAnsi="宋体" w:eastAsia="宋体" w:cs="宋体"/>
          <w:b/>
          <w:bCs/>
          <w:sz w:val="21"/>
          <w:szCs w:val="21"/>
          <w:lang w:val="en-US" w:eastAsia="zh-CN"/>
        </w:rPr>
      </w:pPr>
      <w:bookmarkStart w:id="48" w:name="_Toc988930"/>
      <w:r>
        <w:rPr>
          <w:rFonts w:hint="eastAsia" w:ascii="宋体" w:hAnsi="宋体" w:eastAsia="宋体" w:cs="宋体"/>
          <w:b/>
          <w:bCs/>
          <w:sz w:val="21"/>
          <w:szCs w:val="21"/>
          <w:lang w:val="en-US" w:eastAsia="zh-CN"/>
        </w:rPr>
        <w:t>1.证券投资情况</w:t>
      </w:r>
      <w:bookmarkEnd w:id="48"/>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公司报告期不存在证券投资。</w:t>
      </w:r>
    </w:p>
    <w:p>
      <w:pPr>
        <w:keepNext/>
        <w:keepLines/>
        <w:spacing w:before="300" w:after="300" w:line="280" w:lineRule="exact"/>
        <w:jc w:val="left"/>
        <w:outlineLvl w:val="3"/>
        <w:rPr>
          <w:rFonts w:hint="eastAsia" w:ascii="宋体" w:hAnsi="宋体" w:eastAsia="宋体" w:cs="宋体"/>
          <w:b/>
          <w:bCs/>
          <w:sz w:val="21"/>
          <w:szCs w:val="21"/>
          <w:lang w:val="en-US" w:eastAsia="zh-CN"/>
        </w:rPr>
      </w:pPr>
      <w:bookmarkStart w:id="49" w:name="_Toc988931"/>
      <w:r>
        <w:rPr>
          <w:rFonts w:hint="eastAsia" w:ascii="宋体" w:hAnsi="宋体" w:eastAsia="宋体" w:cs="宋体"/>
          <w:b/>
          <w:bCs/>
          <w:sz w:val="21"/>
          <w:szCs w:val="21"/>
          <w:lang w:val="en-US" w:eastAsia="zh-CN"/>
        </w:rPr>
        <w:t>2. 衍生品投资情况</w:t>
      </w:r>
      <w:bookmarkEnd w:id="49"/>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公司报告期不存在衍生品投资。</w:t>
      </w:r>
    </w:p>
    <w:p>
      <w:pPr>
        <w:keepNext/>
        <w:keepLines/>
        <w:spacing w:before="300" w:after="300" w:line="280" w:lineRule="exact"/>
        <w:jc w:val="left"/>
        <w:outlineLvl w:val="2"/>
        <w:rPr>
          <w:rFonts w:ascii="宋体" w:hAnsi="宋体" w:eastAsia="宋体" w:cs="宋体"/>
          <w:b/>
          <w:bCs/>
          <w:sz w:val="21"/>
          <w:szCs w:val="21"/>
        </w:rPr>
      </w:pPr>
      <w:bookmarkStart w:id="50" w:name="_Toc988932"/>
      <w:r>
        <w:rPr>
          <w:rFonts w:hint="eastAsia" w:ascii="宋体" w:hAnsi="宋体" w:eastAsia="宋体" w:cs="宋体"/>
          <w:b/>
          <w:bCs/>
          <w:sz w:val="21"/>
          <w:szCs w:val="21"/>
          <w:lang w:eastAsia="zh-CN"/>
        </w:rPr>
        <w:t>（五）</w:t>
      </w:r>
      <w:r>
        <w:rPr>
          <w:rFonts w:ascii="宋体" w:hAnsi="宋体" w:eastAsia="宋体" w:cs="宋体"/>
          <w:b/>
          <w:bCs/>
          <w:sz w:val="21"/>
          <w:szCs w:val="21"/>
        </w:rPr>
        <w:t>募集资金使用情况</w:t>
      </w:r>
      <w:bookmarkEnd w:id="50"/>
    </w:p>
    <w:p>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keepNext/>
        <w:keepLines/>
        <w:spacing w:before="300" w:after="300" w:line="280" w:lineRule="exact"/>
        <w:jc w:val="left"/>
        <w:outlineLvl w:val="3"/>
        <w:rPr>
          <w:rFonts w:hint="eastAsia" w:ascii="宋体" w:hAnsi="宋体" w:eastAsia="宋体" w:cs="宋体"/>
          <w:b/>
          <w:bCs/>
          <w:sz w:val="21"/>
          <w:szCs w:val="21"/>
          <w:lang w:val="en-US" w:eastAsia="zh-CN"/>
        </w:rPr>
      </w:pPr>
      <w:bookmarkStart w:id="51" w:name="_Toc988933"/>
      <w:r>
        <w:rPr>
          <w:rFonts w:hint="eastAsia" w:ascii="宋体" w:hAnsi="宋体" w:eastAsia="宋体" w:cs="宋体"/>
          <w:b/>
          <w:bCs/>
          <w:sz w:val="21"/>
          <w:szCs w:val="21"/>
          <w:lang w:val="en-US" w:eastAsia="zh-CN"/>
        </w:rPr>
        <w:t>1.募集资金总体使用情况</w:t>
      </w:r>
      <w:bookmarkEnd w:id="51"/>
    </w:p>
    <w:p>
      <w:pPr>
        <w:keepNext w:val="0"/>
        <w:keepLines w:val="0"/>
        <w:pageBreakBefore w:val="0"/>
        <w:widowControl w:val="0"/>
        <w:kinsoku/>
        <w:wordWrap/>
        <w:overflowPunct/>
        <w:topLinePunct w:val="0"/>
        <w:autoSpaceDE/>
        <w:autoSpaceDN/>
        <w:bidi w:val="0"/>
        <w:adjustRightInd/>
        <w:snapToGrid/>
        <w:spacing w:before="100" w:line="240" w:lineRule="exact"/>
        <w:jc w:val="left"/>
        <w:textAlignment w:val="auto"/>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单位：万元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89"/>
        <w:gridCol w:w="689"/>
        <w:gridCol w:w="689"/>
        <w:gridCol w:w="689"/>
        <w:gridCol w:w="689"/>
        <w:gridCol w:w="689"/>
        <w:gridCol w:w="689"/>
        <w:gridCol w:w="689"/>
        <w:gridCol w:w="689"/>
        <w:gridCol w:w="689"/>
        <w:gridCol w:w="689"/>
        <w:gridCol w:w="689"/>
        <w:gridCol w:w="689"/>
        <w:gridCol w:w="68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募集年份</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募集方式</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证券上市日期</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募集资金总额</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募集资金净额（1）</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本期已使用募集资金总额</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已累计使用募集资金总额（2）</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报告期末募集资金使用比例（3）=（2）/（1）</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报告期内变更用途的募集资金总额</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累计变更用途的募集资金总额</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累计变更用途的募集资金总额比例</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尚未使用募集资金总额</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尚未使用募集资金用途及去向</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闲置两年以上募集资金金额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非公开发行</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2021年08月06日</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63,109.66</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62,615.98</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4,484.25</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52,209.22</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83.38%</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7,746.68</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12.37%</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10,973.43</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募集资金专户存放</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合计</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63,109.66</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62,615.98</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4,484.25</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52,209.22</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83.38%</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7,746.68</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12.37%</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10,973.43</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募集资金总体使用情况说明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4"/>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公司本次非公开发行股票募集资金总额为人民币63,109.66万元，扣除与本次发行有关的费用人民币493.68万元（不含增值税），实际募集资金净额为人</w:t>
            </w:r>
            <w:r>
              <w:rPr>
                <w:rFonts w:ascii="宋体" w:hAnsi="宋体" w:eastAsia="宋体" w:cs="宋体"/>
                <w:sz w:val="18"/>
                <w:szCs w:val="18"/>
                <w:highlight w:val="none"/>
              </w:rPr>
              <w:t>民币62,615.98</w:t>
            </w:r>
            <w:r>
              <w:rPr>
                <w:rFonts w:hint="eastAsia" w:ascii="宋体" w:hAnsi="宋体" w:cs="宋体"/>
                <w:sz w:val="18"/>
                <w:szCs w:val="18"/>
                <w:highlight w:val="none"/>
                <w:lang w:eastAsia="zh-CN"/>
              </w:rPr>
              <w:t>万</w:t>
            </w:r>
            <w:r>
              <w:rPr>
                <w:rFonts w:ascii="宋体" w:hAnsi="宋体" w:eastAsia="宋体" w:cs="宋体"/>
                <w:sz w:val="18"/>
                <w:szCs w:val="18"/>
                <w:highlight w:val="none"/>
              </w:rPr>
              <w:t>元。截</w:t>
            </w:r>
            <w:r>
              <w:rPr>
                <w:rFonts w:ascii="宋体" w:hAnsi="宋体" w:eastAsia="宋体" w:cs="宋体"/>
                <w:sz w:val="18"/>
                <w:szCs w:val="18"/>
              </w:rPr>
              <w:t>至2024年12月31日，公司累计使用募集资金人民币52,209.22万元，（其中：高效精密硬质合金工模具与高强韧性特粗晶硬质合金掘进刀具麓谷基地产业化项目使用45,636.32万元，补充流动资金项目使用6,572.90万元），募集资金专用账户存放余额为5,973.43万元,暂时补充流动资金5,000.00万元。与实际募集资金净额余额人民币62,615.98万元的差异金额为人民币566.67万元，该566.67万元差异系募集资金累计利息收入扣除银行手续费支出后的净额。</w:t>
            </w:r>
          </w:p>
        </w:tc>
      </w:tr>
    </w:tbl>
    <w:p>
      <w:pPr>
        <w:keepNext/>
        <w:keepLines/>
        <w:spacing w:before="300" w:after="300" w:line="280" w:lineRule="exact"/>
        <w:jc w:val="left"/>
        <w:outlineLvl w:val="3"/>
        <w:rPr>
          <w:rFonts w:ascii="宋体" w:hAnsi="宋体" w:eastAsia="宋体" w:cs="宋体"/>
          <w:b/>
          <w:bCs/>
          <w:sz w:val="18"/>
          <w:szCs w:val="18"/>
        </w:rPr>
      </w:pPr>
      <w:bookmarkStart w:id="52" w:name="_Toc988934"/>
      <w:r>
        <w:rPr>
          <w:rFonts w:hint="eastAsia" w:ascii="宋体" w:hAnsi="宋体" w:eastAsia="宋体" w:cs="宋体"/>
          <w:b/>
          <w:bCs/>
          <w:sz w:val="18"/>
          <w:szCs w:val="18"/>
          <w:lang w:val="en-US" w:eastAsia="zh-CN"/>
        </w:rPr>
        <w:t>2.</w:t>
      </w:r>
      <w:r>
        <w:rPr>
          <w:rFonts w:ascii="宋体" w:hAnsi="宋体" w:eastAsia="宋体" w:cs="宋体"/>
          <w:b/>
          <w:bCs/>
          <w:sz w:val="18"/>
          <w:szCs w:val="18"/>
        </w:rPr>
        <w:t>募集资金承诺项目情况</w:t>
      </w:r>
      <w:bookmarkEnd w:id="52"/>
    </w:p>
    <w:p>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spacing w:before="120" w:after="120" w:line="240" w:lineRule="exact"/>
        <w:jc w:val="right"/>
      </w:pPr>
      <w:r>
        <w:rPr>
          <w:rFonts w:ascii="宋体" w:hAnsi="宋体" w:eastAsia="宋体" w:cs="宋体"/>
          <w:sz w:val="18"/>
          <w:szCs w:val="18"/>
        </w:rPr>
        <w:t>单位：万元</w:t>
      </w:r>
    </w:p>
    <w:tbl>
      <w:tblPr>
        <w:tblStyle w:val="5"/>
        <w:tblW w:w="976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43"/>
        <w:gridCol w:w="643"/>
        <w:gridCol w:w="781"/>
        <w:gridCol w:w="505"/>
        <w:gridCol w:w="643"/>
        <w:gridCol w:w="643"/>
        <w:gridCol w:w="643"/>
        <w:gridCol w:w="643"/>
        <w:gridCol w:w="643"/>
        <w:gridCol w:w="643"/>
        <w:gridCol w:w="643"/>
        <w:gridCol w:w="643"/>
        <w:gridCol w:w="643"/>
        <w:gridCol w:w="643"/>
        <w:gridCol w:w="76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融资项目名称</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证券上市日期</w:t>
            </w:r>
          </w:p>
        </w:tc>
        <w:tc>
          <w:tcPr>
            <w:tcW w:w="78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承诺投资项目和超募资金投向</w:t>
            </w:r>
          </w:p>
        </w:tc>
        <w:tc>
          <w:tcPr>
            <w:tcW w:w="5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项目性质</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是否已变更项目(含部分变更)</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募集资金承诺投资总额</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调整后投资总额(1)</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本报告期投入金额</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截至期末累计投入金额(2)</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截至期末投资进度(3)＝(2)/(1)</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项目达到预定可使用状态日期</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本报告期实现的效益</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截止报告期末累计实现的效益</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是否达到预计效益</w:t>
            </w:r>
          </w:p>
        </w:tc>
        <w:tc>
          <w:tcPr>
            <w:tcW w:w="76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项目可行性是否发生重大变化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767" w:type="dxa"/>
            <w:gridSpan w:val="1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承诺投资项目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2020年向特定对象非公开发行股票</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2021年08月06日</w:t>
            </w:r>
          </w:p>
        </w:tc>
        <w:tc>
          <w:tcPr>
            <w:tcW w:w="78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高效精密硬质合金工模具与高强韧性特粗晶硬质合金掘进刀具麓谷基地产业化项目</w:t>
            </w:r>
          </w:p>
        </w:tc>
        <w:tc>
          <w:tcPr>
            <w:tcW w:w="5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生产建设</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56,109.66</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56,109.66</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4,484.25</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45,636.32</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81.33%</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2024年12月31日</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-4,891.62</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eastAsia="宋体" w:cs="宋体"/>
                <w:sz w:val="18"/>
                <w:szCs w:val="18"/>
              </w:rPr>
            </w:pPr>
            <w:r>
              <w:rPr>
                <w:rFonts w:hint="eastAsia" w:ascii="宋体" w:hAnsi="宋体" w:cs="宋体"/>
                <w:sz w:val="18"/>
                <w:szCs w:val="18"/>
              </w:rPr>
              <w:t>否</w:t>
            </w:r>
          </w:p>
        </w:tc>
        <w:tc>
          <w:tcPr>
            <w:tcW w:w="76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eastAsia="宋体" w:cs="宋体"/>
                <w:sz w:val="18"/>
                <w:szCs w:val="18"/>
              </w:rPr>
            </w:pPr>
            <w:r>
              <w:rPr>
                <w:rFonts w:hint="eastAsia" w:ascii="宋体" w:hAnsi="宋体" w:cs="宋体"/>
                <w:sz w:val="18"/>
                <w:szCs w:val="18"/>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2020年向特定对象非公开发行股票</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2021年08月06日</w:t>
            </w:r>
          </w:p>
        </w:tc>
        <w:tc>
          <w:tcPr>
            <w:tcW w:w="78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补充流动资金</w:t>
            </w:r>
          </w:p>
        </w:tc>
        <w:tc>
          <w:tcPr>
            <w:tcW w:w="5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补流</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7,000</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6,506.32</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6,572.9</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101.20%</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4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eastAsia="宋体" w:cs="宋体"/>
                <w:sz w:val="18"/>
                <w:szCs w:val="18"/>
              </w:rPr>
            </w:pPr>
            <w:r>
              <w:rPr>
                <w:rFonts w:ascii="宋体" w:hAnsi="宋体" w:cs="宋体"/>
                <w:sz w:val="18"/>
                <w:szCs w:val="18"/>
              </w:rPr>
              <w:t>不适用</w:t>
            </w:r>
          </w:p>
        </w:tc>
        <w:tc>
          <w:tcPr>
            <w:tcW w:w="76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eastAsia="宋体" w:cs="宋体"/>
                <w:sz w:val="18"/>
                <w:szCs w:val="18"/>
              </w:rPr>
            </w:pPr>
            <w:r>
              <w:rPr>
                <w:rFonts w:ascii="宋体" w:hAnsi="宋体" w:cs="宋体"/>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572"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承诺投资项目小计</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63,109.66</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62,615.98</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4,484.25</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52,209.22</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-4,891.62</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76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767" w:type="dxa"/>
            <w:gridSpan w:val="1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超募资金投向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78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5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7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572"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63,109.66</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62,615.98</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4,484.25</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52,209.22</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-4,891.62</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76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572"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highlight w:val="none"/>
              </w:rPr>
            </w:pPr>
            <w:r>
              <w:rPr>
                <w:rFonts w:ascii="宋体" w:hAnsi="宋体" w:eastAsia="宋体" w:cs="宋体"/>
                <w:sz w:val="18"/>
                <w:szCs w:val="18"/>
                <w:highlight w:val="none"/>
              </w:rPr>
              <w:t>分项目说明未达到计划进度、预计收益的情况和原因（含“是否达到预计效益”选择“不适用”的原因）</w:t>
            </w:r>
          </w:p>
        </w:tc>
        <w:tc>
          <w:tcPr>
            <w:tcW w:w="7195" w:type="dxa"/>
            <w:gridSpan w:val="11"/>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highlight w:val="none"/>
              </w:rPr>
            </w:pPr>
            <w:bookmarkStart w:id="53" w:name="OLE_LINK5"/>
            <w:r>
              <w:rPr>
                <w:rFonts w:hint="eastAsia" w:ascii="Times New Roman" w:hAnsi="Times New Roman" w:cs="Times New Roman"/>
                <w:color w:val="000000"/>
                <w:sz w:val="18"/>
                <w:szCs w:val="18"/>
                <w:highlight w:val="none"/>
                <w:lang w:bidi="ar"/>
              </w:rPr>
              <w:t>2024年，博云东方已完成原生产线和存货搬迁至新厂，本次募投项目之麓谷基地产业化项目基本完成</w:t>
            </w:r>
            <w:r>
              <w:rPr>
                <w:rFonts w:hint="eastAsia" w:cs="Times New Roman"/>
                <w:color w:val="000000"/>
                <w:sz w:val="18"/>
                <w:szCs w:val="18"/>
                <w:highlight w:val="none"/>
                <w:lang w:eastAsia="zh-CN" w:bidi="ar"/>
              </w:rPr>
              <w:t>建设</w:t>
            </w:r>
            <w:r>
              <w:rPr>
                <w:rFonts w:hint="eastAsia" w:ascii="Times New Roman" w:hAnsi="Times New Roman" w:cs="Times New Roman"/>
                <w:color w:val="000000"/>
                <w:sz w:val="18"/>
                <w:szCs w:val="18"/>
                <w:highlight w:val="none"/>
                <w:lang w:bidi="ar"/>
              </w:rPr>
              <w:t>，进入陆续投产阶段。鉴于原有产线和募投项目共同生产，存货、人员、费用等共同管理，无法精确区分新旧产能以及单独测算效益。2024年，博云东方整体的净利润为</w:t>
            </w:r>
            <w:r>
              <w:rPr>
                <w:rFonts w:hint="eastAsia" w:cs="Times New Roman"/>
                <w:color w:val="000000"/>
                <w:sz w:val="18"/>
                <w:szCs w:val="18"/>
                <w:highlight w:val="none"/>
                <w:lang w:val="en-US" w:eastAsia="zh-CN" w:bidi="ar"/>
              </w:rPr>
              <w:t>-</w:t>
            </w:r>
            <w:r>
              <w:rPr>
                <w:rFonts w:hint="eastAsia" w:ascii="Times New Roman" w:hAnsi="Times New Roman" w:cs="Times New Roman"/>
                <w:color w:val="000000"/>
                <w:sz w:val="18"/>
                <w:szCs w:val="18"/>
                <w:highlight w:val="none"/>
                <w:lang w:bidi="ar"/>
              </w:rPr>
              <w:t>4,891.62万元（含原生产线业务亏损金额），募投项目本年度实现的效益未达预计效益。随着公司募投项目投产、积极拓展下游市场、深化渠道布局并加强客户合作，博云东方营业收入较2023年有所增长，但是受到硬质合金行业整体市场竞争加剧、原辅料价格高位波动以及麓谷基地产业化项目达产阶段的折旧摊销费用增加等综合因素的影响，从而导致效益不达预计。</w:t>
            </w:r>
            <w:bookmarkEnd w:id="53"/>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572"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项目可行性发生重大变化的情况说明</w:t>
            </w:r>
          </w:p>
        </w:tc>
        <w:tc>
          <w:tcPr>
            <w:tcW w:w="7195" w:type="dxa"/>
            <w:gridSpan w:val="11"/>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572"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超募资金的金额、用途及使用进展情况</w:t>
            </w:r>
          </w:p>
        </w:tc>
        <w:tc>
          <w:tcPr>
            <w:tcW w:w="7195" w:type="dxa"/>
            <w:gridSpan w:val="11"/>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572"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募集资金投资项目实施地点变更情况</w:t>
            </w:r>
          </w:p>
        </w:tc>
        <w:tc>
          <w:tcPr>
            <w:tcW w:w="7195" w:type="dxa"/>
            <w:gridSpan w:val="11"/>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572" w:type="dxa"/>
            <w:gridSpan w:val="4"/>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募集资金投资项目实施方式调整情况</w:t>
            </w:r>
          </w:p>
        </w:tc>
        <w:tc>
          <w:tcPr>
            <w:tcW w:w="7195" w:type="dxa"/>
            <w:gridSpan w:val="11"/>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适用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572" w:type="dxa"/>
            <w:gridSpan w:val="4"/>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195" w:type="dxa"/>
            <w:gridSpan w:val="11"/>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以前年度发生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572" w:type="dxa"/>
            <w:gridSpan w:val="4"/>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195" w:type="dxa"/>
            <w:gridSpan w:val="11"/>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both"/>
              <w:rPr>
                <w:rFonts w:ascii="宋体" w:hAnsi="宋体" w:eastAsia="宋体" w:cs="宋体"/>
                <w:sz w:val="18"/>
                <w:szCs w:val="18"/>
              </w:rPr>
            </w:pPr>
            <w:r>
              <w:rPr>
                <w:rFonts w:ascii="宋体" w:hAnsi="宋体" w:eastAsia="宋体" w:cs="宋体"/>
                <w:sz w:val="18"/>
                <w:szCs w:val="18"/>
              </w:rPr>
              <w:t>鉴于高端硬质合金棒材市场整体处于供销两旺的状态，且公司在高端硬质合金材料产品的市场及技术基础较整体刀具而言更好。为响应市场变化，并基于公司在相关产品领域目前所具备的现实竞争力情况，公司拟对“高效精密硬质合金工模具与高强韧性特粗晶硬质合金掘进刀具麓谷基地产业化项目”（简称“麓谷基地产业化项目”）部分实施内容进行调整。调整内容主要为：新增年产430吨硬质合金棒材，取消年产30万支整体刀具项目，将原用于刀具项目的设备投资款改用于购置新增年产430吨棒材所需设备。除此之外，募投项目整体保持不变。2022年1月24日，公司第六届董事会第二十三次会议审议并通过了《湖南博云新材料股份有限公司关于调整募集资金投资项目部分实施内容的议案》，同意对麓谷基地产业化项目部分实施内容进行调整，独立董事发表了明确同意意见。同日，上述议案亦经公司第六届监事会第十五次会议审议通过。保荐机构招商证券出具了对上述事项无异议的核查意见，公司履行了相应公告程序。2022年2月10日，公司2022年第一次临时股东大会审议通过该议案。</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572" w:type="dxa"/>
            <w:gridSpan w:val="4"/>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募集资金投资项目先期投入及置换情况</w:t>
            </w:r>
          </w:p>
        </w:tc>
        <w:tc>
          <w:tcPr>
            <w:tcW w:w="7195" w:type="dxa"/>
            <w:gridSpan w:val="11"/>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both"/>
              <w:rPr>
                <w:rFonts w:ascii="宋体" w:hAnsi="宋体" w:eastAsia="宋体" w:cs="宋体"/>
                <w:sz w:val="18"/>
                <w:szCs w:val="18"/>
              </w:rPr>
            </w:pPr>
            <w:r>
              <w:rPr>
                <w:rFonts w:ascii="宋体" w:hAnsi="宋体" w:eastAsia="宋体" w:cs="宋体"/>
                <w:sz w:val="18"/>
                <w:szCs w:val="18"/>
              </w:rPr>
              <w:t>适用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572" w:type="dxa"/>
            <w:gridSpan w:val="4"/>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195" w:type="dxa"/>
            <w:gridSpan w:val="11"/>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both"/>
              <w:rPr>
                <w:rFonts w:ascii="宋体" w:hAnsi="宋体" w:eastAsia="宋体" w:cs="宋体"/>
                <w:sz w:val="18"/>
                <w:szCs w:val="18"/>
              </w:rPr>
            </w:pPr>
            <w:r>
              <w:rPr>
                <w:rFonts w:ascii="宋体" w:hAnsi="宋体" w:eastAsia="宋体" w:cs="宋体"/>
                <w:sz w:val="18"/>
                <w:szCs w:val="18"/>
              </w:rPr>
              <w:t>天职国际会计师事务所有限公司于2021年8月6日出具了“天职业字〔2021〕35872号”《关于湖南博云新材料股份有限公司以募集资金置换预先投入募投项目及已支付发行费用的自筹资金的专项鉴证报告》，截至2021年8月5日，公司预先投入募集资金投资项目及以自筹资金支付的发行费用合计为人民币15,641.29万元。公司于2021年8月18日召开了第六届董事会第十九次会议，审议并通过了《关于以募集资金置换预先投入募投项目及已支付发行费用的自筹资金的议案》，同意公司使用募集资金置换预先投入募投项目及已支付发行费用的自筹资金15,641.29万元。针对上述事项，监事会与独立董事发表了同意意见，招商证券股份有限公司出具了无异议的核查意见，公司履行了相应公告程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572" w:type="dxa"/>
            <w:gridSpan w:val="4"/>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用闲置募集资金暂时补充流动资金情况</w:t>
            </w:r>
          </w:p>
        </w:tc>
        <w:tc>
          <w:tcPr>
            <w:tcW w:w="7195" w:type="dxa"/>
            <w:gridSpan w:val="11"/>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both"/>
              <w:rPr>
                <w:rFonts w:ascii="宋体" w:hAnsi="宋体" w:eastAsia="宋体" w:cs="宋体"/>
                <w:sz w:val="18"/>
                <w:szCs w:val="18"/>
              </w:rPr>
            </w:pPr>
            <w:r>
              <w:rPr>
                <w:rFonts w:ascii="宋体" w:hAnsi="宋体" w:eastAsia="宋体" w:cs="宋体"/>
                <w:sz w:val="18"/>
                <w:szCs w:val="18"/>
              </w:rPr>
              <w:t>适用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572" w:type="dxa"/>
            <w:gridSpan w:val="4"/>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highlight w:val="none"/>
              </w:rPr>
            </w:pPr>
          </w:p>
        </w:tc>
        <w:tc>
          <w:tcPr>
            <w:tcW w:w="7195" w:type="dxa"/>
            <w:gridSpan w:val="11"/>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both"/>
              <w:rPr>
                <w:rFonts w:ascii="宋体" w:hAnsi="宋体" w:eastAsia="宋体" w:cs="宋体"/>
                <w:sz w:val="18"/>
                <w:szCs w:val="18"/>
                <w:highlight w:val="none"/>
              </w:rPr>
            </w:pPr>
            <w:r>
              <w:rPr>
                <w:rFonts w:ascii="宋体" w:hAnsi="宋体" w:eastAsia="宋体" w:cs="宋体"/>
                <w:sz w:val="18"/>
                <w:szCs w:val="18"/>
                <w:highlight w:val="none"/>
              </w:rPr>
              <w:t>2021年8月18日，公司第六届董事会第十九次会议审议通过了《湖南博云新材料股份有限公司关于使用部分闲置募集资金暂时补充流动资金的议案》，同意公司及子公司使用不超过15,000.00万元的部分闲置募集资金暂时补充流动资金，使用期限自公司董事会审议通过之日起不超过12个月。针对上述事项，监事会与独立董事发表了同意意见，保荐机构招商证券出具了无异议的核查意见，公司履行了相应公告程序。</w:t>
            </w:r>
          </w:p>
          <w:p>
            <w:pPr>
              <w:spacing w:before="0" w:after="0" w:line="240" w:lineRule="exact"/>
              <w:jc w:val="both"/>
              <w:rPr>
                <w:rFonts w:ascii="宋体" w:hAnsi="宋体" w:eastAsia="宋体" w:cs="宋体"/>
                <w:sz w:val="18"/>
                <w:szCs w:val="18"/>
                <w:highlight w:val="none"/>
              </w:rPr>
            </w:pPr>
            <w:r>
              <w:rPr>
                <w:rFonts w:ascii="宋体" w:hAnsi="宋体" w:eastAsia="宋体" w:cs="宋体"/>
                <w:sz w:val="18"/>
                <w:szCs w:val="18"/>
                <w:highlight w:val="none"/>
              </w:rPr>
              <w:t>2022年8月15日公司已将上述用于暂时补充流动资金的募集资金人民币15,000万元全部归还并转入公司募集资金专用账户。</w:t>
            </w:r>
          </w:p>
          <w:p>
            <w:pPr>
              <w:spacing w:before="0" w:after="0" w:line="240" w:lineRule="exact"/>
              <w:jc w:val="both"/>
              <w:rPr>
                <w:rFonts w:ascii="宋体" w:hAnsi="宋体" w:eastAsia="宋体" w:cs="宋体"/>
                <w:sz w:val="18"/>
                <w:szCs w:val="18"/>
                <w:highlight w:val="none"/>
              </w:rPr>
            </w:pPr>
            <w:r>
              <w:rPr>
                <w:rFonts w:ascii="宋体" w:hAnsi="宋体" w:eastAsia="宋体" w:cs="宋体"/>
                <w:sz w:val="18"/>
                <w:szCs w:val="18"/>
                <w:highlight w:val="none"/>
              </w:rPr>
              <w:t>2022年8月19日公司第六届董事会第二十七次会议审议通过了《湖南博云新材料股份有限公司关于使用部分闲置募集资金暂时补充流动资金的议案》，同意公司及子公司使用不超过15,000.00万元的部分闲置募集资金暂时补充流动资金，使用期限自公司董事会审议通过之日起不超过12个月。针对上述事项，监事会与独立董事发表了同意意见，保荐机构招商证券出具了无异议的核查意见，公司履行了相应公告程序。</w:t>
            </w:r>
          </w:p>
          <w:p>
            <w:pPr>
              <w:spacing w:before="0" w:after="0" w:line="240" w:lineRule="exact"/>
              <w:jc w:val="both"/>
              <w:rPr>
                <w:rFonts w:ascii="宋体" w:hAnsi="宋体" w:eastAsia="宋体" w:cs="宋体"/>
                <w:sz w:val="18"/>
                <w:szCs w:val="18"/>
                <w:highlight w:val="none"/>
              </w:rPr>
            </w:pPr>
            <w:r>
              <w:rPr>
                <w:rFonts w:ascii="宋体" w:hAnsi="宋体" w:eastAsia="宋体" w:cs="宋体"/>
                <w:sz w:val="18"/>
                <w:szCs w:val="18"/>
                <w:highlight w:val="none"/>
              </w:rPr>
              <w:t>2023年8月17日公司已将上述用于暂时补充流动资金的募集资金人民币15,000.00万元全部归还并转入公司募集资金专用账户。</w:t>
            </w:r>
          </w:p>
          <w:p>
            <w:pPr>
              <w:spacing w:before="0" w:after="0" w:line="240" w:lineRule="exact"/>
              <w:jc w:val="both"/>
              <w:rPr>
                <w:rFonts w:ascii="宋体" w:hAnsi="宋体" w:eastAsia="宋体" w:cs="宋体"/>
                <w:sz w:val="18"/>
                <w:szCs w:val="18"/>
                <w:highlight w:val="none"/>
              </w:rPr>
            </w:pPr>
            <w:r>
              <w:rPr>
                <w:rFonts w:ascii="宋体" w:hAnsi="宋体" w:eastAsia="宋体" w:cs="宋体"/>
                <w:sz w:val="18"/>
                <w:szCs w:val="18"/>
                <w:highlight w:val="none"/>
              </w:rPr>
              <w:t>2023年8月29日公司第七届董事会第七次会议审议通过了《湖南博云新材料股份有限公司关于使用部分闲置募集资金暂时补充流动资金的议案》，同意公司及子公司使用不超过10,000.00万元的部分闲置募集资金暂时补充流动资金，使用期限自公司董事会审议通过之日起不超过12个月。针对上述事项，监事会与独立董事发表了同意意见，保荐机构招商证券出具了无异议的核查意见，公司履行了相应公告程序。</w:t>
            </w:r>
          </w:p>
          <w:p>
            <w:pPr>
              <w:spacing w:before="0" w:after="0" w:line="240" w:lineRule="exact"/>
              <w:jc w:val="both"/>
              <w:rPr>
                <w:rFonts w:ascii="宋体" w:hAnsi="宋体" w:eastAsia="宋体" w:cs="宋体"/>
                <w:sz w:val="18"/>
                <w:szCs w:val="18"/>
                <w:highlight w:val="none"/>
              </w:rPr>
            </w:pPr>
            <w:r>
              <w:rPr>
                <w:rFonts w:ascii="宋体" w:hAnsi="宋体" w:eastAsia="宋体" w:cs="宋体"/>
                <w:sz w:val="18"/>
                <w:szCs w:val="18"/>
                <w:highlight w:val="none"/>
              </w:rPr>
              <w:t>2024年8月20日公司已将上述用于暂时补充流动资金的募集资金人民币10,000.00万元全部归还并转入公司募集资金专用账户。</w:t>
            </w:r>
          </w:p>
          <w:p>
            <w:pPr>
              <w:spacing w:before="0" w:after="0" w:line="240" w:lineRule="exact"/>
              <w:jc w:val="both"/>
              <w:rPr>
                <w:rFonts w:ascii="宋体" w:hAnsi="宋体" w:eastAsia="宋体" w:cs="宋体"/>
                <w:sz w:val="18"/>
                <w:szCs w:val="18"/>
                <w:highlight w:val="none"/>
              </w:rPr>
            </w:pPr>
            <w:r>
              <w:rPr>
                <w:rFonts w:ascii="宋体" w:hAnsi="宋体" w:eastAsia="宋体" w:cs="宋体"/>
                <w:sz w:val="18"/>
                <w:szCs w:val="18"/>
                <w:highlight w:val="none"/>
              </w:rPr>
              <w:t>2024年8月22日公司第七届董事会第十三次会议审议通过了《湖南博云新材料股份有限公司关于使用部分闲置募集资金暂时补充流动资金的议案》，同意公司及子公司使用不超过5,000.00万元的部分闲置募集资金暂时补充流动资金，使用期限自公司董事会审议通过之日起不超过12个月。针对上述事项，监事会发表了同意意见，保荐机构招商证券出具了无异议的核查意见，公司履行了相应公告程序。截至2024年12月31日，公司使用闲置募集资金暂时补充流动资金的金额为5,000.00万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572"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项目实施出现募集资金结余的金额及原因</w:t>
            </w:r>
          </w:p>
        </w:tc>
        <w:tc>
          <w:tcPr>
            <w:tcW w:w="7195" w:type="dxa"/>
            <w:gridSpan w:val="11"/>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572"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尚未使用的募集资金用途及去向</w:t>
            </w:r>
          </w:p>
        </w:tc>
        <w:tc>
          <w:tcPr>
            <w:tcW w:w="7195" w:type="dxa"/>
            <w:gridSpan w:val="11"/>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截至2024年12月31日，尚未使用的募集资金合计10,973.43万元，其中募集资金专用账户存放余额为5,973.43万元,暂时补充流动资金5,000.00万元。尚未使用的募集资金将用于高效精密硬质合金工模具与高强韧性特粗晶硬质合金掘进刀具麓谷基地产业化项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572"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募集资金使用及披露中存在的问题或其他情况</w:t>
            </w:r>
          </w:p>
        </w:tc>
        <w:tc>
          <w:tcPr>
            <w:tcW w:w="7195" w:type="dxa"/>
            <w:gridSpan w:val="11"/>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r>
    </w:tbl>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3"/>
        <w:rPr>
          <w:rFonts w:hint="eastAsia" w:ascii="宋体" w:hAnsi="宋体" w:eastAsia="宋体" w:cs="宋体"/>
          <w:b/>
          <w:bCs/>
          <w:sz w:val="21"/>
          <w:szCs w:val="21"/>
          <w:lang w:val="en-US" w:eastAsia="zh-CN"/>
        </w:rPr>
      </w:pPr>
      <w:bookmarkStart w:id="54" w:name="_Toc988935"/>
      <w:r>
        <w:rPr>
          <w:rFonts w:hint="eastAsia" w:ascii="宋体" w:hAnsi="宋体" w:eastAsia="宋体" w:cs="宋体"/>
          <w:b/>
          <w:bCs/>
          <w:sz w:val="21"/>
          <w:szCs w:val="21"/>
          <w:lang w:val="en-US" w:eastAsia="zh-CN"/>
        </w:rPr>
        <w:t>3.募集资金变更项目情况</w:t>
      </w:r>
      <w:bookmarkEnd w:id="54"/>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公司报告期不存在募集资金变更项目情况。</w:t>
      </w:r>
    </w:p>
    <w:p>
      <w:pPr>
        <w:keepNext/>
        <w:keepLines/>
        <w:spacing w:before="300" w:after="300" w:line="320" w:lineRule="exact"/>
        <w:jc w:val="left"/>
        <w:outlineLvl w:val="1"/>
        <w:rPr>
          <w:rFonts w:ascii="宋体" w:hAnsi="宋体" w:eastAsia="宋体" w:cs="宋体"/>
          <w:b/>
          <w:bCs/>
          <w:sz w:val="24"/>
          <w:szCs w:val="24"/>
        </w:rPr>
      </w:pPr>
      <w:bookmarkStart w:id="55" w:name="_Toc988936"/>
      <w:r>
        <w:rPr>
          <w:rFonts w:ascii="宋体" w:hAnsi="宋体" w:eastAsia="宋体" w:cs="宋体"/>
          <w:b/>
          <w:bCs/>
          <w:sz w:val="24"/>
          <w:szCs w:val="24"/>
        </w:rPr>
        <w:t>八、重大资产和股权出售</w:t>
      </w:r>
      <w:bookmarkEnd w:id="55"/>
    </w:p>
    <w:p>
      <w:pPr>
        <w:keepNext/>
        <w:keepLines/>
        <w:spacing w:before="300" w:after="300" w:line="280" w:lineRule="exact"/>
        <w:jc w:val="left"/>
        <w:outlineLvl w:val="2"/>
        <w:rPr>
          <w:rFonts w:ascii="宋体" w:hAnsi="宋体" w:eastAsia="宋体" w:cs="宋体"/>
          <w:b/>
          <w:bCs/>
          <w:sz w:val="21"/>
          <w:szCs w:val="21"/>
        </w:rPr>
      </w:pPr>
      <w:bookmarkStart w:id="56" w:name="_Toc988937"/>
      <w:r>
        <w:rPr>
          <w:rFonts w:hint="eastAsia" w:ascii="宋体" w:hAnsi="宋体" w:eastAsia="宋体" w:cs="宋体"/>
          <w:b/>
          <w:bCs/>
          <w:sz w:val="21"/>
          <w:szCs w:val="21"/>
          <w:lang w:eastAsia="zh-CN"/>
        </w:rPr>
        <w:t>（一）</w:t>
      </w:r>
      <w:r>
        <w:rPr>
          <w:rFonts w:ascii="宋体" w:hAnsi="宋体" w:eastAsia="宋体" w:cs="宋体"/>
          <w:b/>
          <w:bCs/>
          <w:sz w:val="21"/>
          <w:szCs w:val="21"/>
        </w:rPr>
        <w:t>出售重大资产情况</w:t>
      </w:r>
      <w:bookmarkEnd w:id="56"/>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公司报告期未出售重大资产。</w:t>
      </w:r>
    </w:p>
    <w:p>
      <w:pPr>
        <w:keepNext/>
        <w:keepLines/>
        <w:spacing w:before="300" w:after="300" w:line="280" w:lineRule="exact"/>
        <w:jc w:val="left"/>
        <w:outlineLvl w:val="2"/>
        <w:rPr>
          <w:rFonts w:ascii="宋体" w:hAnsi="宋体" w:eastAsia="宋体" w:cs="宋体"/>
          <w:b/>
          <w:bCs/>
          <w:sz w:val="21"/>
          <w:szCs w:val="21"/>
        </w:rPr>
      </w:pPr>
      <w:bookmarkStart w:id="57" w:name="_Toc988938"/>
      <w:r>
        <w:rPr>
          <w:rFonts w:hint="eastAsia" w:ascii="宋体" w:hAnsi="宋体" w:eastAsia="宋体" w:cs="宋体"/>
          <w:b/>
          <w:bCs/>
          <w:sz w:val="21"/>
          <w:szCs w:val="21"/>
          <w:lang w:eastAsia="zh-CN"/>
        </w:rPr>
        <w:t>（二）</w:t>
      </w:r>
      <w:r>
        <w:rPr>
          <w:rFonts w:ascii="宋体" w:hAnsi="宋体" w:eastAsia="宋体" w:cs="宋体"/>
          <w:b/>
          <w:bCs/>
          <w:sz w:val="21"/>
          <w:szCs w:val="21"/>
        </w:rPr>
        <w:t>出售重大股权情况</w:t>
      </w:r>
      <w:bookmarkEnd w:id="57"/>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320" w:lineRule="exact"/>
        <w:jc w:val="left"/>
        <w:outlineLvl w:val="1"/>
        <w:rPr>
          <w:rFonts w:ascii="宋体" w:hAnsi="宋体" w:eastAsia="宋体" w:cs="宋体"/>
          <w:b/>
          <w:bCs/>
          <w:sz w:val="24"/>
          <w:szCs w:val="24"/>
        </w:rPr>
      </w:pPr>
      <w:bookmarkStart w:id="58" w:name="_Toc988939"/>
      <w:r>
        <w:rPr>
          <w:rFonts w:ascii="宋体" w:hAnsi="宋体" w:eastAsia="宋体" w:cs="宋体"/>
          <w:b/>
          <w:bCs/>
          <w:sz w:val="24"/>
          <w:szCs w:val="24"/>
        </w:rPr>
        <w:t>九、主要控股参股公司分析</w:t>
      </w:r>
      <w:bookmarkEnd w:id="58"/>
    </w:p>
    <w:p>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主要子公司及对公司净利润影响达10%以上的参股公司情况</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公司名称</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公司类型</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主要业务</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注册资本</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总资产</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净资产</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营业收入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营业利润</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净利润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湖南博云东方粉末冶金有限公司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高性能硬质合金材料</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307,298,955</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1,337,965,491.69</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745,603,799.88</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362,165,929.02</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-59,887,043.10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-48,916,232.82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长沙鑫航机轮刹车有限公司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飞机机轮刹车系统及零部件</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377,000,000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650,812,832.94</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171,335,433.87</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102,396,318.24</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-38,147,204.36</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-54,742,189.09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长沙伟徽高科技新材料股份有限公司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高新材料的生产、加工和销售</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60,000,000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239,952,262.10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214,483,153.31</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75,779,378.83</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1,599,398.08</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2,002,640.23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霍尼韦尔博云航空系统（湖南）有限公司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参股公司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飞机刹车、机轮及其相关结构件和控制系统</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9,800.00万美元</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245,822,375.79</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2,485,106.11</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6,692,184.22</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-31,892,090.88</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-31,777,896.48</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报告期内取得和处置子公司的情况</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主要控股参股公司情况说明</w:t>
      </w:r>
    </w:p>
    <w:p>
      <w:pPr>
        <w:pStyle w:val="4"/>
        <w:keepNext w:val="0"/>
        <w:keepLines w:val="0"/>
        <w:widowControl/>
        <w:suppressLineNumbers w:val="0"/>
      </w:pPr>
      <w:r>
        <w:rPr>
          <w:rFonts w:hint="eastAsia" w:ascii="宋体" w:hAnsi="宋体" w:eastAsia="宋体" w:cs="宋体"/>
          <w:sz w:val="18"/>
          <w:szCs w:val="18"/>
        </w:rPr>
        <w:t>无。</w:t>
      </w:r>
    </w:p>
    <w:p>
      <w:pPr>
        <w:keepNext/>
        <w:keepLines/>
        <w:spacing w:before="300" w:after="300" w:line="320" w:lineRule="exact"/>
        <w:jc w:val="left"/>
        <w:outlineLvl w:val="1"/>
        <w:rPr>
          <w:rFonts w:ascii="宋体" w:hAnsi="宋体" w:eastAsia="宋体" w:cs="宋体"/>
          <w:b/>
          <w:bCs/>
          <w:sz w:val="24"/>
          <w:szCs w:val="24"/>
        </w:rPr>
      </w:pPr>
      <w:bookmarkStart w:id="59" w:name="_Toc988940"/>
      <w:r>
        <w:rPr>
          <w:rFonts w:ascii="宋体" w:hAnsi="宋体" w:eastAsia="宋体" w:cs="宋体"/>
          <w:b/>
          <w:bCs/>
          <w:sz w:val="24"/>
          <w:szCs w:val="24"/>
        </w:rPr>
        <w:t>十、公司控制的结构化主体情况</w:t>
      </w:r>
      <w:bookmarkEnd w:id="59"/>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320" w:lineRule="exact"/>
        <w:jc w:val="left"/>
        <w:outlineLvl w:val="1"/>
        <w:rPr>
          <w:rFonts w:ascii="宋体" w:hAnsi="宋体" w:eastAsia="宋体" w:cs="宋体"/>
          <w:b/>
          <w:bCs/>
          <w:sz w:val="24"/>
          <w:szCs w:val="24"/>
        </w:rPr>
      </w:pPr>
      <w:bookmarkStart w:id="60" w:name="_Toc988941"/>
      <w:r>
        <w:rPr>
          <w:rFonts w:ascii="宋体" w:hAnsi="宋体" w:eastAsia="宋体" w:cs="宋体"/>
          <w:b/>
          <w:bCs/>
          <w:sz w:val="24"/>
          <w:szCs w:val="24"/>
        </w:rPr>
        <w:t>十一、公司未来发展的展望</w:t>
      </w:r>
      <w:bookmarkEnd w:id="60"/>
    </w:p>
    <w:p>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60" w:lineRule="atLeast"/>
        <w:jc w:val="both"/>
        <w:textAlignment w:val="auto"/>
        <w:outlineLvl w:val="2"/>
        <w:rPr>
          <w:rFonts w:hint="default" w:ascii="宋体" w:hAnsi="宋体" w:eastAsia="宋体" w:cs="宋体"/>
          <w:b/>
          <w:bCs/>
          <w:sz w:val="21"/>
          <w:szCs w:val="21"/>
        </w:rPr>
      </w:pPr>
      <w:r>
        <w:rPr>
          <w:rFonts w:hint="eastAsia" w:ascii="宋体" w:hAnsi="宋体" w:eastAsia="宋体" w:cs="宋体"/>
          <w:b/>
          <w:bCs/>
          <w:sz w:val="21"/>
          <w:szCs w:val="21"/>
        </w:rPr>
        <w:t>（一）行业竞争格局和趋势</w:t>
      </w:r>
    </w:p>
    <w:p>
      <w:pPr>
        <w:pStyle w:val="4"/>
        <w:widowControl/>
        <w:spacing w:beforeAutospacing="0" w:afterAutospacing="0" w:line="360" w:lineRule="exact"/>
        <w:ind w:firstLine="420"/>
        <w:jc w:val="both"/>
        <w:rPr>
          <w:rFonts w:ascii="Times New Roman" w:hAnsi="Times New Roman"/>
          <w:kern w:val="2"/>
          <w:sz w:val="21"/>
          <w:szCs w:val="21"/>
        </w:rPr>
      </w:pPr>
      <w:r>
        <w:rPr>
          <w:rFonts w:hint="eastAsia" w:ascii="Times New Roman" w:hAnsi="Times New Roman"/>
          <w:kern w:val="2"/>
          <w:sz w:val="21"/>
          <w:szCs w:val="21"/>
        </w:rPr>
        <w:t>2025年国内经济预计保持基础稳、优势多、韧性强、潜能大，长期向好的支撑条件和基本趋势，在推动经济持续回升向好过程中，国家以科技创新引领新质生产力发展，建设现代化产业体系，加强基础研究和关键核心技术攻关，超前布局重大科技项目，开展新技术、新产品、新场景、大规模应用示范行动，综合整治“内卷式”竞争，规范地方政府和企业行为。政策重心将聚焦稳就业、促消费、强科技、防风险，企业需拥抱数字化转型、拓展海外市场。公司所处</w:t>
      </w:r>
      <w:r>
        <w:rPr>
          <w:rFonts w:ascii="Times New Roman" w:hAnsi="Times New Roman"/>
          <w:kern w:val="2"/>
          <w:sz w:val="21"/>
          <w:szCs w:val="21"/>
        </w:rPr>
        <w:t>行业的形势分析如下：</w:t>
      </w:r>
      <w:r>
        <w:rPr>
          <w:rFonts w:hint="eastAsia" w:ascii="Times New Roman" w:hAnsi="Times New Roman"/>
          <w:kern w:val="2"/>
          <w:sz w:val="21"/>
          <w:szCs w:val="21"/>
        </w:rPr>
        <w:t xml:space="preserve"> </w:t>
      </w:r>
    </w:p>
    <w:p>
      <w:pPr>
        <w:keepNext/>
        <w:keepLines/>
        <w:pageBreakBefore w:val="0"/>
        <w:widowControl w:val="0"/>
        <w:kinsoku/>
        <w:wordWrap/>
        <w:overflowPunct/>
        <w:topLinePunct w:val="0"/>
        <w:autoSpaceDE/>
        <w:autoSpaceDN/>
        <w:bidi w:val="0"/>
        <w:adjustRightInd/>
        <w:snapToGrid/>
        <w:spacing w:before="180" w:after="120" w:line="280" w:lineRule="exact"/>
        <w:jc w:val="left"/>
        <w:textAlignment w:val="auto"/>
        <w:outlineLvl w:val="3"/>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1.航空航天领域</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420"/>
        <w:jc w:val="both"/>
        <w:textAlignment w:val="auto"/>
        <w:rPr>
          <w:rFonts w:hint="default" w:ascii="Times New Roman" w:hAnsi="Times New Roman" w:cs="Times New Roman"/>
          <w:sz w:val="24"/>
          <w:szCs w:val="24"/>
        </w:rPr>
      </w:pPr>
      <w:r>
        <w:rPr>
          <w:rFonts w:hint="eastAsia" w:ascii="宋体" w:hAnsi="宋体" w:eastAsia="宋体" w:cs="宋体"/>
          <w:sz w:val="21"/>
          <w:szCs w:val="21"/>
        </w:rPr>
        <w:t>在民航客机领域，根据民航局发布的统计数据，2024年我国民用运输机场完成旅客吞吐量14.6亿人次，较上年增长15.9%；其中：国际航线完成旅客吞吐量接近1亿人次，较上年增长109.8%，客货同比均实现两位数增长，超过2019年水平创历史新高。与此同时，2024年全球航空客运量同比增长10.4%。中国商飞公司预测，在未来20年的时间跨度内，中国机队的年均增长率将达到4.4%，预计中国航空运输市场将引进喷气式客机9323架。到2043年，中国民航的机队规模预计将达到10061架，占全球客机机队的20.6%，中国有望成为全球最大的单一航空运输市场。随着航空市场需求的持续增长以及我国国产大飞机战略的稳步推进，国产商用飞机正迎来量产期。C919国产大飞机交付规模的持续增长将使得国产大飞机的商业化运营规模和航线覆盖范围不断扩大。此外，C929完成初步设计，现正开展供应商选择，已确定全球首家用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420"/>
        <w:jc w:val="left"/>
        <w:textAlignment w:val="auto"/>
        <w:rPr>
          <w:rFonts w:hint="default" w:ascii="Times New Roman" w:hAnsi="Times New Roman" w:cs="Times New Roman"/>
          <w:sz w:val="24"/>
          <w:szCs w:val="24"/>
        </w:rPr>
      </w:pPr>
      <w:r>
        <w:rPr>
          <w:rFonts w:hint="eastAsia" w:ascii="宋体" w:hAnsi="宋体" w:eastAsia="宋体" w:cs="宋体"/>
          <w:sz w:val="21"/>
          <w:szCs w:val="21"/>
        </w:rPr>
        <w:t>在军事航空领域，根据《World Air Forces 2024》的数据显示，中国目前拥有3304架在役军用飞机，排名世界第三，占全球军机总量的6%，与主要发达国家的军机数量相比，尚有较大差距。这表明我国军机市场具有显著的增长潜力。2025年3月政府工作报告中明确提及“全力打好实现建军一百年奋斗目标攻坚战”，“加快发展新质战斗力”，“加紧实施国防发展重大工程，2025年政府预算报告预算草案中披露了中国国防支出预算增长7.2%。随着军事装备的快速更新换代、空军战略转型的深入以及军贸市场的扩大，我国军机产业正迎来加速发展的新机遇。在2024年11月举办的第十五届中国航展上，我国向公众全面、系统地展示了空军现代化建设的阶段性成就，军用飞机正处于关键的更新换代时期，中型五代机迎来了重要的发展契机，有人与无人机的协同作战正逐渐成为未来战场的新常态。预计对关键材料和零部件的需求将整体保持稳定增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420"/>
        <w:jc w:val="both"/>
        <w:textAlignment w:val="auto"/>
        <w:rPr>
          <w:rFonts w:hint="default" w:ascii="Times New Roman" w:hAnsi="Times New Roman" w:cs="Times New Roman"/>
          <w:sz w:val="24"/>
          <w:szCs w:val="24"/>
        </w:rPr>
      </w:pPr>
      <w:r>
        <w:rPr>
          <w:rFonts w:hint="eastAsia" w:ascii="宋体" w:hAnsi="宋体" w:eastAsia="宋体" w:cs="宋体"/>
          <w:sz w:val="21"/>
          <w:szCs w:val="21"/>
        </w:rPr>
        <w:t>在航天领域，2024年我国海南商业航天发射场建成并成功首发，标志着商业航天基础设施建设实现了历史性的突破。随着技术的不断进步和产业规模的持续扩大，2024年商业航天作为“新增长引擎”被纳入政府工作报告，2025年《政府工作报告》提出推动商业航天、低空经济等新兴产业安全健康发展。地方产业协同加速布局，推动了该产业的迅猛发展。长征六号丙、长征十二号、引力一号成功首飞，并创下多项记录；力箭一号、快舟一号甲、快舟十一号、捷龙三号、谷神星一号以及朱雀二号改进型运载火箭均顺利完成了发射任务，多个大规模星座的发射组网工作也已启动。中国航天产业正朝着商业化、国际化、智能化和绿色化方向迈进，未来在全球航天领域中将扮演更加重要的角色。</w:t>
      </w:r>
    </w:p>
    <w:p>
      <w:pPr>
        <w:keepNext/>
        <w:keepLines/>
        <w:pageBreakBefore w:val="0"/>
        <w:widowControl w:val="0"/>
        <w:kinsoku/>
        <w:wordWrap/>
        <w:overflowPunct/>
        <w:topLinePunct w:val="0"/>
        <w:autoSpaceDE/>
        <w:autoSpaceDN/>
        <w:bidi w:val="0"/>
        <w:adjustRightInd/>
        <w:snapToGrid/>
        <w:spacing w:before="180" w:after="120" w:line="280" w:lineRule="exact"/>
        <w:jc w:val="left"/>
        <w:textAlignment w:val="auto"/>
        <w:outlineLvl w:val="3"/>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2.硬质合金领域</w:t>
      </w:r>
    </w:p>
    <w:p>
      <w:pPr>
        <w:pStyle w:val="4"/>
        <w:widowControl/>
        <w:spacing w:beforeAutospacing="0" w:afterAutospacing="0" w:line="360" w:lineRule="atLeast"/>
        <w:ind w:firstLine="420"/>
        <w:jc w:val="both"/>
        <w:rPr>
          <w:szCs w:val="24"/>
        </w:rPr>
      </w:pPr>
      <w:r>
        <w:rPr>
          <w:rFonts w:hint="eastAsia" w:ascii="宋体" w:hAnsi="宋体" w:cs="宋体"/>
          <w:sz w:val="21"/>
          <w:szCs w:val="21"/>
        </w:rPr>
        <w:t>硬质合金作为工业制造的基础材料，广泛应用于切削工具、模具、耐磨部件等领域，全球市场规模预计2025年突破600亿美元（Grand View Research数据），国际巨头山特维克、住友电工等长期垄断高端市场。国家《“十四五”新材料产业发展规划》明确将高性能硬质合金列为重点方向，鼓励替代进口。近年来，得益于我国硬质合金企业的技术进步，我国硬质合金行业市场规模持续扩大，已经成为世界上最大的硬质合金生产和消费国。</w:t>
      </w:r>
    </w:p>
    <w:p>
      <w:pPr>
        <w:pStyle w:val="4"/>
        <w:widowControl/>
        <w:spacing w:beforeAutospacing="0" w:afterAutospacing="0" w:line="360" w:lineRule="atLeast"/>
        <w:ind w:firstLine="420"/>
        <w:jc w:val="both"/>
        <w:rPr>
          <w:rFonts w:hint="eastAsia" w:ascii="Times New Roman" w:hAnsi="Times New Roman"/>
          <w:kern w:val="2"/>
          <w:sz w:val="21"/>
          <w:szCs w:val="21"/>
        </w:rPr>
      </w:pPr>
      <w:r>
        <w:rPr>
          <w:rFonts w:hint="eastAsia" w:ascii="宋体" w:hAnsi="宋体" w:cs="宋体"/>
          <w:sz w:val="21"/>
          <w:szCs w:val="21"/>
        </w:rPr>
        <w:t>未来几年，随着新能源汽车、半导体设备、航空航天等新兴行业的迅猛发展，以及亚太地区的崛起，硬质合金行业预计将展现出“高端化、智能化、绿色化”这几大发展趋势。硬质合金行业在技术革新、应用场景创新以及产业链的协同合作方面同时面临着更大的机遇与挑战。</w:t>
      </w:r>
    </w:p>
    <w:p>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60" w:lineRule="atLeast"/>
        <w:jc w:val="both"/>
        <w:textAlignment w:val="auto"/>
        <w:outlineLvl w:val="2"/>
        <w:rPr>
          <w:rFonts w:hint="default" w:ascii="宋体" w:hAnsi="宋体" w:eastAsia="宋体" w:cs="宋体"/>
          <w:b/>
          <w:bCs/>
          <w:sz w:val="21"/>
          <w:szCs w:val="21"/>
        </w:rPr>
      </w:pPr>
      <w:r>
        <w:rPr>
          <w:rFonts w:hint="eastAsia" w:ascii="宋体" w:hAnsi="宋体" w:eastAsia="宋体" w:cs="宋体"/>
          <w:b/>
          <w:bCs/>
          <w:sz w:val="21"/>
          <w:szCs w:val="21"/>
        </w:rPr>
        <w:t>（二）公司发展战略</w:t>
      </w:r>
    </w:p>
    <w:p>
      <w:pPr>
        <w:pStyle w:val="4"/>
        <w:keepNext w:val="0"/>
        <w:keepLines w:val="0"/>
        <w:widowControl/>
        <w:suppressLineNumbers w:val="0"/>
        <w:spacing w:before="100" w:beforeAutospacing="0" w:after="10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公司根据国家优先发展高端制造业的政策导向，整合自身优势资源，以科技创新为驱动力，以市场需求为指引，通过持续的技术投入和研发项目的推进，提升公司在航空航天领域、高性能硬质合金领域的影响力与竞争力。公司将不断拓展相关材料的应用领域，集中力量增强系统集成和整体配套能力，以进一步巩固和提升市场地位。</w:t>
      </w:r>
    </w:p>
    <w:p>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60" w:lineRule="atLeast"/>
        <w:jc w:val="both"/>
        <w:textAlignment w:val="auto"/>
        <w:outlineLvl w:val="2"/>
        <w:rPr>
          <w:rFonts w:hint="default" w:ascii="宋体" w:hAnsi="宋体" w:eastAsia="宋体" w:cs="宋体"/>
          <w:b/>
          <w:bCs/>
          <w:sz w:val="21"/>
          <w:szCs w:val="21"/>
        </w:rPr>
      </w:pPr>
      <w:r>
        <w:rPr>
          <w:rFonts w:hint="eastAsia" w:ascii="宋体" w:hAnsi="宋体" w:eastAsia="宋体" w:cs="宋体"/>
          <w:b/>
          <w:bCs/>
          <w:sz w:val="21"/>
          <w:szCs w:val="21"/>
        </w:rPr>
        <w:t>（三）经营计划</w:t>
      </w:r>
    </w:p>
    <w:p>
      <w:pPr>
        <w:pStyle w:val="4"/>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sz w:val="21"/>
          <w:szCs w:val="21"/>
        </w:rPr>
        <w:t>2025年，是“十四五”规划收官之年，公司将坚定不移地以习近平新时代中国特色社会主义思想为指导，推动党建工作与生产经营的深度融合，</w:t>
      </w:r>
      <w:r>
        <w:rPr>
          <w:rFonts w:hint="eastAsia" w:ascii="宋体" w:hAnsi="宋体" w:eastAsia="宋体" w:cs="宋体"/>
          <w:color w:val="000000"/>
          <w:sz w:val="21"/>
          <w:szCs w:val="21"/>
        </w:rPr>
        <w:t>不断深化改革</w:t>
      </w:r>
      <w:r>
        <w:rPr>
          <w:rFonts w:hint="eastAsia" w:ascii="宋体" w:hAnsi="宋体" w:eastAsia="宋体" w:cs="宋体"/>
          <w:sz w:val="21"/>
          <w:szCs w:val="21"/>
        </w:rPr>
        <w:t>。立足当前经营现状，敏锐洞察航空航天、硬质合金两大板块的发展趋势，依托高技术制造业的稳健成长和新产品市场的积极态势，加大市场开拓，保持技术研发投入，努力实现2025年的经营目标，为“十五五”规划的开局打下坚实的基础。</w:t>
      </w:r>
    </w:p>
    <w:p>
      <w:pPr>
        <w:keepNext/>
        <w:keepLines/>
        <w:pageBreakBefore w:val="0"/>
        <w:widowControl w:val="0"/>
        <w:kinsoku/>
        <w:wordWrap/>
        <w:overflowPunct/>
        <w:topLinePunct w:val="0"/>
        <w:autoSpaceDE/>
        <w:autoSpaceDN/>
        <w:bidi w:val="0"/>
        <w:adjustRightInd/>
        <w:snapToGrid/>
        <w:spacing w:before="180" w:after="120" w:line="280" w:lineRule="exact"/>
        <w:jc w:val="left"/>
        <w:textAlignment w:val="auto"/>
        <w:outlineLvl w:val="3"/>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1.坚持党建引领，统一思想行动</w:t>
      </w:r>
    </w:p>
    <w:p>
      <w:pPr>
        <w:pStyle w:val="4"/>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sz w:val="21"/>
          <w:szCs w:val="21"/>
        </w:rPr>
        <w:t>公司将秉承服务于国家重大战略需求的初心使命，坚定不移地以习近平新时代中国特色社会主义思想为指引，全面深入贯彻落实党的二十大及二十届二中、三中全会精神，贯彻落实中央与省委、省政府经济工作会议的决策部署，强化党建引领，激发群团活力，凝聚各方面力量，形成强大工作合力，团结奋斗，拼搏前行，落实2025年的核心经营目标，确保公司高质量发展行稳致远。</w:t>
      </w:r>
    </w:p>
    <w:p>
      <w:pPr>
        <w:keepNext/>
        <w:keepLines/>
        <w:pageBreakBefore w:val="0"/>
        <w:widowControl w:val="0"/>
        <w:kinsoku/>
        <w:wordWrap/>
        <w:overflowPunct/>
        <w:topLinePunct w:val="0"/>
        <w:autoSpaceDE/>
        <w:autoSpaceDN/>
        <w:bidi w:val="0"/>
        <w:adjustRightInd/>
        <w:snapToGrid/>
        <w:spacing w:before="180" w:after="120" w:line="280" w:lineRule="exact"/>
        <w:jc w:val="left"/>
        <w:textAlignment w:val="auto"/>
        <w:outlineLvl w:val="3"/>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2.加大市场开拓，提升创收能力</w:t>
      </w:r>
    </w:p>
    <w:p>
      <w:pPr>
        <w:pStyle w:val="4"/>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sz w:val="21"/>
          <w:szCs w:val="21"/>
        </w:rPr>
        <w:t>航空航天板块，公司将以现有产品型号市场为基础进一步夯实业务主阵地，拓展民用航空、低空经济市场；做好重点、核心客户的服务工作，提升重点客户的市场份额；以顾客满意度为核心，通过提供精准交付、快速响应、专业解决方案和定期回访等优质服务，持续提升顾客满意度，巩固长期稳定的客户关系。</w:t>
      </w:r>
    </w:p>
    <w:p>
      <w:pPr>
        <w:pStyle w:val="4"/>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sz w:val="21"/>
          <w:szCs w:val="21"/>
        </w:rPr>
        <w:t>硬质合金板块，公司在重点做好国内大客户的稳定和维护的同时，加大新客户的开发力度，积极推广高性能纳米硬质合金；努力发展经销商网络，拓宽销售渠道；充分利用产能释放契机，巩固并扩大棒材、模具、地矿各型号产品的销售规模；紧跟客户需求，完成产品技术攻关，挖掘新的经济增长点。</w:t>
      </w:r>
    </w:p>
    <w:p>
      <w:pPr>
        <w:keepNext/>
        <w:keepLines/>
        <w:pageBreakBefore w:val="0"/>
        <w:widowControl w:val="0"/>
        <w:kinsoku/>
        <w:wordWrap/>
        <w:overflowPunct/>
        <w:topLinePunct w:val="0"/>
        <w:autoSpaceDE/>
        <w:autoSpaceDN/>
        <w:bidi w:val="0"/>
        <w:adjustRightInd/>
        <w:snapToGrid/>
        <w:spacing w:before="180" w:after="120" w:line="280" w:lineRule="exact"/>
        <w:jc w:val="left"/>
        <w:textAlignment w:val="auto"/>
        <w:outlineLvl w:val="3"/>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3.强化科技创新，打造新质生产力</w:t>
      </w:r>
    </w:p>
    <w:p>
      <w:pPr>
        <w:pStyle w:val="4"/>
        <w:keepNext w:val="0"/>
        <w:keepLines w:val="0"/>
        <w:widowControl/>
        <w:suppressLineNumbers w:val="0"/>
        <w:spacing w:before="0" w:beforeAutospacing="0" w:after="0" w:afterAutospacing="0" w:line="3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高标准推进“科改示范企业”建设，保障在研、新研项目的研发投入，加快研发技术向产品成果转化速度；实施核心技术攻关行动，确保各项重点型号项目取得阶段性研究成果；巩固现有技术创新体系，不断完善科研项目管理制度；持续推进各项平台建设，加强对外技术合作，积极营造崇尚科技创新的文化氛围。</w:t>
      </w:r>
    </w:p>
    <w:p>
      <w:pPr>
        <w:keepNext/>
        <w:keepLines/>
        <w:pageBreakBefore w:val="0"/>
        <w:widowControl w:val="0"/>
        <w:kinsoku/>
        <w:wordWrap/>
        <w:overflowPunct/>
        <w:topLinePunct w:val="0"/>
        <w:autoSpaceDE/>
        <w:autoSpaceDN/>
        <w:bidi w:val="0"/>
        <w:adjustRightInd/>
        <w:snapToGrid/>
        <w:spacing w:before="180" w:after="120" w:line="280" w:lineRule="exact"/>
        <w:jc w:val="left"/>
        <w:textAlignment w:val="auto"/>
        <w:outlineLvl w:val="3"/>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4.深化内部改革，提升公司治理能力</w:t>
      </w:r>
    </w:p>
    <w:p>
      <w:pPr>
        <w:pStyle w:val="4"/>
        <w:keepNext w:val="0"/>
        <w:keepLines w:val="0"/>
        <w:widowControl/>
        <w:suppressLineNumbers w:val="0"/>
        <w:spacing w:before="100" w:beforeAutospacing="0" w:after="10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sz w:val="21"/>
          <w:szCs w:val="21"/>
        </w:rPr>
        <w:t>增强职能部门的赋能服务意识与赋能服务能力；深化机构改革，优化工作流程，更好地发挥协同效益；完善激励约束机制，进一步提升考核效能；培养想干事、能干事、敢作为、敢担当的优秀人才，增强公司的核心竞争力。</w:t>
      </w:r>
    </w:p>
    <w:p>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60" w:lineRule="atLeast"/>
        <w:jc w:val="both"/>
        <w:textAlignment w:val="auto"/>
        <w:outlineLvl w:val="2"/>
        <w:rPr>
          <w:rFonts w:hint="default" w:ascii="宋体" w:hAnsi="宋体" w:eastAsia="宋体" w:cs="宋体"/>
          <w:b/>
          <w:bCs/>
          <w:sz w:val="21"/>
          <w:szCs w:val="21"/>
        </w:rPr>
      </w:pPr>
      <w:r>
        <w:rPr>
          <w:rFonts w:hint="eastAsia" w:ascii="宋体" w:hAnsi="宋体" w:eastAsia="宋体" w:cs="宋体"/>
          <w:b/>
          <w:bCs/>
          <w:sz w:val="21"/>
          <w:szCs w:val="21"/>
        </w:rPr>
        <w:t>（四）可能面对的风险</w:t>
      </w:r>
    </w:p>
    <w:p>
      <w:pPr>
        <w:keepNext/>
        <w:keepLines/>
        <w:pageBreakBefore w:val="0"/>
        <w:widowControl w:val="0"/>
        <w:kinsoku/>
        <w:wordWrap/>
        <w:overflowPunct/>
        <w:topLinePunct w:val="0"/>
        <w:autoSpaceDE/>
        <w:autoSpaceDN/>
        <w:bidi w:val="0"/>
        <w:adjustRightInd/>
        <w:snapToGrid/>
        <w:spacing w:before="180" w:after="120" w:line="280" w:lineRule="exact"/>
        <w:jc w:val="left"/>
        <w:textAlignment w:val="auto"/>
        <w:outlineLvl w:val="3"/>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1.经营管理风险</w:t>
      </w:r>
    </w:p>
    <w:p>
      <w:pPr>
        <w:pStyle w:val="4"/>
        <w:widowControl/>
        <w:spacing w:beforeAutospacing="0" w:afterAutospacing="0" w:line="360" w:lineRule="atLeast"/>
        <w:ind w:firstLine="420"/>
        <w:jc w:val="both"/>
        <w:rPr>
          <w:szCs w:val="24"/>
        </w:rPr>
      </w:pPr>
      <w:r>
        <w:rPr>
          <w:rFonts w:hint="eastAsia" w:ascii="宋体" w:hAnsi="宋体" w:cs="宋体"/>
          <w:sz w:val="21"/>
          <w:szCs w:val="21"/>
        </w:rPr>
        <w:t>随着公司新建项目逐步投产，产能大幅增加，公司在战略规划、制度建设、组织设置、运营管理、资金管理和内部控制等方面将面临更大的挑战。尽管公司建立了相对规范的法人治理结构、质量管理体系，生产经营能保持有序运行，但存在现有管理体系不能完全适应公司发展的可能性，给企业的生产经营带来风险。</w:t>
      </w:r>
    </w:p>
    <w:p>
      <w:pPr>
        <w:pStyle w:val="4"/>
        <w:widowControl/>
        <w:spacing w:beforeAutospacing="0" w:afterAutospacing="0" w:line="360" w:lineRule="atLeast"/>
        <w:ind w:firstLine="420"/>
        <w:jc w:val="both"/>
        <w:rPr>
          <w:szCs w:val="24"/>
        </w:rPr>
      </w:pPr>
      <w:r>
        <w:rPr>
          <w:rFonts w:hint="eastAsia" w:ascii="宋体" w:hAnsi="宋体" w:cs="宋体"/>
          <w:sz w:val="21"/>
          <w:szCs w:val="21"/>
        </w:rPr>
        <w:t>对策：本公司根据战略规划，不断完善各项制度，建立有效的内部控制制度；制定科学的人力资源政策，加大对员工培训的力度；加强对资金的管理，拓宽融资的渠道；加强子公司业务管理，从而降低经营管理风险。</w:t>
      </w:r>
    </w:p>
    <w:p>
      <w:pPr>
        <w:keepNext/>
        <w:keepLines/>
        <w:pageBreakBefore w:val="0"/>
        <w:widowControl w:val="0"/>
        <w:kinsoku/>
        <w:wordWrap/>
        <w:overflowPunct/>
        <w:topLinePunct w:val="0"/>
        <w:autoSpaceDE/>
        <w:autoSpaceDN/>
        <w:bidi w:val="0"/>
        <w:adjustRightInd/>
        <w:snapToGrid/>
        <w:spacing w:before="180" w:after="120" w:line="280" w:lineRule="exact"/>
        <w:jc w:val="left"/>
        <w:textAlignment w:val="auto"/>
        <w:outlineLvl w:val="3"/>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2.存货较大的风险</w:t>
      </w:r>
    </w:p>
    <w:p>
      <w:pPr>
        <w:pStyle w:val="4"/>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sz w:val="21"/>
          <w:szCs w:val="21"/>
        </w:rPr>
        <w:t>公司产品的生产周期较长，客户要求的供货时间短，为满足客户需求，公司保持了较高的安全库存量。但是较高的安全库存量一方面占用公司大量的资金，造成资金短缺的风险；另一方面，一旦市场需求发生变化，或者客户订单达不到预期，大量的存货将会成为公司的负担，给公司的经营带来风险。</w:t>
      </w:r>
    </w:p>
    <w:p>
      <w:pPr>
        <w:pStyle w:val="4"/>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sz w:val="21"/>
          <w:szCs w:val="21"/>
        </w:rPr>
        <w:t>对策：关注主要产品的市场发展趋势，与主要客户保持密切联系，增强对产品市场的预测能力，加强采购管理。加大产品研发力度，保持本公司产品在行业中的技术优势，优化产品结构，减少对少数主要客户的依赖程度，优化库存周转效率，同时关注主要产品的价格波动，降低存货发生损失的风险。</w:t>
      </w:r>
    </w:p>
    <w:p>
      <w:pPr>
        <w:keepNext/>
        <w:keepLines/>
        <w:pageBreakBefore w:val="0"/>
        <w:widowControl w:val="0"/>
        <w:kinsoku/>
        <w:wordWrap/>
        <w:overflowPunct/>
        <w:topLinePunct w:val="0"/>
        <w:autoSpaceDE/>
        <w:autoSpaceDN/>
        <w:bidi w:val="0"/>
        <w:adjustRightInd/>
        <w:snapToGrid/>
        <w:spacing w:before="180" w:after="120" w:line="280" w:lineRule="exact"/>
        <w:jc w:val="left"/>
        <w:textAlignment w:val="auto"/>
        <w:outlineLvl w:val="3"/>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3.人力资源风险</w:t>
      </w:r>
    </w:p>
    <w:p>
      <w:pPr>
        <w:pStyle w:val="4"/>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sz w:val="21"/>
          <w:szCs w:val="21"/>
        </w:rPr>
        <w:t>核心技术人员与营销管理人员是企业、品牌生存和发展的关键力量，也是获得持续竞争优势的基础。随着公司的新项目和新产品开发、生产、销售业务的增加，公司对专业技术人员的需求量持续增加，公司未来发展将面临一定的人力资源压力。同时，随着近年来我国劳动力成本逐年上升，也导致了公司经营成本的上升。如果公司不能完善各类激励机制，不断吸纳和培养适合公司发展所需的技术和管理人员，将可能导致公司存在一定的人才流失及人力成本风险。</w:t>
      </w:r>
    </w:p>
    <w:p>
      <w:pPr>
        <w:pStyle w:val="4"/>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sz w:val="21"/>
          <w:szCs w:val="21"/>
        </w:rPr>
        <w:t>对策：继续完善薪酬制度，创造一个公平公正的职位晋升渠道，尽量让有能力的人能够发挥所长，获得适合的岗位和薪酬待遇，员工通过努力工作能够实现自身价值。</w:t>
      </w:r>
    </w:p>
    <w:p>
      <w:pPr>
        <w:keepNext/>
        <w:keepLines/>
        <w:pageBreakBefore w:val="0"/>
        <w:widowControl w:val="0"/>
        <w:kinsoku/>
        <w:wordWrap/>
        <w:overflowPunct/>
        <w:topLinePunct w:val="0"/>
        <w:autoSpaceDE/>
        <w:autoSpaceDN/>
        <w:bidi w:val="0"/>
        <w:adjustRightInd/>
        <w:snapToGrid/>
        <w:spacing w:before="180" w:after="120" w:line="280" w:lineRule="exact"/>
        <w:jc w:val="left"/>
        <w:textAlignment w:val="auto"/>
        <w:outlineLvl w:val="3"/>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4.市场开拓风险</w:t>
      </w:r>
    </w:p>
    <w:p>
      <w:pPr>
        <w:pStyle w:val="4"/>
        <w:widowControl/>
        <w:spacing w:beforeAutospacing="0" w:afterAutospacing="0" w:line="360" w:lineRule="atLeast"/>
        <w:ind w:firstLine="420"/>
        <w:rPr>
          <w:szCs w:val="24"/>
        </w:rPr>
      </w:pPr>
      <w:bookmarkStart w:id="61" w:name="_Toc988942"/>
      <w:r>
        <w:rPr>
          <w:rFonts w:hint="eastAsia" w:ascii="宋体" w:hAnsi="宋体" w:cs="宋体"/>
          <w:sz w:val="21"/>
          <w:szCs w:val="21"/>
        </w:rPr>
        <w:t>公司及下属子公司的新建及在建项目投产后公司产能将会大幅提升，需要公司加大市场拓展力度，以消化新增产能。如果行业内竞争加剧，或公司市场拓展不达预期，将会造成公司产销率、产能利用率下降，因而会对公司经营业绩提升产生不利影响。</w:t>
      </w:r>
    </w:p>
    <w:p>
      <w:pPr>
        <w:pStyle w:val="4"/>
        <w:widowControl/>
        <w:spacing w:beforeAutospacing="0" w:afterAutospacing="0" w:line="360" w:lineRule="atLeast"/>
        <w:ind w:firstLine="420"/>
        <w:rPr>
          <w:szCs w:val="24"/>
        </w:rPr>
      </w:pPr>
      <w:r>
        <w:rPr>
          <w:rFonts w:hint="eastAsia" w:ascii="宋体" w:hAnsi="宋体" w:cs="宋体"/>
          <w:sz w:val="21"/>
          <w:szCs w:val="21"/>
        </w:rPr>
        <w:t>对策：公司将持续加强销售团队建设，加强营销模式与服务模式创新，提高销售人员业务能力；在稳固原有市场基础上，进一步开拓市场份额，提升综合竞争力。</w:t>
      </w:r>
    </w:p>
    <w:p>
      <w:pPr>
        <w:keepNext/>
        <w:keepLines/>
        <w:pageBreakBefore w:val="0"/>
        <w:widowControl w:val="0"/>
        <w:kinsoku/>
        <w:wordWrap/>
        <w:overflowPunct/>
        <w:topLinePunct w:val="0"/>
        <w:autoSpaceDE/>
        <w:autoSpaceDN/>
        <w:bidi w:val="0"/>
        <w:adjustRightInd/>
        <w:snapToGrid/>
        <w:spacing w:before="420" w:after="300" w:line="320" w:lineRule="exact"/>
        <w:jc w:val="left"/>
        <w:textAlignment w:val="auto"/>
        <w:outlineLvl w:val="1"/>
        <w:rPr>
          <w:rFonts w:ascii="宋体" w:hAnsi="宋体" w:eastAsia="宋体" w:cs="宋体"/>
          <w:sz w:val="18"/>
          <w:szCs w:val="18"/>
        </w:rPr>
      </w:pPr>
      <w:r>
        <w:rPr>
          <w:rFonts w:ascii="宋体" w:hAnsi="宋体" w:eastAsia="宋体" w:cs="宋体"/>
          <w:b/>
          <w:bCs/>
          <w:sz w:val="24"/>
          <w:szCs w:val="24"/>
        </w:rPr>
        <w:t>十二、报告期内接待调研、沟通、采访等活动</w:t>
      </w:r>
      <w:bookmarkEnd w:id="61"/>
    </w:p>
    <w:p>
      <w:pPr>
        <w:spacing w:before="100" w:after="100" w:line="240" w:lineRule="exact"/>
        <w:jc w:val="left"/>
        <w:rPr>
          <w:rFonts w:hint="default"/>
          <w:lang w:val="en-US" w:eastAsia="zh-CN"/>
        </w:rPr>
      </w:pPr>
      <w:r>
        <w:rPr>
          <w:rFonts w:ascii="宋体" w:hAnsi="宋体" w:eastAsia="宋体" w:cs="宋体"/>
          <w:sz w:val="18"/>
          <w:szCs w:val="18"/>
        </w:rPr>
        <w:sym w:font="Wingdings 2" w:char="F052"/>
      </w:r>
      <w:r>
        <w:rPr>
          <w:rFonts w:ascii="宋体" w:hAnsi="宋体" w:eastAsia="宋体" w:cs="宋体"/>
          <w:sz w:val="18"/>
          <w:szCs w:val="18"/>
        </w:rPr>
        <w:t>适用 □不适用</w:t>
      </w:r>
      <w:r>
        <w:rPr>
          <w:rFonts w:hint="eastAsia" w:ascii="宋体" w:hAnsi="宋体" w:eastAsia="宋体" w:cs="宋体"/>
          <w:sz w:val="18"/>
          <w:szCs w:val="18"/>
          <w:lang w:val="en-US" w:eastAsia="zh-CN"/>
        </w:rPr>
        <w:t xml:space="preserve">  </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286"/>
        <w:gridCol w:w="1920"/>
        <w:gridCol w:w="92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接待时间</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接待地点</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接待方式</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接待对象类型</w:t>
            </w:r>
          </w:p>
        </w:tc>
        <w:tc>
          <w:tcPr>
            <w:tcW w:w="128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接待对象</w:t>
            </w:r>
          </w:p>
        </w:tc>
        <w:tc>
          <w:tcPr>
            <w:tcW w:w="19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谈论的主要内容及提供的资料</w:t>
            </w:r>
          </w:p>
        </w:tc>
        <w:tc>
          <w:tcPr>
            <w:tcW w:w="92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调研的基本情况索引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2024年01月09日</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公司办公室</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电话沟通</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个人</w:t>
            </w:r>
          </w:p>
        </w:tc>
        <w:tc>
          <w:tcPr>
            <w:tcW w:w="128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个人投资者</w:t>
            </w:r>
          </w:p>
        </w:tc>
        <w:tc>
          <w:tcPr>
            <w:tcW w:w="19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公司2023年度的基本经营情况</w:t>
            </w:r>
          </w:p>
        </w:tc>
        <w:tc>
          <w:tcPr>
            <w:tcW w:w="9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2024年02月21日</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公司办公室</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电话沟通</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个人</w:t>
            </w:r>
          </w:p>
        </w:tc>
        <w:tc>
          <w:tcPr>
            <w:tcW w:w="128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个人投资者</w:t>
            </w:r>
          </w:p>
        </w:tc>
        <w:tc>
          <w:tcPr>
            <w:tcW w:w="19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公司持股5%以上股东减持股份情况</w:t>
            </w:r>
          </w:p>
        </w:tc>
        <w:tc>
          <w:tcPr>
            <w:tcW w:w="9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2024年03月15日</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公司办公室</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电话沟通</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个人</w:t>
            </w:r>
          </w:p>
        </w:tc>
        <w:tc>
          <w:tcPr>
            <w:tcW w:w="128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个人投资者</w:t>
            </w:r>
          </w:p>
        </w:tc>
        <w:tc>
          <w:tcPr>
            <w:tcW w:w="19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公司麓谷硬质合金产业项目的达产情况</w:t>
            </w:r>
          </w:p>
        </w:tc>
        <w:tc>
          <w:tcPr>
            <w:tcW w:w="9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2024年04月09日</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公司办公室</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电话沟通</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个人</w:t>
            </w:r>
          </w:p>
        </w:tc>
        <w:tc>
          <w:tcPr>
            <w:tcW w:w="128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个人投资者</w:t>
            </w:r>
          </w:p>
        </w:tc>
        <w:tc>
          <w:tcPr>
            <w:tcW w:w="19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公司2024年一季度主营业务情况</w:t>
            </w:r>
          </w:p>
        </w:tc>
        <w:tc>
          <w:tcPr>
            <w:tcW w:w="9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2024年05月28日</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公司办公室</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电话沟通</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个人</w:t>
            </w:r>
          </w:p>
        </w:tc>
        <w:tc>
          <w:tcPr>
            <w:tcW w:w="128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个人投资者</w:t>
            </w:r>
          </w:p>
        </w:tc>
        <w:tc>
          <w:tcPr>
            <w:tcW w:w="19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公司的产品技术优势</w:t>
            </w:r>
          </w:p>
        </w:tc>
        <w:tc>
          <w:tcPr>
            <w:tcW w:w="9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2024年06月22日</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公司办公室</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电话沟通</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个人</w:t>
            </w:r>
          </w:p>
        </w:tc>
        <w:tc>
          <w:tcPr>
            <w:tcW w:w="128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个人投资者</w:t>
            </w:r>
          </w:p>
        </w:tc>
        <w:tc>
          <w:tcPr>
            <w:tcW w:w="19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公司控股股东的代培育事项</w:t>
            </w:r>
          </w:p>
        </w:tc>
        <w:tc>
          <w:tcPr>
            <w:tcW w:w="9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2024年07月11日</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公司办公室</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电话沟通</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个人</w:t>
            </w:r>
          </w:p>
        </w:tc>
        <w:tc>
          <w:tcPr>
            <w:tcW w:w="128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个人投资者</w:t>
            </w:r>
          </w:p>
        </w:tc>
        <w:tc>
          <w:tcPr>
            <w:tcW w:w="19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全资子公司长沙鑫航的政府补助资金变更为国有资本金注入</w:t>
            </w:r>
          </w:p>
        </w:tc>
        <w:tc>
          <w:tcPr>
            <w:tcW w:w="9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2024年08月02日</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公司办公室</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电话沟通</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个人</w:t>
            </w:r>
          </w:p>
        </w:tc>
        <w:tc>
          <w:tcPr>
            <w:tcW w:w="128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个人投资者</w:t>
            </w:r>
          </w:p>
        </w:tc>
        <w:tc>
          <w:tcPr>
            <w:tcW w:w="19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公司2024年上半年的经营情况</w:t>
            </w:r>
          </w:p>
        </w:tc>
        <w:tc>
          <w:tcPr>
            <w:tcW w:w="9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2024年09月26日</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公司办公室</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电话沟通</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个人</w:t>
            </w:r>
          </w:p>
        </w:tc>
        <w:tc>
          <w:tcPr>
            <w:tcW w:w="128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个人投资者</w:t>
            </w:r>
          </w:p>
        </w:tc>
        <w:tc>
          <w:tcPr>
            <w:tcW w:w="19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公司持股5%以上股东减持股份情况</w:t>
            </w:r>
          </w:p>
        </w:tc>
        <w:tc>
          <w:tcPr>
            <w:tcW w:w="9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2024年11月14日</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公司办公室</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电话沟通</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个人</w:t>
            </w:r>
          </w:p>
        </w:tc>
        <w:tc>
          <w:tcPr>
            <w:tcW w:w="128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个人投资者</w:t>
            </w:r>
          </w:p>
        </w:tc>
        <w:tc>
          <w:tcPr>
            <w:tcW w:w="19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公司目前的生产经营情况</w:t>
            </w:r>
          </w:p>
        </w:tc>
        <w:tc>
          <w:tcPr>
            <w:tcW w:w="9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2024年12月27日</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公司办公室</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电话沟通</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个人</w:t>
            </w:r>
          </w:p>
        </w:tc>
        <w:tc>
          <w:tcPr>
            <w:tcW w:w="128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个人投资者</w:t>
            </w:r>
          </w:p>
        </w:tc>
        <w:tc>
          <w:tcPr>
            <w:tcW w:w="19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公司2024年度业绩情况</w:t>
            </w:r>
          </w:p>
        </w:tc>
        <w:tc>
          <w:tcPr>
            <w:tcW w:w="9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r>
    </w:tbl>
    <w:p>
      <w:pPr>
        <w:keepNext/>
        <w:keepLines/>
        <w:spacing w:before="300" w:after="300" w:line="320" w:lineRule="exact"/>
        <w:jc w:val="left"/>
        <w:outlineLvl w:val="1"/>
        <w:rPr>
          <w:rFonts w:ascii="宋体" w:hAnsi="宋体" w:eastAsia="宋体" w:cs="宋体"/>
          <w:b/>
          <w:bCs/>
          <w:sz w:val="24"/>
          <w:szCs w:val="24"/>
        </w:rPr>
      </w:pPr>
      <w:bookmarkStart w:id="62" w:name="_Toc988943"/>
      <w:r>
        <w:rPr>
          <w:rFonts w:ascii="宋体" w:hAnsi="宋体" w:eastAsia="宋体" w:cs="宋体"/>
          <w:b/>
          <w:bCs/>
          <w:sz w:val="24"/>
          <w:szCs w:val="24"/>
        </w:rPr>
        <w:t>十三、市值管理制度和估值提升计划的制定落实情况</w:t>
      </w:r>
      <w:bookmarkEnd w:id="62"/>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公司是否制定了市值管理制度。</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公司是否披露了估值提升计划。</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pPr>
        <w:keepNext/>
        <w:keepLines/>
        <w:spacing w:before="300" w:after="300" w:line="320" w:lineRule="exact"/>
        <w:jc w:val="left"/>
        <w:outlineLvl w:val="1"/>
        <w:rPr>
          <w:rFonts w:ascii="宋体" w:hAnsi="宋体" w:eastAsia="宋体" w:cs="宋体"/>
          <w:b/>
          <w:bCs/>
          <w:sz w:val="24"/>
          <w:szCs w:val="24"/>
        </w:rPr>
      </w:pPr>
      <w:bookmarkStart w:id="63" w:name="_Toc988944"/>
      <w:r>
        <w:rPr>
          <w:rFonts w:ascii="宋体" w:hAnsi="宋体" w:eastAsia="宋体" w:cs="宋体"/>
          <w:b/>
          <w:bCs/>
          <w:sz w:val="24"/>
          <w:szCs w:val="24"/>
        </w:rPr>
        <w:t>十四、“质量回报双提升”行动方案贯彻落实情况</w:t>
      </w:r>
      <w:bookmarkEnd w:id="63"/>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公司是否披露了“质量回报双提升”行动方案公告。</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r>
        <w:br w:type="page"/>
      </w:r>
    </w:p>
    <w:p>
      <w:pPr>
        <w:keepNext/>
        <w:keepLines/>
        <w:spacing w:before="340" w:after="330" w:line="773" w:lineRule="exact"/>
        <w:jc w:val="center"/>
        <w:outlineLvl w:val="0"/>
        <w:rPr>
          <w:rFonts w:ascii="宋体" w:hAnsi="宋体" w:eastAsia="宋体" w:cs="宋体"/>
          <w:b/>
          <w:bCs/>
          <w:sz w:val="32"/>
          <w:szCs w:val="32"/>
        </w:rPr>
      </w:pPr>
      <w:bookmarkStart w:id="64" w:name="_Toc988945"/>
      <w:r>
        <w:rPr>
          <w:rFonts w:ascii="宋体" w:hAnsi="宋体" w:eastAsia="宋体" w:cs="宋体"/>
          <w:b/>
          <w:bCs/>
          <w:sz w:val="32"/>
          <w:szCs w:val="32"/>
        </w:rPr>
        <w:t>第四节 公司治理</w:t>
      </w:r>
      <w:bookmarkEnd w:id="64"/>
    </w:p>
    <w:p>
      <w:pPr>
        <w:keepNext/>
        <w:keepLines/>
        <w:spacing w:before="300" w:after="300" w:line="320" w:lineRule="exact"/>
        <w:jc w:val="left"/>
        <w:outlineLvl w:val="1"/>
        <w:rPr>
          <w:rFonts w:ascii="宋体" w:hAnsi="宋体" w:eastAsia="宋体" w:cs="宋体"/>
          <w:b/>
          <w:bCs/>
          <w:sz w:val="24"/>
          <w:szCs w:val="24"/>
        </w:rPr>
      </w:pPr>
      <w:bookmarkStart w:id="65" w:name="_Toc988946"/>
      <w:r>
        <w:rPr>
          <w:rFonts w:ascii="宋体" w:hAnsi="宋体" w:eastAsia="宋体" w:cs="宋体"/>
          <w:b/>
          <w:bCs/>
          <w:sz w:val="24"/>
          <w:szCs w:val="24"/>
        </w:rPr>
        <w:t>一、公司治理的基本状况</w:t>
      </w:r>
      <w:bookmarkEnd w:id="65"/>
    </w:p>
    <w:p>
      <w:pPr>
        <w:pStyle w:val="4"/>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sz w:val="21"/>
          <w:szCs w:val="21"/>
        </w:rPr>
        <w:t>公司严格按照《公司法》、《证券法》、《上市公司治理准则》、《深圳证券交易所股票上市规则》、《深圳证券交易所上市公司自律监管指引第1号</w:t>
      </w:r>
      <w:r>
        <w:rPr>
          <w:rFonts w:hint="default" w:ascii="Times New Roman" w:hAnsi="Times New Roman" w:eastAsia="宋体" w:cs="Times New Roman"/>
          <w:sz w:val="21"/>
          <w:szCs w:val="21"/>
        </w:rPr>
        <w:t>——</w:t>
      </w:r>
      <w:r>
        <w:rPr>
          <w:rFonts w:hint="eastAsia" w:ascii="宋体" w:hAnsi="宋体" w:eastAsia="宋体" w:cs="宋体"/>
          <w:sz w:val="21"/>
          <w:szCs w:val="21"/>
        </w:rPr>
        <w:t>主板上市公司规范运作》等法律法规的要求，进一步完善公司法人治理结构，规范公司运作，建立健全内部管理和控制制度，不断加强信息披露工作，积极开展投资者关系管理工作，进一步规范公司运作，提高公司治理水平。</w:t>
      </w:r>
    </w:p>
    <w:p>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60" w:lineRule="atLeast"/>
        <w:jc w:val="both"/>
        <w:textAlignment w:val="auto"/>
        <w:outlineLvl w:val="2"/>
        <w:rPr>
          <w:rFonts w:hint="default" w:ascii="宋体" w:hAnsi="宋体" w:eastAsia="宋体" w:cs="宋体"/>
          <w:b/>
          <w:bCs/>
          <w:sz w:val="21"/>
          <w:szCs w:val="21"/>
        </w:rPr>
      </w:pPr>
      <w:r>
        <w:rPr>
          <w:rFonts w:hint="eastAsia" w:ascii="宋体" w:hAnsi="宋体" w:eastAsia="宋体" w:cs="宋体"/>
          <w:b/>
          <w:bCs/>
          <w:sz w:val="21"/>
          <w:szCs w:val="21"/>
        </w:rPr>
        <w:t>（一）关于股东与股东大会</w:t>
      </w:r>
    </w:p>
    <w:p>
      <w:pPr>
        <w:pStyle w:val="4"/>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sz w:val="21"/>
          <w:szCs w:val="21"/>
        </w:rPr>
        <w:t>股东大会是公司最高权力机构。公司严格按照《公司章程》和《股东大会议事规则》的要求召开股东大会，确保所有股东，特别是中小股东享有平等的地位并能充分行使相应的权利。公司股东大会聘请律师出席并进行见证，运作规范。在涉及关联交易事项表决时，关联股东进行了回避。   </w:t>
      </w:r>
    </w:p>
    <w:p>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60" w:lineRule="atLeast"/>
        <w:jc w:val="both"/>
        <w:textAlignment w:val="auto"/>
        <w:outlineLvl w:val="2"/>
        <w:rPr>
          <w:rFonts w:hint="default" w:ascii="宋体" w:hAnsi="宋体" w:eastAsia="宋体" w:cs="宋体"/>
          <w:b/>
          <w:bCs/>
          <w:sz w:val="21"/>
          <w:szCs w:val="21"/>
        </w:rPr>
      </w:pPr>
      <w:r>
        <w:rPr>
          <w:rFonts w:hint="eastAsia" w:ascii="宋体" w:hAnsi="宋体" w:eastAsia="宋体" w:cs="宋体"/>
          <w:b/>
          <w:bCs/>
          <w:sz w:val="21"/>
          <w:szCs w:val="21"/>
        </w:rPr>
        <w:t>（二）关于控股股东与上市公司</w:t>
      </w:r>
    </w:p>
    <w:p>
      <w:pPr>
        <w:pStyle w:val="4"/>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sz w:val="21"/>
          <w:szCs w:val="21"/>
        </w:rPr>
        <w:t>公司控股股东严格按照《上市公司治理准则》、《公司章程》规范自己的行为，公司拥有独立的业务和经营自主能力，在业务、人员、资产、财务和机构方面独立于控股股东，公司董事会、监事会及其他内部机构独立运作。公司控股股东行为规范，能够依法行使其权利，履行相关义务，没有超越股东大会直接或间接干预公司的决策和经营活动。</w:t>
      </w:r>
    </w:p>
    <w:p>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60" w:lineRule="atLeast"/>
        <w:jc w:val="both"/>
        <w:textAlignment w:val="auto"/>
        <w:outlineLvl w:val="2"/>
        <w:rPr>
          <w:rFonts w:hint="default" w:ascii="宋体" w:hAnsi="宋体" w:eastAsia="宋体" w:cs="宋体"/>
          <w:b/>
          <w:bCs/>
          <w:sz w:val="21"/>
          <w:szCs w:val="21"/>
        </w:rPr>
      </w:pPr>
      <w:r>
        <w:rPr>
          <w:rFonts w:hint="eastAsia" w:ascii="宋体" w:hAnsi="宋体" w:eastAsia="宋体" w:cs="宋体"/>
          <w:b/>
          <w:bCs/>
          <w:sz w:val="21"/>
          <w:szCs w:val="21"/>
        </w:rPr>
        <w:t>（三）关于董事与董事会</w:t>
      </w:r>
    </w:p>
    <w:p>
      <w:pPr>
        <w:pStyle w:val="4"/>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sz w:val="21"/>
          <w:szCs w:val="21"/>
        </w:rPr>
        <w:t>公司严格按照《公司法》和《公司章程》的有关规定选举产生董事，独立董事人数占全体董事的比例超过三分之一，董事会的人员构成符合法律、法规和《公司章程》的要求。公司董事会下设战略、薪酬与考核、提名、审计等四个专门委员会。公司董事会严格按照《公司章程》、《董事会议事规则》开展工作，各专门委员会分别按照《战略委员会议事规则》、《薪酬与考核委员会议事规则》、《提名委员会议事规则》和《审计委员会议事规则》开展工作。</w:t>
      </w:r>
    </w:p>
    <w:p>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60" w:lineRule="atLeast"/>
        <w:jc w:val="both"/>
        <w:textAlignment w:val="auto"/>
        <w:outlineLvl w:val="2"/>
        <w:rPr>
          <w:rFonts w:hint="default" w:ascii="宋体" w:hAnsi="宋体" w:eastAsia="宋体" w:cs="宋体"/>
          <w:b/>
          <w:bCs/>
          <w:sz w:val="21"/>
          <w:szCs w:val="21"/>
        </w:rPr>
      </w:pPr>
      <w:r>
        <w:rPr>
          <w:rFonts w:hint="eastAsia" w:ascii="宋体" w:hAnsi="宋体" w:eastAsia="宋体" w:cs="宋体"/>
          <w:b/>
          <w:bCs/>
          <w:sz w:val="21"/>
          <w:szCs w:val="21"/>
        </w:rPr>
        <w:t>（四）关于监事与监事会</w:t>
      </w:r>
    </w:p>
    <w:p>
      <w:pPr>
        <w:pStyle w:val="4"/>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sz w:val="21"/>
          <w:szCs w:val="21"/>
        </w:rPr>
        <w:t>公司严格按照《公司法》和《公司章程》的有关规定选举产生监事，监事会的人员构成符合法律、法规和《公司章程》的要求。公司监事会按照法律法规和《公司章程》的要求履行职责，强化对公司董事、高级管理人员和财务的监督职能，维护了公司和全体股东的权益。</w:t>
      </w:r>
    </w:p>
    <w:p>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60" w:lineRule="atLeast"/>
        <w:jc w:val="both"/>
        <w:textAlignment w:val="auto"/>
        <w:outlineLvl w:val="2"/>
        <w:rPr>
          <w:rFonts w:hint="default" w:ascii="宋体" w:hAnsi="宋体" w:eastAsia="宋体" w:cs="宋体"/>
          <w:b/>
          <w:bCs/>
          <w:sz w:val="21"/>
          <w:szCs w:val="21"/>
        </w:rPr>
      </w:pPr>
      <w:r>
        <w:rPr>
          <w:rFonts w:hint="eastAsia" w:ascii="宋体" w:hAnsi="宋体" w:eastAsia="宋体" w:cs="宋体"/>
          <w:b/>
          <w:bCs/>
          <w:sz w:val="21"/>
          <w:szCs w:val="21"/>
        </w:rPr>
        <w:t>（五）关于绩效评价与激励约束机制</w:t>
      </w:r>
    </w:p>
    <w:p>
      <w:pPr>
        <w:pStyle w:val="4"/>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sz w:val="21"/>
          <w:szCs w:val="21"/>
        </w:rPr>
        <w:t>公司制定了《高级管理人员薪酬激励与业绩考核管理办法》。公司高级管理人员的聘任公开、透明，符合法律法规的规定。公司董事、监事和高级管理人员的绩效考核标准和激励约束机制逐步完善、公正、透明。</w:t>
      </w:r>
    </w:p>
    <w:p>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60" w:lineRule="atLeast"/>
        <w:jc w:val="both"/>
        <w:textAlignment w:val="auto"/>
        <w:outlineLvl w:val="2"/>
        <w:rPr>
          <w:rFonts w:hint="default" w:ascii="宋体" w:hAnsi="宋体" w:eastAsia="宋体" w:cs="宋体"/>
          <w:b/>
          <w:bCs/>
          <w:sz w:val="21"/>
          <w:szCs w:val="21"/>
        </w:rPr>
      </w:pPr>
      <w:r>
        <w:rPr>
          <w:rFonts w:hint="eastAsia" w:ascii="宋体" w:hAnsi="宋体" w:eastAsia="宋体" w:cs="宋体"/>
          <w:b/>
          <w:bCs/>
          <w:sz w:val="21"/>
          <w:szCs w:val="21"/>
        </w:rPr>
        <w:t>（六）关于内部审计制度</w:t>
      </w:r>
    </w:p>
    <w:p>
      <w:pPr>
        <w:pStyle w:val="4"/>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sz w:val="21"/>
          <w:szCs w:val="21"/>
        </w:rPr>
        <w:t>公司已设置内部审计部门，建立内部审计制度，对公司财务管理、内部控制制度建立和执行情况进行内部审计监督。并聘任了专职内审部负责人，对公司的日常运作进行有效的内部控制。</w:t>
      </w:r>
    </w:p>
    <w:p>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60" w:lineRule="atLeast"/>
        <w:jc w:val="both"/>
        <w:textAlignment w:val="auto"/>
        <w:outlineLvl w:val="2"/>
        <w:rPr>
          <w:rFonts w:hint="default" w:ascii="宋体" w:hAnsi="宋体" w:eastAsia="宋体" w:cs="宋体"/>
          <w:b/>
          <w:bCs/>
          <w:sz w:val="21"/>
          <w:szCs w:val="21"/>
        </w:rPr>
      </w:pPr>
      <w:r>
        <w:rPr>
          <w:rFonts w:hint="eastAsia" w:ascii="宋体" w:hAnsi="宋体" w:eastAsia="宋体" w:cs="宋体"/>
          <w:b/>
          <w:bCs/>
          <w:sz w:val="21"/>
          <w:szCs w:val="21"/>
        </w:rPr>
        <w:t>（七）关于相关利益者</w:t>
      </w:r>
    </w:p>
    <w:p>
      <w:pPr>
        <w:pStyle w:val="4"/>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sz w:val="21"/>
          <w:szCs w:val="21"/>
        </w:rPr>
        <w:t>公司充分尊重和维护相关利益者的合法权益，重视和相关利益者的合作，努力实现股东、员工、社会等各方利益的均衡，秉持诚实守信，公平公正的经营原则，相互沟通，积极合作，共同推动公司持续、稳定、健康地发展。</w:t>
      </w:r>
    </w:p>
    <w:p>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60" w:lineRule="atLeast"/>
        <w:jc w:val="both"/>
        <w:textAlignment w:val="auto"/>
        <w:outlineLvl w:val="2"/>
        <w:rPr>
          <w:rFonts w:hint="default" w:ascii="宋体" w:hAnsi="宋体" w:eastAsia="宋体" w:cs="宋体"/>
          <w:b/>
          <w:bCs/>
          <w:sz w:val="21"/>
          <w:szCs w:val="21"/>
        </w:rPr>
      </w:pPr>
      <w:r>
        <w:rPr>
          <w:rFonts w:hint="eastAsia" w:ascii="宋体" w:hAnsi="宋体" w:eastAsia="宋体" w:cs="宋体"/>
          <w:b/>
          <w:bCs/>
          <w:sz w:val="21"/>
          <w:szCs w:val="21"/>
        </w:rPr>
        <w:t>（八）关于信息披露与透明度</w:t>
      </w:r>
    </w:p>
    <w:p>
      <w:pPr>
        <w:pStyle w:val="4"/>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sz w:val="21"/>
          <w:szCs w:val="21"/>
        </w:rPr>
        <w:t>公司严格按照相关法律、法规、规章制度和公司《信息披露管理办法》、《重大信息内部报告制度》、《内幕信息知情人登记管理制度》等，按真实性、准确性、完整性、及时性的要求履行披露义务，并已指定《证券时报》、《上海证券报》和巨潮网（http://www.cninfo.com.cn）为公司信息披露的指定报纸和网站，确保公司所有股东能够以平等的机会获得信息，以切实发挥保护投资者知情权的作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公司治理的实际状况与法律、行政法规和中国证监会发布的关于上市公司治理的规定是否存在重大差异</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公司治理的实际状况与法律、行政法规和中国证监会发布的关于上市公司治理的规定不存在重大差异。</w:t>
      </w:r>
    </w:p>
    <w:p>
      <w:pPr>
        <w:keepNext/>
        <w:keepLines/>
        <w:spacing w:before="300" w:after="300" w:line="320" w:lineRule="exact"/>
        <w:jc w:val="left"/>
        <w:outlineLvl w:val="1"/>
        <w:rPr>
          <w:rFonts w:ascii="宋体" w:hAnsi="宋体" w:eastAsia="宋体" w:cs="宋体"/>
          <w:b/>
          <w:bCs/>
          <w:sz w:val="24"/>
          <w:szCs w:val="24"/>
        </w:rPr>
      </w:pPr>
      <w:bookmarkStart w:id="66" w:name="_Toc988947"/>
      <w:r>
        <w:rPr>
          <w:rFonts w:ascii="宋体" w:hAnsi="宋体" w:eastAsia="宋体" w:cs="宋体"/>
          <w:b/>
          <w:bCs/>
          <w:sz w:val="24"/>
          <w:szCs w:val="24"/>
        </w:rPr>
        <w:t>二、公司相对于控股股东、实际控制人在保证公司资产、人员、财务、机构、业务等方面的独立情况</w:t>
      </w:r>
      <w:bookmarkEnd w:id="66"/>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sz w:val="21"/>
          <w:szCs w:val="21"/>
        </w:rPr>
        <w:t>公司自设立以来，严格按照《公司法》、《证券法》和《公司章程》及其它法律法规和规章制度的要求规范运作，在业务、人员、资产、机构、财务等方面均独立于控股股东，具有独立、完整的资产和业务及面向市场、自主经营的能力。</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sz w:val="21"/>
          <w:szCs w:val="21"/>
        </w:rPr>
        <w:t>业务方面：公司拥有独立的采购、生产和销售系统，业务结构完整，自主独立经营。控股股东不存在直接或间接干预公司经营运作的情形。</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sz w:val="21"/>
          <w:szCs w:val="21"/>
        </w:rPr>
        <w:t>人员方面：公司在劳动、人事等各方面均独立于控股股东。公司董事、监事、高级管理人员均系依照《公司法》和《公司章程》规定的程序，通过选举或聘任产生。总裁、副总裁、董事会秘书、财务负责人等高级管理人员均在公司领取薪酬。</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sz w:val="21"/>
          <w:szCs w:val="21"/>
        </w:rPr>
        <w:t>资产方面：公司拥有独立于控股股东的经营场所，拥有独立完整的资产结构，拥有独立的科研、生产和配套设施的资产产权；拥有独立的工业产权、商标、专利技术等无形资产。</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sz w:val="21"/>
          <w:szCs w:val="21"/>
        </w:rPr>
        <w:t>机构方面：公司设立了健全的组织机构体系，公司董事会、监事会及其它内部机构与控股股东及其职能部门各完全独立运作。办公机构和生产经营场所与控股股东分开，不存在混合经营、合署办公的情况。   </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sz w:val="21"/>
          <w:szCs w:val="21"/>
        </w:rPr>
        <w:t>财务方面：公司有独立的财务会计部门和财务会计人员，建立了独立的会计核算体系和财务管理制度，独立核算，独立在银行开户，独立纳税，不存在控股股东干预公司财务的情况。</w:t>
      </w:r>
    </w:p>
    <w:p>
      <w:pPr>
        <w:keepNext/>
        <w:keepLines/>
        <w:spacing w:before="300" w:after="300" w:line="320" w:lineRule="exact"/>
        <w:jc w:val="left"/>
        <w:outlineLvl w:val="1"/>
        <w:rPr>
          <w:rFonts w:ascii="宋体" w:hAnsi="宋体" w:eastAsia="宋体" w:cs="宋体"/>
          <w:b/>
          <w:bCs/>
          <w:sz w:val="24"/>
          <w:szCs w:val="24"/>
        </w:rPr>
      </w:pPr>
      <w:bookmarkStart w:id="67" w:name="_Toc988948"/>
      <w:r>
        <w:rPr>
          <w:rFonts w:ascii="宋体" w:hAnsi="宋体" w:eastAsia="宋体" w:cs="宋体"/>
          <w:b/>
          <w:bCs/>
          <w:sz w:val="24"/>
          <w:szCs w:val="24"/>
        </w:rPr>
        <w:t>三、同业竞争情况</w:t>
      </w:r>
      <w:bookmarkEnd w:id="67"/>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320" w:lineRule="exact"/>
        <w:jc w:val="left"/>
        <w:outlineLvl w:val="1"/>
        <w:rPr>
          <w:rFonts w:ascii="宋体" w:hAnsi="宋体" w:eastAsia="宋体" w:cs="宋体"/>
          <w:b/>
          <w:bCs/>
          <w:sz w:val="24"/>
          <w:szCs w:val="24"/>
        </w:rPr>
      </w:pPr>
      <w:bookmarkStart w:id="68" w:name="_Toc988949"/>
      <w:r>
        <w:rPr>
          <w:rFonts w:ascii="宋体" w:hAnsi="宋体" w:eastAsia="宋体" w:cs="宋体"/>
          <w:b/>
          <w:bCs/>
          <w:sz w:val="24"/>
          <w:szCs w:val="24"/>
        </w:rPr>
        <w:t>四、报告期内召开的年度股东大会和临时股东大会的有关情况</w:t>
      </w:r>
      <w:bookmarkEnd w:id="68"/>
    </w:p>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2"/>
        <w:rPr>
          <w:rFonts w:ascii="宋体" w:hAnsi="宋体" w:eastAsia="宋体" w:cs="宋体"/>
          <w:b/>
          <w:bCs/>
          <w:sz w:val="21"/>
          <w:szCs w:val="21"/>
        </w:rPr>
      </w:pPr>
      <w:bookmarkStart w:id="69" w:name="_Toc988950"/>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一</w:t>
      </w:r>
      <w:r>
        <w:rPr>
          <w:rFonts w:hint="eastAsia" w:ascii="宋体" w:hAnsi="宋体" w:eastAsia="宋体" w:cs="宋体"/>
          <w:b/>
          <w:bCs/>
          <w:sz w:val="21"/>
          <w:szCs w:val="21"/>
          <w:lang w:eastAsia="zh-CN"/>
        </w:rPr>
        <w:t>）</w:t>
      </w:r>
      <w:r>
        <w:rPr>
          <w:rFonts w:ascii="宋体" w:hAnsi="宋体" w:eastAsia="宋体" w:cs="宋体"/>
          <w:b/>
          <w:bCs/>
          <w:sz w:val="21"/>
          <w:szCs w:val="21"/>
        </w:rPr>
        <w:t>本报告期股东大会情况</w:t>
      </w:r>
      <w:bookmarkEnd w:id="69"/>
    </w:p>
    <w:tbl>
      <w:tblPr>
        <w:tblStyle w:val="5"/>
        <w:tblW w:w="963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9"/>
        <w:gridCol w:w="1230"/>
        <w:gridCol w:w="1275"/>
        <w:gridCol w:w="1275"/>
        <w:gridCol w:w="1590"/>
        <w:gridCol w:w="28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bookmarkStart w:id="70" w:name="_Toc988951"/>
            <w:r>
              <w:rPr>
                <w:rFonts w:ascii="宋体" w:hAnsi="宋体" w:eastAsia="宋体" w:cs="宋体"/>
                <w:sz w:val="18"/>
                <w:szCs w:val="18"/>
              </w:rPr>
              <w:t>会议届次</w:t>
            </w:r>
          </w:p>
        </w:tc>
        <w:tc>
          <w:tcPr>
            <w:tcW w:w="123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会议类型</w:t>
            </w:r>
          </w:p>
        </w:tc>
        <w:tc>
          <w:tcPr>
            <w:tcW w:w="127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投资者参与比例</w:t>
            </w:r>
          </w:p>
        </w:tc>
        <w:tc>
          <w:tcPr>
            <w:tcW w:w="127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召开日期</w:t>
            </w:r>
          </w:p>
        </w:tc>
        <w:tc>
          <w:tcPr>
            <w:tcW w:w="159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披露日期</w:t>
            </w:r>
          </w:p>
        </w:tc>
        <w:tc>
          <w:tcPr>
            <w:tcW w:w="288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会议决议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2024年第一次临时股东大会</w:t>
            </w:r>
          </w:p>
        </w:tc>
        <w:tc>
          <w:tcPr>
            <w:tcW w:w="12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临时股东大会</w:t>
            </w:r>
          </w:p>
        </w:tc>
        <w:tc>
          <w:tcPr>
            <w:tcW w:w="12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26.99%</w:t>
            </w:r>
          </w:p>
        </w:tc>
        <w:tc>
          <w:tcPr>
            <w:tcW w:w="12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2024年06月27日</w:t>
            </w:r>
          </w:p>
        </w:tc>
        <w:tc>
          <w:tcPr>
            <w:tcW w:w="15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2024年06月28日</w:t>
            </w:r>
          </w:p>
        </w:tc>
        <w:tc>
          <w:tcPr>
            <w:tcW w:w="288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详见刊登于指定媒体和巨潮资讯网上的《湖南博云新材料股份有限公司2024年第一次临时股东大会决议公告》（公告编号为2024-025）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2023年年度股东大会</w:t>
            </w:r>
          </w:p>
        </w:tc>
        <w:tc>
          <w:tcPr>
            <w:tcW w:w="12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年度股东大会</w:t>
            </w:r>
          </w:p>
        </w:tc>
        <w:tc>
          <w:tcPr>
            <w:tcW w:w="12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31.24%</w:t>
            </w:r>
          </w:p>
        </w:tc>
        <w:tc>
          <w:tcPr>
            <w:tcW w:w="12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2024年06月28日</w:t>
            </w:r>
          </w:p>
        </w:tc>
        <w:tc>
          <w:tcPr>
            <w:tcW w:w="15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2024年06月29日</w:t>
            </w:r>
          </w:p>
        </w:tc>
        <w:tc>
          <w:tcPr>
            <w:tcW w:w="288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详见刊登于指定媒体和巨潮资讯网上的《湖南博云新材料股份有限公司2023年年度股东大会决议公告》（公告编号为2024-026）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2024年第二次临时股东大会</w:t>
            </w:r>
          </w:p>
        </w:tc>
        <w:tc>
          <w:tcPr>
            <w:tcW w:w="12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临时股东大会</w:t>
            </w:r>
          </w:p>
        </w:tc>
        <w:tc>
          <w:tcPr>
            <w:tcW w:w="12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27.20%</w:t>
            </w:r>
          </w:p>
        </w:tc>
        <w:tc>
          <w:tcPr>
            <w:tcW w:w="12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2024年09月09日</w:t>
            </w:r>
          </w:p>
        </w:tc>
        <w:tc>
          <w:tcPr>
            <w:tcW w:w="15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2024年09月10日</w:t>
            </w:r>
          </w:p>
        </w:tc>
        <w:tc>
          <w:tcPr>
            <w:tcW w:w="288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详见刊登于指定媒体和巨潮资讯网上的《湖南博云新材料股份有限公司2024年第二次临时股东大会决议公告》（公告编号为2024-035）</w:t>
            </w:r>
          </w:p>
        </w:tc>
      </w:tr>
    </w:tbl>
    <w:p>
      <w:pPr>
        <w:keepNext/>
        <w:keepLines/>
        <w:spacing w:before="300" w:after="300" w:line="280" w:lineRule="exact"/>
        <w:jc w:val="left"/>
        <w:outlineLvl w:val="2"/>
        <w:rPr>
          <w:rFonts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二</w:t>
      </w:r>
      <w:r>
        <w:rPr>
          <w:rFonts w:hint="eastAsia" w:ascii="宋体" w:hAnsi="宋体" w:eastAsia="宋体" w:cs="宋体"/>
          <w:b/>
          <w:bCs/>
          <w:sz w:val="21"/>
          <w:szCs w:val="21"/>
          <w:lang w:eastAsia="zh-CN"/>
        </w:rPr>
        <w:t>）</w:t>
      </w:r>
      <w:r>
        <w:rPr>
          <w:rFonts w:ascii="宋体" w:hAnsi="宋体" w:eastAsia="宋体" w:cs="宋体"/>
          <w:b/>
          <w:bCs/>
          <w:sz w:val="21"/>
          <w:szCs w:val="21"/>
        </w:rPr>
        <w:t>表决权恢复的优先股股东请求召开临时股东大会</w:t>
      </w:r>
      <w:bookmarkEnd w:id="70"/>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320" w:lineRule="exact"/>
        <w:jc w:val="left"/>
        <w:outlineLvl w:val="1"/>
        <w:rPr>
          <w:rFonts w:ascii="宋体" w:hAnsi="宋体" w:eastAsia="宋体" w:cs="宋体"/>
          <w:b/>
          <w:bCs/>
          <w:sz w:val="24"/>
          <w:szCs w:val="24"/>
        </w:rPr>
      </w:pPr>
      <w:bookmarkStart w:id="71" w:name="_Toc988952"/>
      <w:r>
        <w:rPr>
          <w:rFonts w:ascii="宋体" w:hAnsi="宋体" w:eastAsia="宋体" w:cs="宋体"/>
          <w:b/>
          <w:bCs/>
          <w:sz w:val="24"/>
          <w:szCs w:val="24"/>
        </w:rPr>
        <w:t>五、董事、监事和高级管理人员情况</w:t>
      </w:r>
      <w:bookmarkEnd w:id="71"/>
    </w:p>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2"/>
        <w:rPr>
          <w:rFonts w:hint="eastAsia" w:ascii="宋体" w:hAnsi="宋体" w:eastAsia="宋体" w:cs="宋体"/>
          <w:b/>
          <w:bCs/>
          <w:sz w:val="21"/>
          <w:szCs w:val="21"/>
          <w:lang w:eastAsia="zh-CN"/>
        </w:rPr>
      </w:pPr>
      <w:bookmarkStart w:id="72" w:name="_Toc988953"/>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一</w:t>
      </w:r>
      <w:r>
        <w:rPr>
          <w:rFonts w:hint="eastAsia" w:ascii="宋体" w:hAnsi="宋体" w:eastAsia="宋体" w:cs="宋体"/>
          <w:b/>
          <w:bCs/>
          <w:sz w:val="21"/>
          <w:szCs w:val="21"/>
          <w:lang w:eastAsia="zh-CN"/>
        </w:rPr>
        <w:t>）基本情况</w:t>
      </w:r>
      <w:bookmarkEnd w:id="72"/>
    </w:p>
    <w:tbl>
      <w:tblPr>
        <w:tblStyle w:val="5"/>
        <w:tblW w:w="9633"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41"/>
        <w:gridCol w:w="563"/>
        <w:gridCol w:w="570"/>
        <w:gridCol w:w="750"/>
        <w:gridCol w:w="735"/>
        <w:gridCol w:w="915"/>
        <w:gridCol w:w="913"/>
        <w:gridCol w:w="741"/>
        <w:gridCol w:w="741"/>
        <w:gridCol w:w="741"/>
        <w:gridCol w:w="741"/>
        <w:gridCol w:w="741"/>
        <w:gridCol w:w="74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姓名</w:t>
            </w:r>
          </w:p>
        </w:tc>
        <w:tc>
          <w:tcPr>
            <w:tcW w:w="56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性别</w:t>
            </w:r>
          </w:p>
        </w:tc>
        <w:tc>
          <w:tcPr>
            <w:tcW w:w="57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年龄</w:t>
            </w:r>
          </w:p>
        </w:tc>
        <w:tc>
          <w:tcPr>
            <w:tcW w:w="75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职务</w:t>
            </w:r>
          </w:p>
        </w:tc>
        <w:tc>
          <w:tcPr>
            <w:tcW w:w="73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任职状态</w:t>
            </w:r>
          </w:p>
        </w:tc>
        <w:tc>
          <w:tcPr>
            <w:tcW w:w="91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任期起始日期</w:t>
            </w:r>
          </w:p>
        </w:tc>
        <w:tc>
          <w:tcPr>
            <w:tcW w:w="9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任期终止日期</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期初持股数（股）</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本期增持股份数量（股）</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本期减持股份数量（股）</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其他增减变动（股）</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期末持股数（股）</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股份增减变动的原因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戴志利</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男</w:t>
            </w:r>
          </w:p>
        </w:tc>
        <w:tc>
          <w:tcPr>
            <w:tcW w:w="5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w:t>
            </w:r>
          </w:p>
        </w:tc>
        <w:tc>
          <w:tcPr>
            <w:tcW w:w="7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董事长</w:t>
            </w:r>
          </w:p>
        </w:tc>
        <w:tc>
          <w:tcPr>
            <w:tcW w:w="7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现任</w:t>
            </w:r>
          </w:p>
        </w:tc>
        <w:tc>
          <w:tcPr>
            <w:tcW w:w="9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2025年01月06日</w:t>
            </w:r>
          </w:p>
        </w:tc>
        <w:tc>
          <w:tcPr>
            <w:tcW w:w="9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2025年10月10日</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姜锋</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男</w:t>
            </w:r>
          </w:p>
        </w:tc>
        <w:tc>
          <w:tcPr>
            <w:tcW w:w="5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w:t>
            </w:r>
          </w:p>
        </w:tc>
        <w:tc>
          <w:tcPr>
            <w:tcW w:w="7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董事</w:t>
            </w:r>
          </w:p>
        </w:tc>
        <w:tc>
          <w:tcPr>
            <w:tcW w:w="7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现任</w:t>
            </w:r>
          </w:p>
        </w:tc>
        <w:tc>
          <w:tcPr>
            <w:tcW w:w="9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2019年10月09日</w:t>
            </w:r>
          </w:p>
        </w:tc>
        <w:tc>
          <w:tcPr>
            <w:tcW w:w="9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2025年10月10日</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冯志荣</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男</w:t>
            </w:r>
          </w:p>
        </w:tc>
        <w:tc>
          <w:tcPr>
            <w:tcW w:w="5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w:t>
            </w:r>
          </w:p>
        </w:tc>
        <w:tc>
          <w:tcPr>
            <w:tcW w:w="7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董事</w:t>
            </w:r>
          </w:p>
        </w:tc>
        <w:tc>
          <w:tcPr>
            <w:tcW w:w="7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现任</w:t>
            </w:r>
          </w:p>
        </w:tc>
        <w:tc>
          <w:tcPr>
            <w:tcW w:w="9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2022年10月10日</w:t>
            </w:r>
          </w:p>
        </w:tc>
        <w:tc>
          <w:tcPr>
            <w:tcW w:w="9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2025年10月10日</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刘咏</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男</w:t>
            </w:r>
          </w:p>
        </w:tc>
        <w:tc>
          <w:tcPr>
            <w:tcW w:w="5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w:t>
            </w:r>
          </w:p>
        </w:tc>
        <w:tc>
          <w:tcPr>
            <w:tcW w:w="7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董事</w:t>
            </w:r>
          </w:p>
        </w:tc>
        <w:tc>
          <w:tcPr>
            <w:tcW w:w="7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现任</w:t>
            </w:r>
          </w:p>
        </w:tc>
        <w:tc>
          <w:tcPr>
            <w:tcW w:w="9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2022年10月10日</w:t>
            </w:r>
          </w:p>
        </w:tc>
        <w:tc>
          <w:tcPr>
            <w:tcW w:w="9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2025年10月10日</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蒋建湘</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男</w:t>
            </w:r>
          </w:p>
        </w:tc>
        <w:tc>
          <w:tcPr>
            <w:tcW w:w="5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w:t>
            </w:r>
          </w:p>
        </w:tc>
        <w:tc>
          <w:tcPr>
            <w:tcW w:w="7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董事</w:t>
            </w:r>
          </w:p>
        </w:tc>
        <w:tc>
          <w:tcPr>
            <w:tcW w:w="7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现任</w:t>
            </w:r>
          </w:p>
        </w:tc>
        <w:tc>
          <w:tcPr>
            <w:tcW w:w="9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2019年10月09日</w:t>
            </w:r>
          </w:p>
        </w:tc>
        <w:tc>
          <w:tcPr>
            <w:tcW w:w="9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2025年10月10日</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李寒波</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男</w:t>
            </w:r>
          </w:p>
        </w:tc>
        <w:tc>
          <w:tcPr>
            <w:tcW w:w="5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w:t>
            </w:r>
          </w:p>
        </w:tc>
        <w:tc>
          <w:tcPr>
            <w:tcW w:w="7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董事</w:t>
            </w:r>
          </w:p>
        </w:tc>
        <w:tc>
          <w:tcPr>
            <w:tcW w:w="7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现任</w:t>
            </w:r>
          </w:p>
        </w:tc>
        <w:tc>
          <w:tcPr>
            <w:tcW w:w="9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2023年06月29日</w:t>
            </w:r>
          </w:p>
        </w:tc>
        <w:tc>
          <w:tcPr>
            <w:tcW w:w="9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2025年10月10日</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肖加余</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男</w:t>
            </w:r>
          </w:p>
        </w:tc>
        <w:tc>
          <w:tcPr>
            <w:tcW w:w="5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69</w:t>
            </w:r>
          </w:p>
        </w:tc>
        <w:tc>
          <w:tcPr>
            <w:tcW w:w="7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独立董事</w:t>
            </w:r>
          </w:p>
        </w:tc>
        <w:tc>
          <w:tcPr>
            <w:tcW w:w="7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现任</w:t>
            </w:r>
          </w:p>
        </w:tc>
        <w:tc>
          <w:tcPr>
            <w:tcW w:w="9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2022年10月10日</w:t>
            </w:r>
          </w:p>
        </w:tc>
        <w:tc>
          <w:tcPr>
            <w:tcW w:w="9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2025年10月10日</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周兰</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女</w:t>
            </w:r>
          </w:p>
        </w:tc>
        <w:tc>
          <w:tcPr>
            <w:tcW w:w="5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w:t>
            </w:r>
          </w:p>
        </w:tc>
        <w:tc>
          <w:tcPr>
            <w:tcW w:w="7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独立董事</w:t>
            </w:r>
          </w:p>
        </w:tc>
        <w:tc>
          <w:tcPr>
            <w:tcW w:w="7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现任</w:t>
            </w:r>
          </w:p>
        </w:tc>
        <w:tc>
          <w:tcPr>
            <w:tcW w:w="9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2022年10月10日</w:t>
            </w:r>
          </w:p>
        </w:tc>
        <w:tc>
          <w:tcPr>
            <w:tcW w:w="9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2025年10月10日</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潘传平</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男</w:t>
            </w:r>
          </w:p>
        </w:tc>
        <w:tc>
          <w:tcPr>
            <w:tcW w:w="5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w:t>
            </w:r>
          </w:p>
        </w:tc>
        <w:tc>
          <w:tcPr>
            <w:tcW w:w="7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独立董事</w:t>
            </w:r>
          </w:p>
        </w:tc>
        <w:tc>
          <w:tcPr>
            <w:tcW w:w="7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现任</w:t>
            </w:r>
          </w:p>
        </w:tc>
        <w:tc>
          <w:tcPr>
            <w:tcW w:w="9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2019年10月09日</w:t>
            </w:r>
          </w:p>
        </w:tc>
        <w:tc>
          <w:tcPr>
            <w:tcW w:w="9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2025年10月10日</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王鶄武</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男</w:t>
            </w:r>
          </w:p>
        </w:tc>
        <w:tc>
          <w:tcPr>
            <w:tcW w:w="5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w:t>
            </w:r>
          </w:p>
        </w:tc>
        <w:tc>
          <w:tcPr>
            <w:tcW w:w="7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监事会主席</w:t>
            </w:r>
          </w:p>
        </w:tc>
        <w:tc>
          <w:tcPr>
            <w:tcW w:w="7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现任</w:t>
            </w:r>
          </w:p>
        </w:tc>
        <w:tc>
          <w:tcPr>
            <w:tcW w:w="9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2022年01月24日</w:t>
            </w:r>
          </w:p>
        </w:tc>
        <w:tc>
          <w:tcPr>
            <w:tcW w:w="9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2025年10月10日</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曾毅</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男</w:t>
            </w:r>
          </w:p>
        </w:tc>
        <w:tc>
          <w:tcPr>
            <w:tcW w:w="5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w:t>
            </w:r>
          </w:p>
        </w:tc>
        <w:tc>
          <w:tcPr>
            <w:tcW w:w="7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监事</w:t>
            </w:r>
          </w:p>
        </w:tc>
        <w:tc>
          <w:tcPr>
            <w:tcW w:w="7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现任</w:t>
            </w:r>
          </w:p>
        </w:tc>
        <w:tc>
          <w:tcPr>
            <w:tcW w:w="9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2023年06月29日</w:t>
            </w:r>
          </w:p>
        </w:tc>
        <w:tc>
          <w:tcPr>
            <w:tcW w:w="9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2025年10月10日</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左劲旅</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男</w:t>
            </w:r>
          </w:p>
        </w:tc>
        <w:tc>
          <w:tcPr>
            <w:tcW w:w="5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w:t>
            </w:r>
          </w:p>
        </w:tc>
        <w:tc>
          <w:tcPr>
            <w:tcW w:w="7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职工监事</w:t>
            </w:r>
          </w:p>
        </w:tc>
        <w:tc>
          <w:tcPr>
            <w:tcW w:w="7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现任</w:t>
            </w:r>
          </w:p>
        </w:tc>
        <w:tc>
          <w:tcPr>
            <w:tcW w:w="9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2010年12月06日</w:t>
            </w:r>
          </w:p>
        </w:tc>
        <w:tc>
          <w:tcPr>
            <w:tcW w:w="9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2025年10月10日</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冯志荣</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男</w:t>
            </w:r>
          </w:p>
        </w:tc>
        <w:tc>
          <w:tcPr>
            <w:tcW w:w="5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w:t>
            </w:r>
          </w:p>
        </w:tc>
        <w:tc>
          <w:tcPr>
            <w:tcW w:w="7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总裁</w:t>
            </w:r>
          </w:p>
        </w:tc>
        <w:tc>
          <w:tcPr>
            <w:tcW w:w="7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现任</w:t>
            </w:r>
          </w:p>
        </w:tc>
        <w:tc>
          <w:tcPr>
            <w:tcW w:w="9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2022年10月10日</w:t>
            </w:r>
          </w:p>
        </w:tc>
        <w:tc>
          <w:tcPr>
            <w:tcW w:w="9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2025年10月10日</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蒋建湘</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男</w:t>
            </w:r>
          </w:p>
        </w:tc>
        <w:tc>
          <w:tcPr>
            <w:tcW w:w="5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w:t>
            </w:r>
          </w:p>
        </w:tc>
        <w:tc>
          <w:tcPr>
            <w:tcW w:w="7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常务副总裁</w:t>
            </w:r>
          </w:p>
        </w:tc>
        <w:tc>
          <w:tcPr>
            <w:tcW w:w="7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现任</w:t>
            </w:r>
          </w:p>
        </w:tc>
        <w:tc>
          <w:tcPr>
            <w:tcW w:w="9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2019年11月29日</w:t>
            </w:r>
          </w:p>
        </w:tc>
        <w:tc>
          <w:tcPr>
            <w:tcW w:w="9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2025年10月10日</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曾光辉</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男</w:t>
            </w:r>
          </w:p>
        </w:tc>
        <w:tc>
          <w:tcPr>
            <w:tcW w:w="5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w:t>
            </w:r>
          </w:p>
        </w:tc>
        <w:tc>
          <w:tcPr>
            <w:tcW w:w="7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副总裁/董事会秘书</w:t>
            </w:r>
          </w:p>
        </w:tc>
        <w:tc>
          <w:tcPr>
            <w:tcW w:w="7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现任</w:t>
            </w:r>
          </w:p>
        </w:tc>
        <w:tc>
          <w:tcPr>
            <w:tcW w:w="9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2016年09月19日</w:t>
            </w:r>
          </w:p>
        </w:tc>
        <w:tc>
          <w:tcPr>
            <w:tcW w:w="9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2025年10月10日</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何国新</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男</w:t>
            </w:r>
          </w:p>
        </w:tc>
        <w:tc>
          <w:tcPr>
            <w:tcW w:w="5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w:t>
            </w:r>
          </w:p>
        </w:tc>
        <w:tc>
          <w:tcPr>
            <w:tcW w:w="7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副总裁</w:t>
            </w:r>
          </w:p>
        </w:tc>
        <w:tc>
          <w:tcPr>
            <w:tcW w:w="7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现任</w:t>
            </w:r>
          </w:p>
        </w:tc>
        <w:tc>
          <w:tcPr>
            <w:tcW w:w="9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2017年02月03日</w:t>
            </w:r>
          </w:p>
        </w:tc>
        <w:tc>
          <w:tcPr>
            <w:tcW w:w="9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2025年10月10日</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严琦</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女</w:t>
            </w:r>
          </w:p>
        </w:tc>
        <w:tc>
          <w:tcPr>
            <w:tcW w:w="5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w:t>
            </w:r>
          </w:p>
        </w:tc>
        <w:tc>
          <w:tcPr>
            <w:tcW w:w="7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财务总监</w:t>
            </w:r>
          </w:p>
        </w:tc>
        <w:tc>
          <w:tcPr>
            <w:tcW w:w="7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现任</w:t>
            </w:r>
          </w:p>
        </w:tc>
        <w:tc>
          <w:tcPr>
            <w:tcW w:w="9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2019年09月23日</w:t>
            </w:r>
          </w:p>
        </w:tc>
        <w:tc>
          <w:tcPr>
            <w:tcW w:w="9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2025年10月10日</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贺柳</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男</w:t>
            </w:r>
          </w:p>
        </w:tc>
        <w:tc>
          <w:tcPr>
            <w:tcW w:w="5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w:t>
            </w:r>
          </w:p>
        </w:tc>
        <w:tc>
          <w:tcPr>
            <w:tcW w:w="7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董事长</w:t>
            </w:r>
          </w:p>
        </w:tc>
        <w:tc>
          <w:tcPr>
            <w:tcW w:w="7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历任</w:t>
            </w:r>
          </w:p>
        </w:tc>
        <w:tc>
          <w:tcPr>
            <w:tcW w:w="9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2020年08月10日</w:t>
            </w:r>
          </w:p>
        </w:tc>
        <w:tc>
          <w:tcPr>
            <w:tcW w:w="9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2025年</w:t>
            </w:r>
            <w:r>
              <w:rPr>
                <w:rFonts w:hint="eastAsia" w:ascii="宋体" w:hAnsi="宋体" w:cs="宋体"/>
                <w:sz w:val="18"/>
                <w:szCs w:val="18"/>
                <w:lang w:val="en-US" w:eastAsia="zh-CN"/>
              </w:rPr>
              <w:t>1</w:t>
            </w:r>
            <w:r>
              <w:rPr>
                <w:rFonts w:ascii="宋体" w:hAnsi="宋体" w:eastAsia="宋体" w:cs="宋体"/>
                <w:sz w:val="18"/>
                <w:szCs w:val="18"/>
              </w:rPr>
              <w:t>月</w:t>
            </w:r>
            <w:r>
              <w:rPr>
                <w:rFonts w:hint="eastAsia" w:ascii="宋体" w:hAnsi="宋体" w:cs="宋体"/>
                <w:sz w:val="18"/>
                <w:szCs w:val="18"/>
                <w:lang w:val="en-US" w:eastAsia="zh-CN"/>
              </w:rPr>
              <w:t>06</w:t>
            </w:r>
            <w:r>
              <w:rPr>
                <w:rFonts w:ascii="宋体" w:hAnsi="宋体" w:eastAsia="宋体" w:cs="宋体"/>
                <w:sz w:val="18"/>
                <w:szCs w:val="18"/>
              </w:rPr>
              <w:t>日</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56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57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75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73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91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9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报告期是否存在任期内董事、监事离任和高级管理人员解聘的情况</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是 □否</w:t>
      </w:r>
    </w:p>
    <w:p>
      <w:pPr>
        <w:pStyle w:val="4"/>
        <w:keepNext w:val="0"/>
        <w:keepLines w:val="0"/>
        <w:widowControl/>
        <w:suppressLineNumbers w:val="0"/>
        <w:spacing w:before="0" w:beforeAutospacing="0" w:after="0" w:afterAutospacing="0"/>
        <w:ind w:left="0" w:right="0" w:firstLine="420" w:firstLineChars="200"/>
        <w:jc w:val="both"/>
        <w:rPr>
          <w:rFonts w:ascii="Calibri" w:hAnsi="Calibri" w:cs="Calibri"/>
          <w:sz w:val="21"/>
          <w:szCs w:val="21"/>
        </w:rPr>
      </w:pPr>
      <w:r>
        <w:rPr>
          <w:rFonts w:hint="eastAsia" w:ascii="宋体" w:hAnsi="宋体" w:eastAsia="宋体" w:cs="宋体"/>
          <w:b w:val="0"/>
          <w:bCs w:val="0"/>
          <w:sz w:val="21"/>
          <w:szCs w:val="21"/>
        </w:rPr>
        <w:t>报告期内，公司董事长贺柳先生因工作安排不再担任公司董事、董事长职务以及公司董事会下属专门委员会委员职务（包括战略委员会、提名委员会）。公司于2024年12月19日召开第七届董事会第十五次会议审议通过了《湖南博云新材料股份有限公司关于变更董事的议案》，提名戴志利先生为公司第七届董事会非独立董事候选人，任期自公司股东大会审议通过之日起至本届董事会届满之日止，本次变更董事事项已经公司于2025年1月6日召开的2025年第一次临时股东大会审议通过。</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公司董事、监事、高级管理人员变动情况</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姓名</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担任的职务</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类型</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日期</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原因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贺柳</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董事长</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离任</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2025年01月06日</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工作调动</w:t>
            </w:r>
          </w:p>
        </w:tc>
      </w:tr>
    </w:tbl>
    <w:p>
      <w:pPr>
        <w:keepNext/>
        <w:keepLines/>
        <w:spacing w:before="300" w:after="300" w:line="280" w:lineRule="exact"/>
        <w:jc w:val="left"/>
        <w:outlineLvl w:val="2"/>
        <w:rPr>
          <w:rFonts w:ascii="宋体" w:hAnsi="宋体" w:eastAsia="宋体" w:cs="宋体"/>
          <w:b/>
          <w:bCs/>
          <w:sz w:val="21"/>
          <w:szCs w:val="21"/>
        </w:rPr>
      </w:pPr>
      <w:bookmarkStart w:id="73" w:name="_Toc988954"/>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二</w:t>
      </w:r>
      <w:r>
        <w:rPr>
          <w:rFonts w:hint="eastAsia" w:ascii="宋体" w:hAnsi="宋体" w:eastAsia="宋体" w:cs="宋体"/>
          <w:b/>
          <w:bCs/>
          <w:sz w:val="21"/>
          <w:szCs w:val="21"/>
          <w:lang w:eastAsia="zh-CN"/>
        </w:rPr>
        <w:t>）</w:t>
      </w:r>
      <w:r>
        <w:rPr>
          <w:rFonts w:ascii="宋体" w:hAnsi="宋体" w:eastAsia="宋体" w:cs="宋体"/>
          <w:b/>
          <w:bCs/>
          <w:sz w:val="21"/>
          <w:szCs w:val="21"/>
        </w:rPr>
        <w:t>任职情况</w:t>
      </w:r>
      <w:bookmarkEnd w:id="73"/>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公司现任董事、监事、高级管理人员专业背景、主要工作经历以及目前在公司的主要职责</w:t>
      </w:r>
    </w:p>
    <w:p>
      <w:pPr>
        <w:keepNext/>
        <w:keepLines/>
        <w:pageBreakBefore w:val="0"/>
        <w:widowControl w:val="0"/>
        <w:kinsoku/>
        <w:wordWrap/>
        <w:overflowPunct/>
        <w:topLinePunct w:val="0"/>
        <w:autoSpaceDE/>
        <w:autoSpaceDN/>
        <w:bidi w:val="0"/>
        <w:adjustRightInd/>
        <w:snapToGrid/>
        <w:spacing w:before="180" w:after="120" w:line="280" w:lineRule="exact"/>
        <w:jc w:val="left"/>
        <w:textAlignment w:val="auto"/>
        <w:outlineLvl w:val="3"/>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1.董事会成员</w:t>
      </w:r>
    </w:p>
    <w:p>
      <w:pPr>
        <w:pStyle w:val="4"/>
        <w:keepNext w:val="0"/>
        <w:keepLines w:val="0"/>
        <w:widowControl/>
        <w:suppressLineNumbers w:val="0"/>
        <w:spacing w:before="0" w:beforeAutospacing="0" w:after="0" w:afterAutospacing="0" w:line="360" w:lineRule="atLeast"/>
        <w:ind w:left="0" w:right="0" w:firstLine="422"/>
        <w:jc w:val="both"/>
        <w:rPr>
          <w:rFonts w:hint="default" w:ascii="Times New Roman" w:hAnsi="Times New Roman" w:cs="Times New Roman"/>
          <w:sz w:val="24"/>
          <w:szCs w:val="24"/>
        </w:rPr>
      </w:pPr>
      <w:r>
        <w:rPr>
          <w:rFonts w:hint="eastAsia" w:ascii="宋体" w:hAnsi="宋体" w:eastAsia="宋体" w:cs="宋体"/>
          <w:b w:val="0"/>
          <w:bCs w:val="0"/>
          <w:sz w:val="21"/>
          <w:szCs w:val="21"/>
        </w:rPr>
        <w:t>戴志利先生：董事长，男，中国国籍，1986年出生，中共党员，湖南大学工商管理专业硕士研究生毕业。曾任三一集团有限公司投资总部投资经理，三一重工股份有限公司财务投资总部高级投资经理，湖南兴湘投资控股集团有限公司战略投资管理部主管，湖南春光九汇现代中药有限公司总经理助理，湖南兴湘投资控股集团有限公司办公室副主任，战略发展部副部长、部长，董事会办公室主任等，现任湖南兴湘投资控股集团有限公司总经济师、董事会秘书，兼任中南大学粉末冶金工程研究中心有限公司党委书记、董事长。</w:t>
      </w:r>
    </w:p>
    <w:p>
      <w:pPr>
        <w:pStyle w:val="4"/>
        <w:keepNext w:val="0"/>
        <w:keepLines w:val="0"/>
        <w:widowControl/>
        <w:suppressLineNumbers w:val="0"/>
        <w:spacing w:before="0" w:beforeAutospacing="0" w:after="0" w:afterAutospacing="0" w:line="360" w:lineRule="atLeast"/>
        <w:ind w:left="0" w:right="0" w:firstLine="422"/>
        <w:jc w:val="both"/>
        <w:rPr>
          <w:rFonts w:hint="default" w:ascii="Times New Roman" w:hAnsi="Times New Roman" w:cs="Times New Roman"/>
          <w:sz w:val="24"/>
          <w:szCs w:val="24"/>
        </w:rPr>
      </w:pPr>
      <w:r>
        <w:rPr>
          <w:rFonts w:hint="eastAsia" w:ascii="宋体" w:hAnsi="宋体" w:eastAsia="宋体" w:cs="宋体"/>
          <w:b w:val="0"/>
          <w:bCs w:val="0"/>
          <w:sz w:val="21"/>
          <w:szCs w:val="21"/>
        </w:rPr>
        <w:t>姜锋先生：董事，男，中国国籍，1965年出生，研究生学历，工学博士学位，中南大学二级教授，博士研究生导师。现任公司董事，中南大学粉末冶金工程研究中心有限公司党委副书记、董事、总裁，湖南飞机起降系统技术研发有限公司董事长，湖南博云投资管理有限公司执行董事，湖南沃尔博精密工具有限公司董事，湖南新材料产业创业投资基金（有限合伙）非法人代表等职务。</w:t>
      </w:r>
    </w:p>
    <w:p>
      <w:pPr>
        <w:pStyle w:val="4"/>
        <w:keepNext w:val="0"/>
        <w:keepLines w:val="0"/>
        <w:widowControl/>
        <w:suppressLineNumbers w:val="0"/>
        <w:spacing w:before="0" w:beforeAutospacing="0" w:after="0" w:afterAutospacing="0" w:line="360" w:lineRule="atLeast"/>
        <w:ind w:left="0" w:right="0" w:firstLine="422"/>
        <w:jc w:val="both"/>
        <w:rPr>
          <w:rFonts w:hint="default" w:ascii="Times New Roman" w:hAnsi="Times New Roman" w:cs="Times New Roman"/>
          <w:sz w:val="24"/>
          <w:szCs w:val="24"/>
        </w:rPr>
      </w:pPr>
      <w:r>
        <w:rPr>
          <w:rFonts w:hint="eastAsia" w:ascii="宋体" w:hAnsi="宋体" w:eastAsia="宋体" w:cs="宋体"/>
          <w:b w:val="0"/>
          <w:bCs w:val="0"/>
          <w:sz w:val="21"/>
          <w:szCs w:val="21"/>
        </w:rPr>
        <w:t>冯志荣先生：董事，男，中国国籍，1969年出生，俄语专业本科学历，学士学位。现任公司董事、总裁、总质量师，霍尼韦尔博云航空系统（湖南）有限公司董事长，长沙鑫航机轮刹车有限公司执行董事。1996年起在中南大学粉末冶金研究院工作，从事粉末冶金摩擦材料、碳/碳复合材料研发、国际合作与产业化工作，负责图154-飞机刹车副俄罗斯生产许可证的持续适航取证、销售及波音飞机刹车副取证、销售工作。2001年起参与湖南博云新材料股份有限公司组建、上市工作，历任市场营销部营销员、副部长、部长、营销总监、副总裁、总质量师。获省科学技术进步奖一等奖1项。</w:t>
      </w:r>
    </w:p>
    <w:p>
      <w:pPr>
        <w:pStyle w:val="4"/>
        <w:keepNext w:val="0"/>
        <w:keepLines w:val="0"/>
        <w:widowControl/>
        <w:suppressLineNumbers w:val="0"/>
        <w:spacing w:before="0" w:beforeAutospacing="0" w:after="0" w:afterAutospacing="0" w:line="360" w:lineRule="atLeast"/>
        <w:ind w:left="0" w:right="0" w:firstLine="422"/>
        <w:jc w:val="both"/>
        <w:rPr>
          <w:rFonts w:hint="default" w:ascii="Times New Roman" w:hAnsi="Times New Roman" w:cs="Times New Roman"/>
          <w:sz w:val="24"/>
          <w:szCs w:val="24"/>
        </w:rPr>
      </w:pPr>
      <w:r>
        <w:rPr>
          <w:rFonts w:hint="eastAsia" w:ascii="宋体" w:hAnsi="宋体" w:eastAsia="宋体" w:cs="宋体"/>
          <w:b w:val="0"/>
          <w:bCs w:val="0"/>
          <w:sz w:val="21"/>
          <w:szCs w:val="21"/>
        </w:rPr>
        <w:t>刘咏先生：董事，男，中国国籍，1973年出生，中南大学教授，博士生导师，德国洪堡学者，国家科技领军人才。现任公司董事，中南大学粉末冶金工程研究中心有限公司董事、中南大学粉末冶金研究院教授。长期从事粉末冶金新材料新技术研究，为国民经济建设研发了高性能硬质合金、钛合金及高温合金等多种关键材料。先后获国家科技进步奖以及多项省部级科技奖励。</w:t>
      </w:r>
    </w:p>
    <w:p>
      <w:pPr>
        <w:pStyle w:val="4"/>
        <w:keepNext w:val="0"/>
        <w:keepLines w:val="0"/>
        <w:widowControl/>
        <w:suppressLineNumbers w:val="0"/>
        <w:spacing w:before="0" w:beforeAutospacing="0" w:after="0" w:afterAutospacing="0" w:line="360" w:lineRule="atLeast"/>
        <w:ind w:left="0" w:right="0" w:firstLine="422"/>
        <w:jc w:val="both"/>
        <w:rPr>
          <w:rFonts w:hint="default" w:ascii="Times New Roman" w:hAnsi="Times New Roman" w:cs="Times New Roman"/>
          <w:sz w:val="24"/>
          <w:szCs w:val="24"/>
        </w:rPr>
      </w:pPr>
      <w:r>
        <w:rPr>
          <w:rFonts w:hint="eastAsia" w:ascii="宋体" w:hAnsi="宋体" w:eastAsia="宋体" w:cs="宋体"/>
          <w:b w:val="0"/>
          <w:bCs w:val="0"/>
          <w:sz w:val="21"/>
          <w:szCs w:val="21"/>
        </w:rPr>
        <w:t>蒋建湘先生：董事，男，中国国籍，1974年出生，中共党员，工商管理硕士，高级经济师。现任公司董事、常务副总裁，中南大学粉末冶金工程中心有限公司董事，霍尼韦尔博云航空系统（湖南）有限公司董事。曾任湖南大学工商管理学院校外导师，湖南兴湘投资控股集团有限公司总经理助理兼湘江宾馆党委书记、总经理。长期从事科研、行政和经济管理等工作。参与国家“九五”课题，获湖南省科技进步三等奖1项。2008年获得高级经济师职称；2016年参加了省委组织部组织的省属国有企业领导人员培训班学习。撰写“实现国有资产经营公司又好又快发展的几点思考”、“如何发挥国有资产经营公司资本运作主体作用”等文章在《当代经济》等国家核心经济期刊上发表。</w:t>
      </w:r>
    </w:p>
    <w:p>
      <w:pPr>
        <w:pStyle w:val="4"/>
        <w:keepNext w:val="0"/>
        <w:keepLines w:val="0"/>
        <w:widowControl/>
        <w:suppressLineNumbers w:val="0"/>
        <w:spacing w:before="0" w:beforeAutospacing="0" w:after="0" w:afterAutospacing="0" w:line="360" w:lineRule="atLeast"/>
        <w:ind w:left="0" w:right="0" w:firstLine="422"/>
        <w:jc w:val="both"/>
        <w:rPr>
          <w:rFonts w:hint="default" w:ascii="Times New Roman" w:hAnsi="Times New Roman" w:eastAsia="宋体" w:cs="Times New Roman"/>
          <w:sz w:val="24"/>
          <w:szCs w:val="24"/>
          <w:lang w:val="en-US" w:eastAsia="zh-CN"/>
        </w:rPr>
      </w:pPr>
      <w:bookmarkStart w:id="74" w:name="OLE_LINK20"/>
      <w:r>
        <w:rPr>
          <w:rFonts w:hint="eastAsia" w:ascii="宋体" w:hAnsi="宋体" w:eastAsia="宋体" w:cs="宋体"/>
          <w:b w:val="0"/>
          <w:bCs w:val="0"/>
          <w:sz w:val="21"/>
          <w:szCs w:val="21"/>
        </w:rPr>
        <w:t>李寒波先生：董事，男，中国国籍，1984年出生，中共党员，湖南宁乡人，研究生学历，管理学硕士学位。现任</w:t>
      </w:r>
      <w:bookmarkStart w:id="75" w:name="OLE_LINK19"/>
      <w:r>
        <w:rPr>
          <w:rFonts w:hint="eastAsia" w:ascii="宋体" w:hAnsi="宋体" w:eastAsia="宋体" w:cs="宋体"/>
          <w:b w:val="0"/>
          <w:bCs w:val="0"/>
          <w:sz w:val="21"/>
          <w:szCs w:val="21"/>
        </w:rPr>
        <w:t>兴湘科技创新有限公司支部书记、董事长。</w:t>
      </w:r>
      <w:bookmarkEnd w:id="75"/>
      <w:r>
        <w:rPr>
          <w:rFonts w:hint="eastAsia" w:ascii="宋体" w:hAnsi="宋体" w:eastAsia="宋体" w:cs="宋体"/>
          <w:b w:val="0"/>
          <w:bCs w:val="0"/>
          <w:sz w:val="21"/>
          <w:szCs w:val="21"/>
        </w:rPr>
        <w:t>曾就职于长沙市商务局办公室，2011.01-2020.02历任湖南发展集团股份有限公司董事长秘书、证券事务部主管、投资发展部副总经理、证券法务部副总经理、证券事务部总经理，2020.02-</w:t>
      </w:r>
      <w:r>
        <w:rPr>
          <w:rFonts w:hint="eastAsia" w:ascii="宋体" w:hAnsi="宋体" w:cs="宋体"/>
          <w:b w:val="0"/>
          <w:bCs w:val="0"/>
          <w:sz w:val="21"/>
          <w:szCs w:val="21"/>
          <w:lang w:val="en-US" w:eastAsia="zh-CN"/>
        </w:rPr>
        <w:t>2025.01</w:t>
      </w:r>
      <w:r>
        <w:rPr>
          <w:rFonts w:hint="eastAsia" w:ascii="宋体" w:hAnsi="宋体" w:eastAsia="宋体" w:cs="宋体"/>
          <w:b w:val="0"/>
          <w:bCs w:val="0"/>
          <w:sz w:val="21"/>
          <w:szCs w:val="21"/>
        </w:rPr>
        <w:t>历任湖南兴湘投资控股集团有限公司办公室主任、办公室党支部书记、战略发展部部长，战略发展部党支部书记</w:t>
      </w:r>
      <w:r>
        <w:rPr>
          <w:rFonts w:hint="eastAsia" w:ascii="宋体" w:hAnsi="宋体" w:cs="宋体"/>
          <w:b w:val="0"/>
          <w:bCs w:val="0"/>
          <w:sz w:val="21"/>
          <w:szCs w:val="21"/>
          <w:lang w:eastAsia="zh-CN"/>
        </w:rPr>
        <w:t>，</w:t>
      </w:r>
      <w:r>
        <w:rPr>
          <w:rFonts w:hint="eastAsia" w:ascii="宋体" w:hAnsi="宋体" w:cs="宋体"/>
          <w:b w:val="0"/>
          <w:bCs w:val="0"/>
          <w:sz w:val="21"/>
          <w:szCs w:val="21"/>
          <w:lang w:val="en-US" w:eastAsia="zh-CN"/>
        </w:rPr>
        <w:t>2025.01-至今任兴湘科技创新有限公司支部书记、董事长。</w:t>
      </w:r>
    </w:p>
    <w:bookmarkEnd w:id="74"/>
    <w:p>
      <w:pPr>
        <w:pStyle w:val="4"/>
        <w:keepNext w:val="0"/>
        <w:keepLines w:val="0"/>
        <w:widowControl/>
        <w:suppressLineNumbers w:val="0"/>
        <w:spacing w:before="0" w:beforeAutospacing="0" w:after="0" w:afterAutospacing="0" w:line="360" w:lineRule="atLeast"/>
        <w:ind w:left="0" w:right="0" w:firstLine="422"/>
        <w:jc w:val="both"/>
        <w:rPr>
          <w:rFonts w:hint="default" w:ascii="Times New Roman" w:hAnsi="Times New Roman" w:cs="Times New Roman"/>
          <w:sz w:val="24"/>
          <w:szCs w:val="24"/>
        </w:rPr>
      </w:pPr>
      <w:r>
        <w:rPr>
          <w:rFonts w:hint="eastAsia" w:ascii="宋体" w:hAnsi="宋体" w:eastAsia="宋体" w:cs="宋体"/>
          <w:b w:val="0"/>
          <w:bCs w:val="0"/>
          <w:sz w:val="21"/>
          <w:szCs w:val="21"/>
        </w:rPr>
        <w:t>肖加余先生：独立董事，男，中国国籍，1956年出生，博士，教授。1976年12月至1978年2月，任职于原广州铁路局株洲工务段；1982年1月至1987年12月，任国防科技大学材料燃料系教员；1993年1月至1993年10月，在法国巴黎国立工艺研究院博士后研究；1993年11月至1999年9月，历任国防科技大学材料系教员、教研室主任、新材料研究所总工程师；1999年10月至2008年3月，任国防科技大学一院副院长兼新型陶瓷纤维及其复合材料国防科技重点实验室主任；2008年4月至2016年5月，任国防科技大学一院材料系教授；2019年12月</w:t>
      </w:r>
      <w:r>
        <w:rPr>
          <w:rFonts w:hint="eastAsia" w:ascii="宋体" w:hAnsi="宋体" w:cs="宋体"/>
          <w:b w:val="0"/>
          <w:bCs w:val="0"/>
          <w:sz w:val="21"/>
          <w:szCs w:val="21"/>
          <w:lang w:eastAsia="zh-CN"/>
        </w:rPr>
        <w:t>至</w:t>
      </w:r>
      <w:r>
        <w:rPr>
          <w:rFonts w:hint="eastAsia" w:ascii="宋体" w:hAnsi="宋体" w:eastAsia="宋体" w:cs="宋体"/>
          <w:b w:val="0"/>
          <w:bCs w:val="0"/>
          <w:sz w:val="21"/>
          <w:szCs w:val="21"/>
        </w:rPr>
        <w:t xml:space="preserve">2023年9月，任株洲欧科亿数控精密刀具股份有限公司独立董事。 </w:t>
      </w:r>
    </w:p>
    <w:p>
      <w:pPr>
        <w:pStyle w:val="4"/>
        <w:keepNext w:val="0"/>
        <w:keepLines w:val="0"/>
        <w:widowControl/>
        <w:suppressLineNumbers w:val="0"/>
        <w:spacing w:before="0" w:beforeAutospacing="0" w:after="0" w:afterAutospacing="0" w:line="360" w:lineRule="atLeast"/>
        <w:ind w:left="0" w:right="0" w:firstLine="422"/>
        <w:jc w:val="both"/>
        <w:rPr>
          <w:rFonts w:hint="default" w:ascii="Times New Roman" w:hAnsi="Times New Roman" w:cs="Times New Roman"/>
          <w:sz w:val="24"/>
          <w:szCs w:val="24"/>
        </w:rPr>
      </w:pPr>
      <w:r>
        <w:rPr>
          <w:rFonts w:hint="eastAsia" w:ascii="宋体" w:hAnsi="宋体" w:eastAsia="宋体" w:cs="宋体"/>
          <w:b w:val="0"/>
          <w:bCs w:val="0"/>
          <w:sz w:val="21"/>
          <w:szCs w:val="21"/>
        </w:rPr>
        <w:t>周兰女士：独立董事，女，中国国籍，1972年出生，管理学硕士、会计学博士，美国伊利诺伊大学香槟分校商学院访问学者。曾任广东嘉应制药股份有限公司独立董事，湖南天雁机械股份有限公司独立董事，山河智能装备股份有限公司独立董事，步步高商业连锁股份有限公司独立董事，上海海欣集团股份有限公司独立董事，明光浩淼安防科技股份公司独立董事；现任湖南大学工商管理学院会计学副教授、硕士研究生导师，民建湖南大学基层委员会副主委，民建湖南大学北校区支部主委，湖南投资集团股份有限公司独立董事，湖南五新隧道智能装备股份有限公司独立董事。</w:t>
      </w:r>
    </w:p>
    <w:p>
      <w:pPr>
        <w:pStyle w:val="4"/>
        <w:keepNext w:val="0"/>
        <w:keepLines w:val="0"/>
        <w:widowControl/>
        <w:suppressLineNumbers w:val="0"/>
        <w:spacing w:before="0" w:beforeAutospacing="0" w:after="0" w:afterAutospacing="0" w:line="360" w:lineRule="atLeast"/>
        <w:ind w:left="0" w:right="0" w:firstLine="422"/>
        <w:jc w:val="both"/>
        <w:rPr>
          <w:rFonts w:hint="default" w:ascii="Times New Roman" w:hAnsi="Times New Roman" w:cs="Times New Roman"/>
          <w:sz w:val="24"/>
          <w:szCs w:val="24"/>
        </w:rPr>
      </w:pPr>
      <w:r>
        <w:rPr>
          <w:rFonts w:hint="eastAsia" w:ascii="宋体" w:hAnsi="宋体" w:eastAsia="宋体" w:cs="宋体"/>
          <w:b w:val="0"/>
          <w:bCs w:val="0"/>
          <w:sz w:val="21"/>
          <w:szCs w:val="21"/>
        </w:rPr>
        <w:t>潘传平先生：独立董事，男，中国国籍，1967年出生，法律硕士，工商管理博士，国家一级律师，香港注册海外律师。现任公司独立董事，湖南人和律师事务所首席合伙人，香港周启邦律师事务所注册海外律师，湖南省人大常委会立法咨询工作专家；民盟中央法制委员会委员，民盟湖南省法律工作委员会主任。湖南省检察院特约检察员，湖南省发改委PPP项目专家组成员，长沙市国资委法律专家组成员，湖南省工商联合会法律顾问。马来西亚普特拉大学学术培训项目首席顾问，湖南理工学院硕士研究生导师，湖南大学法学院兼职教授、硕士研究生实务导师，湖南工业大学客座教授，常州大学产业教授，史良法学院客座教授；澳门一带一路法律服务研究会会长，和邦知识产权战略研究院理事长。曾担任湖南省第十二届人大代表，民盟湖南省委常委，湖南省纪委、监察厅特约监察员，法治湖南研究院司改中心主任，湖南投资集团股份有限公司独立董事。</w:t>
      </w:r>
    </w:p>
    <w:p>
      <w:pPr>
        <w:keepNext/>
        <w:keepLines/>
        <w:pageBreakBefore w:val="0"/>
        <w:widowControl w:val="0"/>
        <w:kinsoku/>
        <w:wordWrap/>
        <w:overflowPunct/>
        <w:topLinePunct w:val="0"/>
        <w:autoSpaceDE/>
        <w:autoSpaceDN/>
        <w:bidi w:val="0"/>
        <w:adjustRightInd/>
        <w:snapToGrid/>
        <w:spacing w:before="180" w:after="120" w:line="280" w:lineRule="exact"/>
        <w:jc w:val="left"/>
        <w:textAlignment w:val="auto"/>
        <w:outlineLvl w:val="3"/>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2.监事会成员</w:t>
      </w:r>
    </w:p>
    <w:p>
      <w:pPr>
        <w:pStyle w:val="4"/>
        <w:keepNext w:val="0"/>
        <w:keepLines w:val="0"/>
        <w:widowControl/>
        <w:suppressLineNumbers w:val="0"/>
        <w:spacing w:before="0" w:beforeAutospacing="0" w:after="0" w:afterAutospacing="0" w:line="360" w:lineRule="atLeast"/>
        <w:ind w:left="0" w:right="0" w:firstLine="480"/>
        <w:jc w:val="left"/>
        <w:rPr>
          <w:rFonts w:hint="default" w:ascii="Times New Roman" w:hAnsi="Times New Roman" w:cs="Times New Roman"/>
          <w:sz w:val="24"/>
          <w:szCs w:val="24"/>
        </w:rPr>
      </w:pPr>
      <w:r>
        <w:rPr>
          <w:rFonts w:hint="eastAsia" w:ascii="宋体" w:hAnsi="宋体" w:eastAsia="宋体" w:cs="宋体"/>
          <w:b w:val="0"/>
          <w:bCs w:val="0"/>
          <w:sz w:val="21"/>
          <w:szCs w:val="21"/>
        </w:rPr>
        <w:t>王鶄武先生：监事会主席，男，中国国籍，1985年出生，本科毕业于清华大学电子工程系，硕士研究生毕业于法国高等矿大数学系。2012年8月至2017年2月任中航资本资本运营部业务经理、中航期货资产管理部副部长；2017年3月至2018年12月任中江信托北京资本运作部部长；2019年1月至今任惠华基金管理有限公司资深投资经理、执行董事，现任公司监事。</w:t>
      </w:r>
    </w:p>
    <w:p>
      <w:pPr>
        <w:pStyle w:val="4"/>
        <w:keepNext w:val="0"/>
        <w:keepLines w:val="0"/>
        <w:widowControl/>
        <w:suppressLineNumbers w:val="0"/>
        <w:spacing w:before="0" w:beforeAutospacing="0" w:after="0" w:afterAutospacing="0" w:line="360" w:lineRule="atLeast"/>
        <w:ind w:left="0" w:right="0" w:firstLine="480"/>
        <w:jc w:val="left"/>
        <w:rPr>
          <w:rFonts w:hint="default" w:ascii="Times New Roman" w:hAnsi="Times New Roman" w:cs="Times New Roman"/>
          <w:sz w:val="24"/>
          <w:szCs w:val="24"/>
        </w:rPr>
      </w:pPr>
      <w:r>
        <w:rPr>
          <w:rFonts w:hint="eastAsia" w:ascii="宋体" w:hAnsi="宋体" w:eastAsia="宋体" w:cs="宋体"/>
          <w:b w:val="0"/>
          <w:bCs w:val="0"/>
          <w:sz w:val="21"/>
          <w:szCs w:val="21"/>
        </w:rPr>
        <w:t>曾毅先生：监事，男，中国国籍，1983年出生，中南大学材料学博士，英国曼彻斯特大学博士后，中南大学教授，博士生导师，现任公司监事；主要研究方向为炭/炭复合材料、炭/陶复合材料及超高温陶瓷复合材料的设计、制备及其抗烧蚀和抗氧化研究；主持了多个千万级国家重点项目，攻克了航天耐高温复合材料领域多个关键技术，获中国有色金属工业技术发明一等奖；在Nature Communications、Carbon，Journal of Advanced Ceramics、Journal of American Ceramic Society等国内外知名期刊上发表文章50余篇，获国际和国家发明专利10余项。</w:t>
      </w:r>
    </w:p>
    <w:p>
      <w:pPr>
        <w:pStyle w:val="4"/>
        <w:keepNext w:val="0"/>
        <w:keepLines w:val="0"/>
        <w:widowControl/>
        <w:suppressLineNumbers w:val="0"/>
        <w:spacing w:before="0" w:beforeAutospacing="0" w:after="0" w:afterAutospacing="0" w:line="360" w:lineRule="atLeast"/>
        <w:ind w:left="0" w:right="0" w:firstLine="422"/>
        <w:jc w:val="both"/>
        <w:rPr>
          <w:rFonts w:hint="default" w:ascii="Times New Roman" w:hAnsi="Times New Roman" w:cs="Times New Roman"/>
          <w:sz w:val="24"/>
          <w:szCs w:val="24"/>
        </w:rPr>
      </w:pPr>
      <w:r>
        <w:rPr>
          <w:rFonts w:hint="eastAsia" w:ascii="宋体" w:hAnsi="宋体" w:eastAsia="宋体" w:cs="宋体"/>
          <w:b w:val="0"/>
          <w:bCs w:val="0"/>
          <w:sz w:val="21"/>
          <w:szCs w:val="21"/>
        </w:rPr>
        <w:t>左劲旅先生：职工监事，男，中国国籍，1969年出生，毕业于湖南大学无机非金属材料专业，高级工程师。左劲旅先生现任湖南博云新材料股份有限公司职工监事，公司事业部副总经理、副总工程师，公司核心技术人员。从事炭/炭复合材料的研发和生产工作二十多年。</w:t>
      </w:r>
    </w:p>
    <w:p>
      <w:pPr>
        <w:keepNext/>
        <w:keepLines/>
        <w:pageBreakBefore w:val="0"/>
        <w:widowControl w:val="0"/>
        <w:kinsoku/>
        <w:wordWrap/>
        <w:overflowPunct/>
        <w:topLinePunct w:val="0"/>
        <w:autoSpaceDE/>
        <w:autoSpaceDN/>
        <w:bidi w:val="0"/>
        <w:adjustRightInd/>
        <w:snapToGrid/>
        <w:spacing w:before="180" w:after="120" w:line="280" w:lineRule="exact"/>
        <w:jc w:val="left"/>
        <w:textAlignment w:val="auto"/>
        <w:outlineLvl w:val="3"/>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3.高级管理人员</w:t>
      </w:r>
    </w:p>
    <w:p>
      <w:pPr>
        <w:pStyle w:val="4"/>
        <w:keepNext w:val="0"/>
        <w:keepLines w:val="0"/>
        <w:widowControl/>
        <w:suppressLineNumbers w:val="0"/>
        <w:spacing w:before="0" w:beforeAutospacing="0" w:after="0" w:afterAutospacing="0" w:line="360" w:lineRule="atLeast"/>
        <w:ind w:left="0" w:right="0" w:firstLine="422"/>
        <w:jc w:val="both"/>
        <w:rPr>
          <w:rFonts w:hint="default" w:ascii="Times New Roman" w:hAnsi="Times New Roman" w:cs="Times New Roman"/>
          <w:sz w:val="24"/>
          <w:szCs w:val="24"/>
        </w:rPr>
      </w:pPr>
      <w:r>
        <w:rPr>
          <w:rFonts w:hint="eastAsia" w:ascii="宋体" w:hAnsi="宋体" w:eastAsia="宋体" w:cs="宋体"/>
          <w:b w:val="0"/>
          <w:bCs w:val="0"/>
          <w:sz w:val="21"/>
          <w:szCs w:val="21"/>
        </w:rPr>
        <w:t>冯志荣先生：总裁，简历详见本节董事简历。</w:t>
      </w:r>
    </w:p>
    <w:p>
      <w:pPr>
        <w:pStyle w:val="4"/>
        <w:keepNext w:val="0"/>
        <w:keepLines w:val="0"/>
        <w:widowControl/>
        <w:suppressLineNumbers w:val="0"/>
        <w:spacing w:before="0" w:beforeAutospacing="0" w:after="0" w:afterAutospacing="0" w:line="360" w:lineRule="atLeast"/>
        <w:ind w:left="0" w:right="0" w:firstLine="422"/>
        <w:jc w:val="both"/>
        <w:rPr>
          <w:rFonts w:hint="default" w:ascii="Times New Roman" w:hAnsi="Times New Roman" w:cs="Times New Roman"/>
          <w:sz w:val="24"/>
          <w:szCs w:val="24"/>
        </w:rPr>
      </w:pPr>
      <w:r>
        <w:rPr>
          <w:rFonts w:hint="eastAsia" w:ascii="宋体" w:hAnsi="宋体" w:eastAsia="宋体" w:cs="宋体"/>
          <w:b w:val="0"/>
          <w:bCs w:val="0"/>
          <w:sz w:val="21"/>
          <w:szCs w:val="21"/>
        </w:rPr>
        <w:t>蒋建湘先生：常务副总裁，简历详见本节董事简历。</w:t>
      </w:r>
    </w:p>
    <w:p>
      <w:pPr>
        <w:pStyle w:val="4"/>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b w:val="0"/>
          <w:bCs w:val="0"/>
          <w:sz w:val="21"/>
          <w:szCs w:val="21"/>
        </w:rPr>
        <w:t>何国新先生：副总裁，男，中国国籍，1967年出生，中共党员，1989年本科毕业于湖南大学无机非金属材料专业，1992年获工学硕士学位，2005年获中南大学商学院工商管理学硕士学位（MBA）。历任株洲硬质合金厂技术中心科研管理办公室主任、型材事业部副经理；株洲硬质合金集团有限公司工程部部长、技改基建办公室主任兼党支部书记、科技部部长、技术中心主任兼党支部书记、科协常务副主席、钨钼事业部总经理兼党委书记、企业发展部部长兼党支部书记；2009年12月至2013年11月，历任湖南有色金属控股集团有限公司持续发展部副部长（主持工作）、监察审计部副部长、秘书室主任、企业规划发展部部长等行政职务，湖南有色金属控股集团有限公司纪委委员、党支部委员等党内职务；2013年11月至2016年10月，任五矿有色金属控股有限公司钨事业本部产业发展部总经理；2016年10月</w:t>
      </w:r>
      <w:r>
        <w:rPr>
          <w:rFonts w:hint="eastAsia" w:ascii="宋体" w:hAnsi="宋体" w:cs="宋体"/>
          <w:b w:val="0"/>
          <w:bCs w:val="0"/>
          <w:sz w:val="21"/>
          <w:szCs w:val="21"/>
          <w:lang w:eastAsia="zh-CN"/>
        </w:rPr>
        <w:t>至</w:t>
      </w:r>
      <w:r>
        <w:rPr>
          <w:rFonts w:hint="eastAsia" w:ascii="宋体" w:hAnsi="宋体" w:eastAsia="宋体" w:cs="宋体"/>
          <w:b w:val="0"/>
          <w:bCs w:val="0"/>
          <w:sz w:val="21"/>
          <w:szCs w:val="21"/>
        </w:rPr>
        <w:t>2017年1月，任中国五矿中钨高新材料股份有限公司企业规划发展部总经理。曾任多家公司董事。现任公司副总裁兼工会主席，湖南博云汽车制动材料有限公司董事。</w:t>
      </w:r>
    </w:p>
    <w:p>
      <w:pPr>
        <w:pStyle w:val="4"/>
        <w:keepNext w:val="0"/>
        <w:keepLines w:val="0"/>
        <w:widowControl/>
        <w:suppressLineNumbers w:val="0"/>
        <w:spacing w:before="0" w:beforeAutospacing="0" w:after="0" w:afterAutospacing="0" w:line="360" w:lineRule="atLeast"/>
        <w:ind w:left="0" w:right="0" w:firstLine="422"/>
        <w:jc w:val="both"/>
        <w:rPr>
          <w:rFonts w:hint="default" w:ascii="Times New Roman" w:hAnsi="Times New Roman" w:cs="Times New Roman"/>
          <w:sz w:val="24"/>
          <w:szCs w:val="24"/>
        </w:rPr>
      </w:pPr>
      <w:r>
        <w:rPr>
          <w:rFonts w:hint="eastAsia" w:ascii="宋体" w:hAnsi="宋体" w:eastAsia="宋体" w:cs="宋体"/>
          <w:b w:val="0"/>
          <w:bCs w:val="0"/>
          <w:sz w:val="21"/>
          <w:szCs w:val="21"/>
        </w:rPr>
        <w:t>曾光辉先生：副总裁、董事会秘书，男，中国国籍，1981年出生，研究生学历，中共党员。曾任职于岳阳林纸股份有限公司证券投资部、渤海银行长沙分行等。2005年11月通过注册会计师考试的《会计》、《财务成本管理》单科考试，2008年10月获得中国证券业协会颁发的《证券市场基础知识》、《证券发行与承销》、《证券投资基金》、《证券投资分析》的成绩合格证。现任公司副总裁、董事会秘书、湖南博云东方粉末冶金有限公司董事。</w:t>
      </w:r>
    </w:p>
    <w:p>
      <w:pPr>
        <w:pStyle w:val="4"/>
        <w:keepNext w:val="0"/>
        <w:keepLines w:val="0"/>
        <w:widowControl/>
        <w:suppressLineNumbers w:val="0"/>
        <w:spacing w:before="0" w:beforeAutospacing="0" w:after="0" w:afterAutospacing="0" w:line="360" w:lineRule="atLeast"/>
        <w:ind w:left="0" w:right="0" w:firstLine="422"/>
        <w:jc w:val="both"/>
        <w:rPr>
          <w:rFonts w:hint="default" w:ascii="Times New Roman" w:hAnsi="Times New Roman" w:cs="Times New Roman"/>
          <w:sz w:val="24"/>
          <w:szCs w:val="24"/>
        </w:rPr>
      </w:pPr>
      <w:r>
        <w:rPr>
          <w:rFonts w:hint="eastAsia" w:ascii="宋体" w:hAnsi="宋体" w:eastAsia="宋体" w:cs="宋体"/>
          <w:b w:val="0"/>
          <w:bCs w:val="0"/>
          <w:sz w:val="21"/>
          <w:szCs w:val="21"/>
        </w:rPr>
        <w:t>严琦女士：财务总监，女，中国国籍，1973年出生，本科学历，中共党员，高级会计师，毕业于湖南工商大学企业财务管理专业，具有基金从业资格。历任湖南兴湘投资控股集团有限公司财务管理部主管会计、财务管理部副部长，现任公司财务总监，中南大学粉末冶金工程中心有限公司董事，霍尼韦尔博云航空系统（湖南）有限公司监事。</w:t>
      </w:r>
    </w:p>
    <w:p>
      <w:pPr>
        <w:spacing w:before="100" w:after="100" w:line="240" w:lineRule="exact"/>
        <w:jc w:val="left"/>
        <w:rPr>
          <w:rFonts w:ascii="宋体" w:hAnsi="宋体" w:eastAsia="宋体" w:cs="宋体"/>
          <w:sz w:val="18"/>
          <w:szCs w:val="18"/>
        </w:rPr>
      </w:pPr>
      <w:bookmarkStart w:id="76" w:name="_Toc988955"/>
      <w:r>
        <w:rPr>
          <w:rFonts w:ascii="宋体" w:hAnsi="宋体" w:eastAsia="宋体" w:cs="宋体"/>
          <w:sz w:val="18"/>
          <w:szCs w:val="18"/>
        </w:rPr>
        <w:t>在股东单位任职情况</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tbl>
      <w:tblPr>
        <w:tblStyle w:val="5"/>
        <w:tblW w:w="963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2098"/>
        <w:gridCol w:w="1650"/>
        <w:gridCol w:w="1365"/>
        <w:gridCol w:w="1311"/>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任职人员姓名</w:t>
            </w:r>
          </w:p>
        </w:tc>
        <w:tc>
          <w:tcPr>
            <w:tcW w:w="209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股东单位名称</w:t>
            </w:r>
          </w:p>
        </w:tc>
        <w:tc>
          <w:tcPr>
            <w:tcW w:w="165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在股东单位担任的职务</w:t>
            </w:r>
          </w:p>
        </w:tc>
        <w:tc>
          <w:tcPr>
            <w:tcW w:w="136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任期起始日期</w:t>
            </w:r>
          </w:p>
        </w:tc>
        <w:tc>
          <w:tcPr>
            <w:tcW w:w="131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任期终止日期</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在股东单位是否领取报酬津贴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戴志利</w:t>
            </w:r>
          </w:p>
        </w:tc>
        <w:tc>
          <w:tcPr>
            <w:tcW w:w="209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湖南兴湘投资控股集团公司</w:t>
            </w:r>
          </w:p>
        </w:tc>
        <w:tc>
          <w:tcPr>
            <w:tcW w:w="16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总经济师、董事会秘书</w:t>
            </w:r>
          </w:p>
        </w:tc>
        <w:tc>
          <w:tcPr>
            <w:tcW w:w="13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31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戴志利</w:t>
            </w:r>
          </w:p>
        </w:tc>
        <w:tc>
          <w:tcPr>
            <w:tcW w:w="209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中南大学粉末冶金工程研究中心有限公司</w:t>
            </w:r>
          </w:p>
        </w:tc>
        <w:tc>
          <w:tcPr>
            <w:tcW w:w="16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党委书记、董事长</w:t>
            </w:r>
          </w:p>
        </w:tc>
        <w:tc>
          <w:tcPr>
            <w:tcW w:w="13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31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姜锋</w:t>
            </w:r>
          </w:p>
        </w:tc>
        <w:tc>
          <w:tcPr>
            <w:tcW w:w="209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中南大学粉末冶金工程研究中心有限公司</w:t>
            </w:r>
          </w:p>
        </w:tc>
        <w:tc>
          <w:tcPr>
            <w:tcW w:w="16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董事、总裁</w:t>
            </w:r>
          </w:p>
        </w:tc>
        <w:tc>
          <w:tcPr>
            <w:tcW w:w="13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31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蒋建湘</w:t>
            </w:r>
          </w:p>
        </w:tc>
        <w:tc>
          <w:tcPr>
            <w:tcW w:w="209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中南大学粉末冶金工程研究中心有限公司</w:t>
            </w:r>
          </w:p>
        </w:tc>
        <w:tc>
          <w:tcPr>
            <w:tcW w:w="16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董事</w:t>
            </w:r>
          </w:p>
        </w:tc>
        <w:tc>
          <w:tcPr>
            <w:tcW w:w="13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31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刘咏</w:t>
            </w:r>
          </w:p>
        </w:tc>
        <w:tc>
          <w:tcPr>
            <w:tcW w:w="209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中南大学粉末冶金工程研究中心有限公司</w:t>
            </w:r>
          </w:p>
        </w:tc>
        <w:tc>
          <w:tcPr>
            <w:tcW w:w="16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董事</w:t>
            </w:r>
          </w:p>
        </w:tc>
        <w:tc>
          <w:tcPr>
            <w:tcW w:w="13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31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李寒波</w:t>
            </w:r>
          </w:p>
        </w:tc>
        <w:tc>
          <w:tcPr>
            <w:tcW w:w="209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湖南兴湘投资控股集团公司</w:t>
            </w:r>
          </w:p>
        </w:tc>
        <w:tc>
          <w:tcPr>
            <w:tcW w:w="16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战略发展部部长</w:t>
            </w:r>
          </w:p>
        </w:tc>
        <w:tc>
          <w:tcPr>
            <w:tcW w:w="13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31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严琦</w:t>
            </w:r>
          </w:p>
        </w:tc>
        <w:tc>
          <w:tcPr>
            <w:tcW w:w="209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中南大学粉末冶金工程研究中心有限公司</w:t>
            </w:r>
          </w:p>
        </w:tc>
        <w:tc>
          <w:tcPr>
            <w:tcW w:w="16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董事</w:t>
            </w:r>
          </w:p>
        </w:tc>
        <w:tc>
          <w:tcPr>
            <w:tcW w:w="13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31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在其他单位任职情况</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tbl>
      <w:tblPr>
        <w:tblStyle w:val="5"/>
        <w:tblW w:w="963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2901"/>
        <w:gridCol w:w="1410"/>
        <w:gridCol w:w="937"/>
        <w:gridCol w:w="117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任职人员姓名</w:t>
            </w:r>
          </w:p>
        </w:tc>
        <w:tc>
          <w:tcPr>
            <w:tcW w:w="290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其他单位名称</w:t>
            </w:r>
          </w:p>
        </w:tc>
        <w:tc>
          <w:tcPr>
            <w:tcW w:w="1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在其他单位担任的职务</w:t>
            </w:r>
          </w:p>
        </w:tc>
        <w:tc>
          <w:tcPr>
            <w:tcW w:w="93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任期起始日期</w:t>
            </w:r>
          </w:p>
        </w:tc>
        <w:tc>
          <w:tcPr>
            <w:tcW w:w="11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任期终止日期</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在其他单位是否领取报酬津贴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姜锋</w:t>
            </w:r>
          </w:p>
        </w:tc>
        <w:tc>
          <w:tcPr>
            <w:tcW w:w="290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湖南飞机起降系统技术研发有限公司</w:t>
            </w:r>
          </w:p>
        </w:tc>
        <w:tc>
          <w:tcPr>
            <w:tcW w:w="1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董事长</w:t>
            </w:r>
          </w:p>
        </w:tc>
        <w:tc>
          <w:tcPr>
            <w:tcW w:w="93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1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姜锋</w:t>
            </w:r>
          </w:p>
        </w:tc>
        <w:tc>
          <w:tcPr>
            <w:tcW w:w="290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湖南博云投资管理有限公司</w:t>
            </w:r>
          </w:p>
        </w:tc>
        <w:tc>
          <w:tcPr>
            <w:tcW w:w="1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执行董事</w:t>
            </w:r>
          </w:p>
        </w:tc>
        <w:tc>
          <w:tcPr>
            <w:tcW w:w="93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1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姜锋</w:t>
            </w:r>
          </w:p>
        </w:tc>
        <w:tc>
          <w:tcPr>
            <w:tcW w:w="290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湖南沃尔博精密工具有限公司</w:t>
            </w:r>
          </w:p>
        </w:tc>
        <w:tc>
          <w:tcPr>
            <w:tcW w:w="1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董事</w:t>
            </w:r>
          </w:p>
        </w:tc>
        <w:tc>
          <w:tcPr>
            <w:tcW w:w="93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1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姜锋</w:t>
            </w:r>
          </w:p>
        </w:tc>
        <w:tc>
          <w:tcPr>
            <w:tcW w:w="290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湖南新材料产业创业投资基金（有限合伙）</w:t>
            </w:r>
          </w:p>
        </w:tc>
        <w:tc>
          <w:tcPr>
            <w:tcW w:w="1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非法人代表</w:t>
            </w:r>
          </w:p>
        </w:tc>
        <w:tc>
          <w:tcPr>
            <w:tcW w:w="93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1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刘咏</w:t>
            </w:r>
          </w:p>
        </w:tc>
        <w:tc>
          <w:tcPr>
            <w:tcW w:w="290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中南大学粉末冶金研究院</w:t>
            </w:r>
          </w:p>
        </w:tc>
        <w:tc>
          <w:tcPr>
            <w:tcW w:w="1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教授</w:t>
            </w:r>
          </w:p>
        </w:tc>
        <w:tc>
          <w:tcPr>
            <w:tcW w:w="93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1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周兰</w:t>
            </w:r>
          </w:p>
        </w:tc>
        <w:tc>
          <w:tcPr>
            <w:tcW w:w="290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湖南大学工商管理学院会计学</w:t>
            </w:r>
          </w:p>
        </w:tc>
        <w:tc>
          <w:tcPr>
            <w:tcW w:w="1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副教授、硕士研究生导师</w:t>
            </w:r>
          </w:p>
        </w:tc>
        <w:tc>
          <w:tcPr>
            <w:tcW w:w="93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1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周兰</w:t>
            </w:r>
          </w:p>
        </w:tc>
        <w:tc>
          <w:tcPr>
            <w:tcW w:w="290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湖南投资集团股份有限公司</w:t>
            </w:r>
          </w:p>
        </w:tc>
        <w:tc>
          <w:tcPr>
            <w:tcW w:w="1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独立董事</w:t>
            </w:r>
          </w:p>
        </w:tc>
        <w:tc>
          <w:tcPr>
            <w:tcW w:w="93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1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周兰</w:t>
            </w:r>
          </w:p>
        </w:tc>
        <w:tc>
          <w:tcPr>
            <w:tcW w:w="290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湖南五新隧道智能装备股份有限公司</w:t>
            </w:r>
          </w:p>
        </w:tc>
        <w:tc>
          <w:tcPr>
            <w:tcW w:w="1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独立董事</w:t>
            </w:r>
          </w:p>
        </w:tc>
        <w:tc>
          <w:tcPr>
            <w:tcW w:w="93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1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潘传平</w:t>
            </w:r>
          </w:p>
        </w:tc>
        <w:tc>
          <w:tcPr>
            <w:tcW w:w="290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湖南人和律师事务所</w:t>
            </w:r>
          </w:p>
        </w:tc>
        <w:tc>
          <w:tcPr>
            <w:tcW w:w="1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首席合伙人</w:t>
            </w:r>
          </w:p>
        </w:tc>
        <w:tc>
          <w:tcPr>
            <w:tcW w:w="93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1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王鶄武</w:t>
            </w:r>
          </w:p>
        </w:tc>
        <w:tc>
          <w:tcPr>
            <w:tcW w:w="290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惠华基金管理有限公司</w:t>
            </w:r>
          </w:p>
        </w:tc>
        <w:tc>
          <w:tcPr>
            <w:tcW w:w="1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执行董事</w:t>
            </w:r>
          </w:p>
        </w:tc>
        <w:tc>
          <w:tcPr>
            <w:tcW w:w="93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1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曾毅</w:t>
            </w:r>
          </w:p>
        </w:tc>
        <w:tc>
          <w:tcPr>
            <w:tcW w:w="290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中南大学粉末冶金研究院</w:t>
            </w:r>
          </w:p>
        </w:tc>
        <w:tc>
          <w:tcPr>
            <w:tcW w:w="1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教授</w:t>
            </w:r>
          </w:p>
        </w:tc>
        <w:tc>
          <w:tcPr>
            <w:tcW w:w="93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1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冯志荣</w:t>
            </w:r>
          </w:p>
        </w:tc>
        <w:tc>
          <w:tcPr>
            <w:tcW w:w="290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霍尼韦尔博云航空系统（湖南）有限公司</w:t>
            </w:r>
          </w:p>
        </w:tc>
        <w:tc>
          <w:tcPr>
            <w:tcW w:w="1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董事长</w:t>
            </w:r>
          </w:p>
        </w:tc>
        <w:tc>
          <w:tcPr>
            <w:tcW w:w="93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1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冯志荣</w:t>
            </w:r>
          </w:p>
        </w:tc>
        <w:tc>
          <w:tcPr>
            <w:tcW w:w="290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长沙鑫航机轮刹车有限公司</w:t>
            </w:r>
          </w:p>
        </w:tc>
        <w:tc>
          <w:tcPr>
            <w:tcW w:w="1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执行董事</w:t>
            </w:r>
          </w:p>
        </w:tc>
        <w:tc>
          <w:tcPr>
            <w:tcW w:w="93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1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蒋建湘</w:t>
            </w:r>
          </w:p>
        </w:tc>
        <w:tc>
          <w:tcPr>
            <w:tcW w:w="290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霍尼韦尔博云航空系统（湖南）有限公司</w:t>
            </w:r>
          </w:p>
        </w:tc>
        <w:tc>
          <w:tcPr>
            <w:tcW w:w="1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董事</w:t>
            </w:r>
          </w:p>
        </w:tc>
        <w:tc>
          <w:tcPr>
            <w:tcW w:w="93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1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何国新</w:t>
            </w:r>
          </w:p>
        </w:tc>
        <w:tc>
          <w:tcPr>
            <w:tcW w:w="290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湖南博云汽车制动材料有限公司</w:t>
            </w:r>
          </w:p>
        </w:tc>
        <w:tc>
          <w:tcPr>
            <w:tcW w:w="1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董事</w:t>
            </w:r>
          </w:p>
        </w:tc>
        <w:tc>
          <w:tcPr>
            <w:tcW w:w="93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1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曾光辉</w:t>
            </w:r>
          </w:p>
        </w:tc>
        <w:tc>
          <w:tcPr>
            <w:tcW w:w="290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湖南博云东方粉末冶金有限公司</w:t>
            </w:r>
          </w:p>
        </w:tc>
        <w:tc>
          <w:tcPr>
            <w:tcW w:w="1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董事</w:t>
            </w:r>
          </w:p>
        </w:tc>
        <w:tc>
          <w:tcPr>
            <w:tcW w:w="93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1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严琦</w:t>
            </w:r>
          </w:p>
        </w:tc>
        <w:tc>
          <w:tcPr>
            <w:tcW w:w="290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霍尼韦尔博云航空系统（湖南）有限公司</w:t>
            </w:r>
          </w:p>
        </w:tc>
        <w:tc>
          <w:tcPr>
            <w:tcW w:w="1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监事</w:t>
            </w:r>
          </w:p>
        </w:tc>
        <w:tc>
          <w:tcPr>
            <w:tcW w:w="93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1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r>
    </w:tbl>
    <w:p>
      <w:pPr>
        <w:spacing w:before="40" w:after="40" w:line="240" w:lineRule="exact"/>
        <w:jc w:val="left"/>
        <w:rPr>
          <w:rFonts w:ascii="宋体" w:hAnsi="宋体" w:eastAsia="宋体" w:cs="宋体"/>
          <w:sz w:val="18"/>
          <w:szCs w:val="18"/>
        </w:rPr>
      </w:pPr>
      <w:r>
        <w:rPr>
          <w:rFonts w:ascii="宋体" w:hAnsi="宋体" w:eastAsia="宋体" w:cs="宋体"/>
          <w:sz w:val="18"/>
          <w:szCs w:val="18"/>
        </w:rPr>
        <w:t>公司现任及报告期内离任董事、监事和高级管理人员近三年证券监管机构处罚的情况</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bookmarkEnd w:id="76"/>
    <w:p>
      <w:pPr>
        <w:keepNext/>
        <w:keepLines/>
        <w:pageBreakBefore w:val="0"/>
        <w:widowControl w:val="0"/>
        <w:kinsoku/>
        <w:wordWrap/>
        <w:overflowPunct/>
        <w:topLinePunct w:val="0"/>
        <w:autoSpaceDE/>
        <w:autoSpaceDN/>
        <w:bidi w:val="0"/>
        <w:adjustRightInd/>
        <w:snapToGrid/>
        <w:spacing w:before="300" w:after="300" w:line="280" w:lineRule="exact"/>
        <w:jc w:val="left"/>
        <w:textAlignment w:val="auto"/>
        <w:outlineLvl w:val="2"/>
        <w:rPr>
          <w:rFonts w:ascii="宋体" w:hAnsi="宋体" w:eastAsia="宋体" w:cs="宋体"/>
          <w:b/>
          <w:bCs/>
          <w:sz w:val="21"/>
          <w:szCs w:val="21"/>
        </w:rPr>
      </w:pPr>
      <w:r>
        <w:rPr>
          <w:rFonts w:hint="eastAsia" w:ascii="宋体" w:hAnsi="宋体" w:eastAsia="宋体" w:cs="宋体"/>
          <w:b/>
          <w:bCs/>
          <w:sz w:val="21"/>
          <w:szCs w:val="21"/>
          <w:lang w:eastAsia="zh-CN"/>
        </w:rPr>
        <w:t>（三）</w:t>
      </w:r>
      <w:r>
        <w:rPr>
          <w:rFonts w:ascii="宋体" w:hAnsi="宋体" w:eastAsia="宋体" w:cs="宋体"/>
          <w:b/>
          <w:bCs/>
          <w:sz w:val="21"/>
          <w:szCs w:val="21"/>
        </w:rPr>
        <w:t>董事、监事、高级管理人员报酬情况</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董事、监事、高级管理人员报酬的决策程序、确定依据、实际支付情况</w:t>
      </w:r>
    </w:p>
    <w:p>
      <w:pPr>
        <w:pStyle w:val="4"/>
        <w:keepNext w:val="0"/>
        <w:keepLines w:val="0"/>
        <w:pageBreakBefore w:val="0"/>
        <w:widowControl/>
        <w:kinsoku/>
        <w:wordWrap/>
        <w:overflowPunct/>
        <w:topLinePunct w:val="0"/>
        <w:autoSpaceDE/>
        <w:autoSpaceDN/>
        <w:bidi w:val="0"/>
        <w:adjustRightInd/>
        <w:snapToGrid/>
        <w:spacing w:before="100" w:beforeAutospacing="0" w:after="0" w:afterAutospacing="0" w:line="360" w:lineRule="exact"/>
        <w:ind w:firstLine="420"/>
        <w:textAlignment w:val="auto"/>
        <w:rPr>
          <w:szCs w:val="24"/>
        </w:rPr>
      </w:pPr>
      <w:r>
        <w:rPr>
          <w:rFonts w:hint="eastAsia" w:ascii="宋体" w:hAnsi="宋体" w:cs="宋体"/>
          <w:sz w:val="21"/>
          <w:szCs w:val="21"/>
        </w:rPr>
        <w:t>决策程序：公司董事、监事、高级管理人员薪酬方案由薪酬与考核委员会审议后提交董事会决议，其中董事、监事薪酬方案还需股东大会审议通过。</w:t>
      </w:r>
    </w:p>
    <w:p>
      <w:pPr>
        <w:pStyle w:val="4"/>
        <w:widowControl/>
        <w:spacing w:before="100" w:beforeAutospacing="0" w:after="100" w:afterAutospacing="0" w:line="360" w:lineRule="atLeast"/>
        <w:ind w:firstLine="420"/>
        <w:jc w:val="both"/>
        <w:rPr>
          <w:szCs w:val="24"/>
        </w:rPr>
      </w:pPr>
      <w:r>
        <w:rPr>
          <w:rFonts w:hint="eastAsia" w:ascii="宋体" w:hAnsi="宋体" w:cs="宋体"/>
          <w:sz w:val="21"/>
          <w:szCs w:val="21"/>
        </w:rPr>
        <w:t>确定依据和实际支付情况：公司高级管理人员薪酬根据《高级管理人员薪酬激励与业绩考核管理办法》的相关规定进行考核确定；独立董事在本公司领取独立董事津贴，独立董事2024年的津贴标准为税前</w:t>
      </w:r>
      <w:r>
        <w:rPr>
          <w:sz w:val="21"/>
          <w:szCs w:val="21"/>
        </w:rPr>
        <w:t>8</w:t>
      </w:r>
      <w:r>
        <w:rPr>
          <w:rFonts w:hint="eastAsia" w:ascii="宋体" w:hAnsi="宋体" w:cs="宋体"/>
          <w:sz w:val="21"/>
          <w:szCs w:val="21"/>
        </w:rPr>
        <w:t>万元</w:t>
      </w:r>
      <w:r>
        <w:rPr>
          <w:sz w:val="21"/>
          <w:szCs w:val="21"/>
        </w:rPr>
        <w:t>/</w:t>
      </w:r>
      <w:r>
        <w:rPr>
          <w:rFonts w:hint="eastAsia" w:ascii="宋体" w:hAnsi="宋体" w:cs="宋体"/>
          <w:sz w:val="21"/>
          <w:szCs w:val="21"/>
        </w:rPr>
        <w:t>年，每年按月平均发放，其履行职务发生的差旅费、办公费等费用由公司承担。</w:t>
      </w:r>
    </w:p>
    <w:p>
      <w:pPr>
        <w:keepNext w:val="0"/>
        <w:keepLines w:val="0"/>
        <w:pageBreakBefore w:val="0"/>
        <w:widowControl w:val="0"/>
        <w:kinsoku/>
        <w:wordWrap/>
        <w:overflowPunct/>
        <w:topLinePunct w:val="0"/>
        <w:autoSpaceDE/>
        <w:autoSpaceDN/>
        <w:bidi w:val="0"/>
        <w:adjustRightInd/>
        <w:snapToGrid/>
        <w:spacing w:before="100" w:line="240" w:lineRule="exact"/>
        <w:jc w:val="left"/>
        <w:textAlignment w:val="auto"/>
        <w:rPr>
          <w:rFonts w:ascii="宋体" w:hAnsi="宋体" w:eastAsia="宋体" w:cs="宋体"/>
          <w:sz w:val="21"/>
          <w:szCs w:val="21"/>
        </w:rPr>
      </w:pPr>
      <w:r>
        <w:rPr>
          <w:rFonts w:ascii="宋体" w:hAnsi="宋体" w:eastAsia="宋体" w:cs="宋体"/>
          <w:sz w:val="21"/>
          <w:szCs w:val="21"/>
        </w:rPr>
        <w:t>公司报告期内董事、监事和高级管理人员报酬情况</w:t>
      </w:r>
    </w:p>
    <w:p>
      <w:pPr>
        <w:keepNext w:val="0"/>
        <w:keepLines w:val="0"/>
        <w:pageBreakBefore w:val="0"/>
        <w:widowControl w:val="0"/>
        <w:kinsoku/>
        <w:wordWrap/>
        <w:overflowPunct/>
        <w:topLinePunct w:val="0"/>
        <w:autoSpaceDE/>
        <w:autoSpaceDN/>
        <w:bidi w:val="0"/>
        <w:adjustRightInd/>
        <w:snapToGrid/>
        <w:spacing w:line="240" w:lineRule="exact"/>
        <w:jc w:val="right"/>
        <w:textAlignment w:val="auto"/>
        <w:rPr>
          <w:rFonts w:ascii="宋体" w:hAnsi="宋体" w:eastAsia="宋体" w:cs="宋体"/>
          <w:sz w:val="18"/>
          <w:szCs w:val="18"/>
        </w:rPr>
      </w:pPr>
      <w:r>
        <w:rPr>
          <w:rFonts w:ascii="宋体" w:hAnsi="宋体" w:eastAsia="宋体" w:cs="宋体"/>
          <w:sz w:val="18"/>
          <w:szCs w:val="18"/>
        </w:rPr>
        <w:t>单位：万元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姓名</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性别</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年龄</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职务</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任职状态</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从公司获得的税前报酬总额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是否在公司关联方获取报酬</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bookmarkStart w:id="77" w:name="OLE_LINK15" w:colFirst="5" w:colLast="5"/>
            <w:r>
              <w:rPr>
                <w:rFonts w:ascii="宋体" w:hAnsi="宋体" w:eastAsia="宋体" w:cs="宋体"/>
                <w:sz w:val="18"/>
                <w:szCs w:val="18"/>
              </w:rPr>
              <w:t>戴志利</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男</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39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董事长</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现任</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姜锋</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男</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60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董事</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现任</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冯志荣</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男</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56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董事、总裁</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现任</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82.41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刘咏</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男</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52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董事</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现任</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蒋建湘</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男</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51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董事、常务副总裁</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现任</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62.28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李寒波</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男</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41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董事</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现任</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肖加余</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男</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69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独立董事</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现任</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周兰</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女</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53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独立董事</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现任</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潘传平</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男</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58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独立董事</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现任</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王鶄武</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男</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40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监事会主席</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现任</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曾毅</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男</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42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监事</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现任</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左劲旅</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男</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56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职工监事</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现任</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60.6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曾光辉</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男</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44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副总裁、董事会秘书</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现任</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61.94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何国新</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男</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58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副总裁</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现任</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62.2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严琦</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女</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52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财务总监</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现任</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63.32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贺柳</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男</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55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董事长</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历任</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416.75</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r>
      <w:bookmarkEnd w:id="77"/>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其他情况说明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320" w:lineRule="exact"/>
        <w:jc w:val="left"/>
        <w:outlineLvl w:val="1"/>
        <w:rPr>
          <w:rFonts w:ascii="宋体" w:hAnsi="宋体" w:eastAsia="宋体" w:cs="宋体"/>
          <w:b/>
          <w:bCs/>
          <w:sz w:val="24"/>
          <w:szCs w:val="24"/>
        </w:rPr>
      </w:pPr>
      <w:bookmarkStart w:id="78" w:name="_Toc988956"/>
      <w:r>
        <w:rPr>
          <w:rFonts w:ascii="宋体" w:hAnsi="宋体" w:eastAsia="宋体" w:cs="宋体"/>
          <w:b/>
          <w:bCs/>
          <w:sz w:val="24"/>
          <w:szCs w:val="24"/>
        </w:rPr>
        <w:t>六、报告期内董事履行职责的情况</w:t>
      </w:r>
      <w:bookmarkEnd w:id="78"/>
    </w:p>
    <w:p>
      <w:pPr>
        <w:keepNext/>
        <w:keepLines/>
        <w:pageBreakBefore w:val="0"/>
        <w:widowControl w:val="0"/>
        <w:kinsoku/>
        <w:wordWrap/>
        <w:overflowPunct/>
        <w:topLinePunct w:val="0"/>
        <w:autoSpaceDE/>
        <w:autoSpaceDN/>
        <w:bidi w:val="0"/>
        <w:adjustRightInd/>
        <w:snapToGrid/>
        <w:spacing w:before="300" w:after="60" w:line="280" w:lineRule="exact"/>
        <w:jc w:val="left"/>
        <w:textAlignment w:val="auto"/>
        <w:outlineLvl w:val="2"/>
        <w:rPr>
          <w:rFonts w:ascii="宋体" w:hAnsi="宋体" w:eastAsia="宋体" w:cs="宋体"/>
          <w:b/>
          <w:bCs/>
          <w:sz w:val="21"/>
          <w:szCs w:val="21"/>
        </w:rPr>
      </w:pPr>
      <w:bookmarkStart w:id="79" w:name="_Toc988957"/>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一</w:t>
      </w:r>
      <w:r>
        <w:rPr>
          <w:rFonts w:hint="eastAsia" w:ascii="宋体" w:hAnsi="宋体" w:eastAsia="宋体" w:cs="宋体"/>
          <w:b/>
          <w:bCs/>
          <w:sz w:val="21"/>
          <w:szCs w:val="21"/>
          <w:lang w:eastAsia="zh-CN"/>
        </w:rPr>
        <w:t>）</w:t>
      </w:r>
      <w:r>
        <w:rPr>
          <w:rFonts w:ascii="宋体" w:hAnsi="宋体" w:eastAsia="宋体" w:cs="宋体"/>
          <w:b/>
          <w:bCs/>
          <w:sz w:val="21"/>
          <w:szCs w:val="21"/>
        </w:rPr>
        <w:t>本报告期董事会情况</w:t>
      </w:r>
      <w:bookmarkEnd w:id="79"/>
    </w:p>
    <w:tbl>
      <w:tblPr>
        <w:tblStyle w:val="5"/>
        <w:tblW w:w="964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1414"/>
        <w:gridCol w:w="1920"/>
        <w:gridCol w:w="389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bookmarkStart w:id="80" w:name="_Toc988958"/>
            <w:r>
              <w:rPr>
                <w:rFonts w:ascii="宋体" w:hAnsi="宋体" w:eastAsia="宋体" w:cs="宋体"/>
                <w:sz w:val="18"/>
                <w:szCs w:val="18"/>
              </w:rPr>
              <w:t>会议届次</w:t>
            </w:r>
          </w:p>
        </w:tc>
        <w:tc>
          <w:tcPr>
            <w:tcW w:w="141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召开日期</w:t>
            </w:r>
          </w:p>
        </w:tc>
        <w:tc>
          <w:tcPr>
            <w:tcW w:w="19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披露日期</w:t>
            </w:r>
          </w:p>
        </w:tc>
        <w:tc>
          <w:tcPr>
            <w:tcW w:w="389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会议决议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06"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第七届董事会第九次会议</w:t>
            </w:r>
          </w:p>
        </w:tc>
        <w:tc>
          <w:tcPr>
            <w:tcW w:w="141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2024年04月01日</w:t>
            </w:r>
          </w:p>
        </w:tc>
        <w:tc>
          <w:tcPr>
            <w:tcW w:w="19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2024年04月03日</w:t>
            </w:r>
          </w:p>
        </w:tc>
        <w:tc>
          <w:tcPr>
            <w:tcW w:w="38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详见刊登于指定媒体和巨潮资讯网上的《湖南博云新材料股份有限公司第七届董事会第九次会议决议公告》（公告编号为2024-003）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第七届董事会第十次会议</w:t>
            </w:r>
          </w:p>
        </w:tc>
        <w:tc>
          <w:tcPr>
            <w:tcW w:w="141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2024年04月29日</w:t>
            </w:r>
          </w:p>
        </w:tc>
        <w:tc>
          <w:tcPr>
            <w:tcW w:w="19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2024年04月30日</w:t>
            </w:r>
          </w:p>
        </w:tc>
        <w:tc>
          <w:tcPr>
            <w:tcW w:w="38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详见刊登于指定媒体和巨潮资讯网上的《湖南博云新材料股份有限公司2024年第一季度报告》（公告编号为2024-014）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第七届董事会第十一次会议</w:t>
            </w:r>
          </w:p>
        </w:tc>
        <w:tc>
          <w:tcPr>
            <w:tcW w:w="141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2024年06月07日</w:t>
            </w:r>
          </w:p>
        </w:tc>
        <w:tc>
          <w:tcPr>
            <w:tcW w:w="19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2024年06月08日</w:t>
            </w:r>
          </w:p>
        </w:tc>
        <w:tc>
          <w:tcPr>
            <w:tcW w:w="38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详见刊登于指定媒体和巨潮资讯网上的《湖南博云新材料股份有限公司第七届董事会第十一次会议决议公告》（公告编号为2024-016）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第七届董事会第十二次会议</w:t>
            </w:r>
          </w:p>
        </w:tc>
        <w:tc>
          <w:tcPr>
            <w:tcW w:w="141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2024年06月11日</w:t>
            </w:r>
          </w:p>
        </w:tc>
        <w:tc>
          <w:tcPr>
            <w:tcW w:w="19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2024年06月12日</w:t>
            </w:r>
          </w:p>
        </w:tc>
        <w:tc>
          <w:tcPr>
            <w:tcW w:w="38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详见刊登于指定媒体和巨潮资讯网上的《湖南博云新材料股份有限公司第七届董事会第十二次会议决议公告》（公告编号为2024-019）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第七届董事会第十三次会议</w:t>
            </w:r>
          </w:p>
        </w:tc>
        <w:tc>
          <w:tcPr>
            <w:tcW w:w="141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2024年08月22日</w:t>
            </w:r>
          </w:p>
        </w:tc>
        <w:tc>
          <w:tcPr>
            <w:tcW w:w="19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2024年08月23日</w:t>
            </w:r>
          </w:p>
        </w:tc>
        <w:tc>
          <w:tcPr>
            <w:tcW w:w="38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详见刊登于指定媒体和巨潮资讯网上的《湖南博云新材料股份有限公司第七届董事会第十三次会议决议公告》（公告编号为2024-028）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第七届董事会第十四次会议</w:t>
            </w:r>
          </w:p>
        </w:tc>
        <w:tc>
          <w:tcPr>
            <w:tcW w:w="141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2024年10月28日</w:t>
            </w:r>
          </w:p>
        </w:tc>
        <w:tc>
          <w:tcPr>
            <w:tcW w:w="19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2024年10月29日</w:t>
            </w:r>
          </w:p>
        </w:tc>
        <w:tc>
          <w:tcPr>
            <w:tcW w:w="38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详见刊登于指定媒体和巨潮资讯网上的《湖南博云新材料股份有限公司2024年第三季度报告》（公告编号为2024-038）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第七届董事会第十五次会议</w:t>
            </w:r>
          </w:p>
        </w:tc>
        <w:tc>
          <w:tcPr>
            <w:tcW w:w="141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2024年12月19日</w:t>
            </w:r>
          </w:p>
        </w:tc>
        <w:tc>
          <w:tcPr>
            <w:tcW w:w="19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2024年12月20日</w:t>
            </w:r>
          </w:p>
        </w:tc>
        <w:tc>
          <w:tcPr>
            <w:tcW w:w="38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详见刊登于指定媒体和巨潮资讯网上的《湖南博云新材料股份有限公司第七届董事会第十五次会议决议公告》（公告编号为2024-040）</w:t>
            </w:r>
          </w:p>
        </w:tc>
      </w:tr>
    </w:tbl>
    <w:p>
      <w:pPr>
        <w:keepNext/>
        <w:keepLines/>
        <w:pageBreakBefore w:val="0"/>
        <w:widowControl w:val="0"/>
        <w:kinsoku/>
        <w:wordWrap/>
        <w:overflowPunct/>
        <w:topLinePunct w:val="0"/>
        <w:autoSpaceDE/>
        <w:autoSpaceDN/>
        <w:bidi w:val="0"/>
        <w:adjustRightInd/>
        <w:snapToGrid/>
        <w:spacing w:before="300" w:after="60" w:line="280" w:lineRule="exact"/>
        <w:jc w:val="left"/>
        <w:textAlignment w:val="auto"/>
        <w:outlineLvl w:val="2"/>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二</w:t>
      </w:r>
      <w:r>
        <w:rPr>
          <w:rFonts w:hint="eastAsia" w:ascii="宋体" w:hAnsi="宋体" w:eastAsia="宋体" w:cs="宋体"/>
          <w:b/>
          <w:bCs/>
          <w:sz w:val="21"/>
          <w:szCs w:val="21"/>
          <w:lang w:eastAsia="zh-CN"/>
        </w:rPr>
        <w:t>）董事出席董事会及股东大会的情况</w:t>
      </w:r>
      <w:bookmarkEnd w:id="80"/>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05"/>
        <w:gridCol w:w="1205"/>
        <w:gridCol w:w="1205"/>
        <w:gridCol w:w="1205"/>
        <w:gridCol w:w="1205"/>
        <w:gridCol w:w="1205"/>
        <w:gridCol w:w="1205"/>
        <w:gridCol w:w="120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8"/>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董事出席董事会及股东大会的情况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董事姓名</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本报告期应参加董事会次数</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现场出席董事会次数</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以通讯方式参加董事会次数</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委托出席董事会次数</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缺席董事会次数</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是否连续两次未亲自参加董事会会议</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出席股东大会次数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贺柳</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7</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1</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6</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否</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姜锋</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7</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7</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否</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冯志荣</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7</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5</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否</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刘咏</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7</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1</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6</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否</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蒋建湘</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7</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5</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否</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李寒波</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7</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1</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6</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否</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肖加余</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7</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1</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6</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否</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周兰</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7</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7</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否</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潘传平</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7</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1</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6</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否</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0</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连续两次未亲自出席董事会的说明</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357"/>
        <w:textAlignment w:val="auto"/>
        <w:rPr>
          <w:rFonts w:hint="eastAsia" w:ascii="宋体" w:hAnsi="宋体" w:eastAsia="宋体" w:cs="宋体"/>
          <w:sz w:val="18"/>
          <w:szCs w:val="18"/>
        </w:rPr>
      </w:pPr>
      <w:r>
        <w:rPr>
          <w:rFonts w:hint="eastAsia" w:ascii="宋体" w:hAnsi="宋体" w:eastAsia="宋体" w:cs="宋体"/>
          <w:sz w:val="18"/>
          <w:szCs w:val="18"/>
        </w:rPr>
        <w:t>无。</w:t>
      </w:r>
    </w:p>
    <w:p>
      <w:pPr>
        <w:keepNext/>
        <w:keepLines/>
        <w:spacing w:before="300" w:after="300" w:line="280" w:lineRule="exact"/>
        <w:jc w:val="left"/>
        <w:outlineLvl w:val="2"/>
        <w:rPr>
          <w:rFonts w:ascii="宋体" w:hAnsi="宋体" w:eastAsia="宋体" w:cs="宋体"/>
          <w:b/>
          <w:bCs/>
          <w:sz w:val="21"/>
          <w:szCs w:val="21"/>
        </w:rPr>
      </w:pPr>
      <w:bookmarkStart w:id="81" w:name="_Toc988959"/>
      <w:r>
        <w:rPr>
          <w:rFonts w:hint="eastAsia" w:ascii="宋体" w:hAnsi="宋体" w:eastAsia="宋体" w:cs="宋体"/>
          <w:b/>
          <w:bCs/>
          <w:sz w:val="21"/>
          <w:szCs w:val="21"/>
          <w:lang w:eastAsia="zh-CN"/>
        </w:rPr>
        <w:t>（三）</w:t>
      </w:r>
      <w:r>
        <w:rPr>
          <w:rFonts w:ascii="宋体" w:hAnsi="宋体" w:eastAsia="宋体" w:cs="宋体"/>
          <w:b/>
          <w:bCs/>
          <w:sz w:val="21"/>
          <w:szCs w:val="21"/>
        </w:rPr>
        <w:t>董事对公司有关事项提出异议的情况</w:t>
      </w:r>
      <w:bookmarkEnd w:id="81"/>
    </w:p>
    <w:p>
      <w:pPr>
        <w:spacing w:before="100" w:after="100" w:line="240" w:lineRule="exact"/>
        <w:jc w:val="left"/>
        <w:rPr>
          <w:rFonts w:ascii="宋体" w:hAnsi="宋体" w:eastAsia="宋体" w:cs="宋体"/>
          <w:sz w:val="18"/>
          <w:szCs w:val="18"/>
        </w:rPr>
      </w:pPr>
      <w:r>
        <w:rPr>
          <w:rFonts w:ascii="宋体" w:hAnsi="宋体" w:eastAsia="宋体" w:cs="宋体"/>
          <w:sz w:val="18"/>
          <w:szCs w:val="18"/>
        </w:rPr>
        <w:t>董事对公司有关事项是否提出异议</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报告期内董事对公司有关事项未提出异议。</w:t>
      </w:r>
    </w:p>
    <w:p>
      <w:pPr>
        <w:keepNext/>
        <w:keepLines/>
        <w:spacing w:before="300" w:after="300" w:line="280" w:lineRule="exact"/>
        <w:jc w:val="left"/>
        <w:outlineLvl w:val="2"/>
        <w:rPr>
          <w:rFonts w:ascii="宋体" w:hAnsi="宋体" w:eastAsia="宋体" w:cs="宋体"/>
          <w:b/>
          <w:bCs/>
          <w:sz w:val="21"/>
          <w:szCs w:val="21"/>
        </w:rPr>
      </w:pPr>
      <w:bookmarkStart w:id="82" w:name="_Toc988960"/>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四</w:t>
      </w:r>
      <w:r>
        <w:rPr>
          <w:rFonts w:hint="eastAsia" w:ascii="宋体" w:hAnsi="宋体" w:eastAsia="宋体" w:cs="宋体"/>
          <w:b/>
          <w:bCs/>
          <w:sz w:val="21"/>
          <w:szCs w:val="21"/>
          <w:lang w:eastAsia="zh-CN"/>
        </w:rPr>
        <w:t>）</w:t>
      </w:r>
      <w:r>
        <w:rPr>
          <w:rFonts w:ascii="宋体" w:hAnsi="宋体" w:eastAsia="宋体" w:cs="宋体"/>
          <w:b/>
          <w:bCs/>
          <w:sz w:val="21"/>
          <w:szCs w:val="21"/>
        </w:rPr>
        <w:t>董事履行职责的其他说明</w:t>
      </w:r>
      <w:bookmarkEnd w:id="82"/>
    </w:p>
    <w:p>
      <w:pPr>
        <w:spacing w:before="100" w:after="100" w:line="240" w:lineRule="exact"/>
        <w:jc w:val="left"/>
        <w:rPr>
          <w:rFonts w:ascii="宋体" w:hAnsi="宋体" w:eastAsia="宋体" w:cs="宋体"/>
          <w:sz w:val="18"/>
          <w:szCs w:val="18"/>
        </w:rPr>
      </w:pPr>
      <w:r>
        <w:rPr>
          <w:rFonts w:ascii="宋体" w:hAnsi="宋体" w:eastAsia="宋体" w:cs="宋体"/>
          <w:sz w:val="18"/>
          <w:szCs w:val="18"/>
        </w:rPr>
        <w:t>董事对公司有关建议是否被采纳</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是 □否</w:t>
      </w:r>
    </w:p>
    <w:p>
      <w:pPr>
        <w:keepNext w:val="0"/>
        <w:keepLines w:val="0"/>
        <w:pageBreakBefore w:val="0"/>
        <w:kinsoku/>
        <w:wordWrap/>
        <w:overflowPunct/>
        <w:topLinePunct w:val="0"/>
        <w:autoSpaceDN/>
        <w:bidi w:val="0"/>
        <w:adjustRightInd/>
        <w:snapToGrid/>
        <w:spacing w:beforeAutospacing="0" w:after="157" w:afterLines="50" w:afterAutospacing="0" w:line="240" w:lineRule="auto"/>
        <w:jc w:val="left"/>
        <w:textAlignment w:val="auto"/>
        <w:rPr>
          <w:rFonts w:ascii="宋体" w:hAnsi="宋体" w:eastAsia="宋体" w:cs="宋体"/>
          <w:sz w:val="18"/>
          <w:szCs w:val="18"/>
        </w:rPr>
      </w:pPr>
      <w:r>
        <w:rPr>
          <w:rFonts w:ascii="宋体" w:hAnsi="宋体" w:eastAsia="宋体" w:cs="宋体"/>
          <w:sz w:val="18"/>
          <w:szCs w:val="18"/>
        </w:rPr>
        <w:t>董事对公司有关建议被采纳或未被采纳的说明</w:t>
      </w: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157" w:afterLines="50" w:afterAutospacing="0" w:line="240" w:lineRule="auto"/>
        <w:ind w:left="0" w:right="0"/>
        <w:textAlignment w:val="auto"/>
        <w:rPr>
          <w:rFonts w:ascii="宋体" w:hAnsi="宋体" w:eastAsia="宋体" w:cs="宋体"/>
          <w:kern w:val="0"/>
          <w:sz w:val="18"/>
          <w:szCs w:val="18"/>
        </w:rPr>
      </w:pPr>
      <w:r>
        <w:rPr>
          <w:rFonts w:hint="eastAsia" w:ascii="宋体" w:hAnsi="宋体" w:eastAsia="宋体" w:cs="宋体"/>
          <w:kern w:val="0"/>
          <w:sz w:val="18"/>
          <w:szCs w:val="18"/>
        </w:rPr>
        <w:t>报告期内董事对公司有关事项未提出异议。</w:t>
      </w:r>
    </w:p>
    <w:p>
      <w:pPr>
        <w:keepNext/>
        <w:keepLines/>
        <w:pageBreakBefore w:val="0"/>
        <w:widowControl w:val="0"/>
        <w:kinsoku/>
        <w:wordWrap/>
        <w:overflowPunct/>
        <w:topLinePunct w:val="0"/>
        <w:autoSpaceDE/>
        <w:autoSpaceDN/>
        <w:bidi w:val="0"/>
        <w:adjustRightInd/>
        <w:snapToGrid/>
        <w:spacing w:before="300" w:after="60" w:line="320" w:lineRule="exact"/>
        <w:jc w:val="left"/>
        <w:textAlignment w:val="auto"/>
        <w:outlineLvl w:val="1"/>
        <w:rPr>
          <w:rFonts w:ascii="宋体" w:hAnsi="宋体" w:eastAsia="宋体" w:cs="宋体"/>
          <w:b/>
          <w:bCs/>
          <w:sz w:val="24"/>
          <w:szCs w:val="24"/>
        </w:rPr>
      </w:pPr>
      <w:bookmarkStart w:id="83" w:name="_Toc988961"/>
      <w:r>
        <w:rPr>
          <w:rFonts w:ascii="宋体" w:hAnsi="宋体" w:eastAsia="宋体" w:cs="宋体"/>
          <w:b/>
          <w:bCs/>
          <w:sz w:val="24"/>
          <w:szCs w:val="24"/>
        </w:rPr>
        <w:t>七、董事会下设专门委员会在报告期内的情况</w:t>
      </w:r>
      <w:bookmarkEnd w:id="83"/>
    </w:p>
    <w:tbl>
      <w:tblPr>
        <w:tblStyle w:val="5"/>
        <w:tblW w:w="964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05"/>
        <w:gridCol w:w="969"/>
        <w:gridCol w:w="773"/>
        <w:gridCol w:w="1140"/>
        <w:gridCol w:w="2740"/>
        <w:gridCol w:w="1062"/>
        <w:gridCol w:w="810"/>
        <w:gridCol w:w="94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bookmarkStart w:id="84" w:name="_Toc988962"/>
            <w:r>
              <w:rPr>
                <w:rFonts w:ascii="宋体" w:hAnsi="宋体" w:eastAsia="宋体" w:cs="宋体"/>
                <w:sz w:val="18"/>
                <w:szCs w:val="18"/>
              </w:rPr>
              <w:t>委员会名称</w:t>
            </w:r>
          </w:p>
        </w:tc>
        <w:tc>
          <w:tcPr>
            <w:tcW w:w="96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成员情况</w:t>
            </w:r>
          </w:p>
        </w:tc>
        <w:tc>
          <w:tcPr>
            <w:tcW w:w="77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召开会议次数</w:t>
            </w:r>
          </w:p>
        </w:tc>
        <w:tc>
          <w:tcPr>
            <w:tcW w:w="114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召开日期</w:t>
            </w:r>
          </w:p>
        </w:tc>
        <w:tc>
          <w:tcPr>
            <w:tcW w:w="274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会议内容</w:t>
            </w:r>
          </w:p>
        </w:tc>
        <w:tc>
          <w:tcPr>
            <w:tcW w:w="106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提出的重要意见和建议</w:t>
            </w:r>
          </w:p>
        </w:tc>
        <w:tc>
          <w:tcPr>
            <w:tcW w:w="8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其他履行职责的情况</w:t>
            </w:r>
          </w:p>
        </w:tc>
        <w:tc>
          <w:tcPr>
            <w:tcW w:w="9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异议事项具体情况（如有）</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vMerge w:val="restart"/>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董事会审计委员会</w:t>
            </w:r>
          </w:p>
        </w:tc>
        <w:tc>
          <w:tcPr>
            <w:tcW w:w="969" w:type="dxa"/>
            <w:vMerge w:val="restart"/>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周兰（主任委员）、姜锋、潘传平</w:t>
            </w:r>
          </w:p>
        </w:tc>
        <w:tc>
          <w:tcPr>
            <w:tcW w:w="773" w:type="dxa"/>
            <w:vMerge w:val="restart"/>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2024年03月20日</w:t>
            </w:r>
          </w:p>
        </w:tc>
        <w:tc>
          <w:tcPr>
            <w:tcW w:w="27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审议《2023年度内审工作报告》、《募集资金2023年度存放及使用情况专项报告》、《2023年度内部控制自我评价报告》、《2023年度计提资产减值准备的议案》、《2023年年度报告及摘要》、《2023年财务决算报告》、《2024年财务预算报告》、《2024年第一季度审计工作计划》、《关于立信会计师事务所（特殊普通合伙）从事2023年度公司审计工作的总结报告》、《关于制订〈会计师事务所选聘制度〉的议案》、《关于续聘会计师事务所的议案》、《会计师事务所2023年度履职情况及审计委员会履行监督职责情况的报告》。</w:t>
            </w:r>
          </w:p>
        </w:tc>
        <w:tc>
          <w:tcPr>
            <w:tcW w:w="106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审议通过所有议案</w:t>
            </w:r>
          </w:p>
        </w:tc>
        <w:tc>
          <w:tcPr>
            <w:tcW w:w="8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9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vMerge w:val="continue"/>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董事会审计委员会</w:t>
            </w:r>
          </w:p>
        </w:tc>
        <w:tc>
          <w:tcPr>
            <w:tcW w:w="969" w:type="dxa"/>
            <w:vMerge w:val="continue"/>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周兰（主任委员）、姜锋、潘传平</w:t>
            </w:r>
          </w:p>
        </w:tc>
        <w:tc>
          <w:tcPr>
            <w:tcW w:w="773" w:type="dxa"/>
            <w:vMerge w:val="continue"/>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2024年04月23日</w:t>
            </w:r>
          </w:p>
        </w:tc>
        <w:tc>
          <w:tcPr>
            <w:tcW w:w="27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审议《2024年第一季度报告》、《2024年第一季度审计工作报告》、《2024年第二季度审计工作计划》、《2024年第一</w:t>
            </w:r>
            <w:r>
              <w:rPr>
                <w:rFonts w:hint="eastAsia" w:ascii="宋体" w:hAnsi="宋体" w:cs="宋体"/>
                <w:sz w:val="18"/>
                <w:szCs w:val="18"/>
                <w:lang w:eastAsia="zh-CN"/>
              </w:rPr>
              <w:t>季</w:t>
            </w:r>
            <w:r>
              <w:rPr>
                <w:rFonts w:ascii="宋体" w:hAnsi="宋体" w:eastAsia="宋体" w:cs="宋体"/>
                <w:sz w:val="18"/>
                <w:szCs w:val="18"/>
              </w:rPr>
              <w:t>度募集资金存放及使用情况的专项报告》。</w:t>
            </w:r>
          </w:p>
        </w:tc>
        <w:tc>
          <w:tcPr>
            <w:tcW w:w="106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审议通过所有议案</w:t>
            </w:r>
          </w:p>
        </w:tc>
        <w:tc>
          <w:tcPr>
            <w:tcW w:w="8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9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vMerge w:val="continue"/>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董事会审计委员会</w:t>
            </w:r>
          </w:p>
        </w:tc>
        <w:tc>
          <w:tcPr>
            <w:tcW w:w="969" w:type="dxa"/>
            <w:vMerge w:val="continue"/>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周兰（主任委员）、姜锋、潘传平</w:t>
            </w:r>
          </w:p>
        </w:tc>
        <w:tc>
          <w:tcPr>
            <w:tcW w:w="773" w:type="dxa"/>
            <w:vMerge w:val="continue"/>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2024年08月09日</w:t>
            </w:r>
          </w:p>
        </w:tc>
        <w:tc>
          <w:tcPr>
            <w:tcW w:w="27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审议《2024年半年度报告》、《2024年第二季度审计工作报告》、《2024年第三季度审计工作计划》、《2024年半年度募集资金存放与使用情况的专项报告》。</w:t>
            </w:r>
          </w:p>
        </w:tc>
        <w:tc>
          <w:tcPr>
            <w:tcW w:w="106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审议通过所有议案</w:t>
            </w:r>
          </w:p>
        </w:tc>
        <w:tc>
          <w:tcPr>
            <w:tcW w:w="8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9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vMerge w:val="continue"/>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董事会审计委员会</w:t>
            </w:r>
          </w:p>
        </w:tc>
        <w:tc>
          <w:tcPr>
            <w:tcW w:w="969" w:type="dxa"/>
            <w:vMerge w:val="continue"/>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周兰（主任委员）、姜锋、潘传平</w:t>
            </w:r>
          </w:p>
        </w:tc>
        <w:tc>
          <w:tcPr>
            <w:tcW w:w="773" w:type="dxa"/>
            <w:vMerge w:val="continue"/>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2024年10月23日</w:t>
            </w:r>
          </w:p>
        </w:tc>
        <w:tc>
          <w:tcPr>
            <w:tcW w:w="27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审议《2024年第三季度报告》、《2024年第三季度审计工作报告》、《2024年第四季度审计工作计划》、《2024年第三季度募集资金存放及使用情况的专项报告》。</w:t>
            </w:r>
          </w:p>
        </w:tc>
        <w:tc>
          <w:tcPr>
            <w:tcW w:w="106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审议通过所有议案</w:t>
            </w:r>
          </w:p>
        </w:tc>
        <w:tc>
          <w:tcPr>
            <w:tcW w:w="8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9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董事会提名委员会</w:t>
            </w:r>
          </w:p>
        </w:tc>
        <w:tc>
          <w:tcPr>
            <w:tcW w:w="96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肖加余（主任委员）、贺柳、潘传平</w:t>
            </w:r>
          </w:p>
        </w:tc>
        <w:tc>
          <w:tcPr>
            <w:tcW w:w="77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2024年12月16日</w:t>
            </w:r>
          </w:p>
        </w:tc>
        <w:tc>
          <w:tcPr>
            <w:tcW w:w="27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审议《关于变更董事的议案》</w:t>
            </w:r>
          </w:p>
        </w:tc>
        <w:tc>
          <w:tcPr>
            <w:tcW w:w="106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同意提名戴志利先生为公司第七届董事会非独立董事候选人。</w:t>
            </w:r>
          </w:p>
        </w:tc>
        <w:tc>
          <w:tcPr>
            <w:tcW w:w="8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9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董事会薪酬与考核委员会</w:t>
            </w:r>
          </w:p>
        </w:tc>
        <w:tc>
          <w:tcPr>
            <w:tcW w:w="96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潘传平（主任委员）、蒋建湘、周兰</w:t>
            </w:r>
          </w:p>
        </w:tc>
        <w:tc>
          <w:tcPr>
            <w:tcW w:w="77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2024年03月20日</w:t>
            </w:r>
          </w:p>
        </w:tc>
        <w:tc>
          <w:tcPr>
            <w:tcW w:w="27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审议《关于董事、高级管理人员2023年度履职情况综合评议报告》、《关于确认高级管理人员2023年度业绩考核结果及年度薪酬的议案》、《关于调整独立董事津贴的议案》。</w:t>
            </w:r>
          </w:p>
        </w:tc>
        <w:tc>
          <w:tcPr>
            <w:tcW w:w="106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审议通过所有议案</w:t>
            </w:r>
          </w:p>
        </w:tc>
        <w:tc>
          <w:tcPr>
            <w:tcW w:w="8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9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战略委员会</w:t>
            </w:r>
          </w:p>
        </w:tc>
        <w:tc>
          <w:tcPr>
            <w:tcW w:w="96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贺柳（主任委员）、肖加余、冯志荣</w:t>
            </w:r>
          </w:p>
        </w:tc>
        <w:tc>
          <w:tcPr>
            <w:tcW w:w="77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2024年06月09日</w:t>
            </w:r>
          </w:p>
        </w:tc>
        <w:tc>
          <w:tcPr>
            <w:tcW w:w="27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审议《关于与控股股东和兴湘资本签署《代为培育协议》暨关联交易的议案》</w:t>
            </w:r>
          </w:p>
        </w:tc>
        <w:tc>
          <w:tcPr>
            <w:tcW w:w="106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同意公司与控股股东粉冶中心及湖南兴湘资本管理有限公司签署《代为培育协议》。</w:t>
            </w:r>
          </w:p>
        </w:tc>
        <w:tc>
          <w:tcPr>
            <w:tcW w:w="8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9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bl>
    <w:p>
      <w:pPr>
        <w:keepNext/>
        <w:keepLines/>
        <w:spacing w:before="300" w:after="300" w:line="320" w:lineRule="exact"/>
        <w:jc w:val="left"/>
        <w:outlineLvl w:val="1"/>
        <w:rPr>
          <w:rFonts w:ascii="宋体" w:hAnsi="宋体" w:eastAsia="宋体" w:cs="宋体"/>
          <w:b/>
          <w:bCs/>
          <w:sz w:val="24"/>
          <w:szCs w:val="24"/>
        </w:rPr>
      </w:pPr>
      <w:r>
        <w:rPr>
          <w:rFonts w:ascii="宋体" w:hAnsi="宋体" w:eastAsia="宋体" w:cs="宋体"/>
          <w:b/>
          <w:bCs/>
          <w:sz w:val="24"/>
          <w:szCs w:val="24"/>
        </w:rPr>
        <w:t>八、监事会工作情况</w:t>
      </w:r>
      <w:bookmarkEnd w:id="84"/>
    </w:p>
    <w:p>
      <w:pPr>
        <w:spacing w:before="100" w:after="100" w:line="240" w:lineRule="exact"/>
        <w:jc w:val="left"/>
        <w:rPr>
          <w:rFonts w:ascii="宋体" w:hAnsi="宋体" w:eastAsia="宋体" w:cs="宋体"/>
          <w:sz w:val="18"/>
          <w:szCs w:val="18"/>
        </w:rPr>
      </w:pPr>
      <w:r>
        <w:rPr>
          <w:rFonts w:ascii="宋体" w:hAnsi="宋体" w:eastAsia="宋体" w:cs="宋体"/>
          <w:sz w:val="18"/>
          <w:szCs w:val="18"/>
        </w:rPr>
        <w:t>监事会在报告期内的监督活动中发现公司是否存在风险</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监事会对报告期内的监督事项无异议。</w:t>
      </w:r>
    </w:p>
    <w:p>
      <w:pPr>
        <w:keepNext/>
        <w:keepLines/>
        <w:spacing w:before="300" w:after="300" w:line="320" w:lineRule="exact"/>
        <w:jc w:val="left"/>
        <w:outlineLvl w:val="1"/>
        <w:rPr>
          <w:rFonts w:ascii="宋体" w:hAnsi="宋体" w:eastAsia="宋体" w:cs="宋体"/>
          <w:b/>
          <w:bCs/>
          <w:sz w:val="24"/>
          <w:szCs w:val="24"/>
        </w:rPr>
      </w:pPr>
      <w:bookmarkStart w:id="85" w:name="_Toc988963"/>
      <w:r>
        <w:rPr>
          <w:rFonts w:ascii="宋体" w:hAnsi="宋体" w:eastAsia="宋体" w:cs="宋体"/>
          <w:b/>
          <w:bCs/>
          <w:sz w:val="24"/>
          <w:szCs w:val="24"/>
        </w:rPr>
        <w:t>九、公司员工情况</w:t>
      </w:r>
      <w:bookmarkEnd w:id="85"/>
    </w:p>
    <w:p>
      <w:pPr>
        <w:keepNext/>
        <w:keepLines/>
        <w:pageBreakBefore w:val="0"/>
        <w:widowControl w:val="0"/>
        <w:kinsoku/>
        <w:wordWrap/>
        <w:overflowPunct/>
        <w:topLinePunct w:val="0"/>
        <w:autoSpaceDE/>
        <w:autoSpaceDN/>
        <w:bidi w:val="0"/>
        <w:adjustRightInd/>
        <w:snapToGrid/>
        <w:spacing w:before="300" w:after="60" w:line="280" w:lineRule="exact"/>
        <w:jc w:val="left"/>
        <w:textAlignment w:val="auto"/>
        <w:outlineLvl w:val="2"/>
        <w:rPr>
          <w:rFonts w:ascii="宋体" w:hAnsi="宋体" w:eastAsia="宋体" w:cs="宋体"/>
          <w:b/>
          <w:bCs/>
          <w:sz w:val="21"/>
          <w:szCs w:val="21"/>
        </w:rPr>
      </w:pPr>
      <w:bookmarkStart w:id="86" w:name="_Toc988964"/>
      <w:bookmarkStart w:id="87" w:name="_Toc988968"/>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一</w:t>
      </w:r>
      <w:r>
        <w:rPr>
          <w:rFonts w:hint="eastAsia" w:ascii="宋体" w:hAnsi="宋体" w:eastAsia="宋体" w:cs="宋体"/>
          <w:b/>
          <w:bCs/>
          <w:sz w:val="21"/>
          <w:szCs w:val="21"/>
          <w:lang w:eastAsia="zh-CN"/>
        </w:rPr>
        <w:t>）</w:t>
      </w:r>
      <w:r>
        <w:rPr>
          <w:rFonts w:ascii="宋体" w:hAnsi="宋体" w:eastAsia="宋体" w:cs="宋体"/>
          <w:b/>
          <w:bCs/>
          <w:sz w:val="21"/>
          <w:szCs w:val="21"/>
        </w:rPr>
        <w:t>员工数量、专业构成及教育程度</w:t>
      </w:r>
      <w:bookmarkEnd w:id="86"/>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报告期末母公司在职员工的数量（人）</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254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报告期末主要子公司在职员工的数量（人）</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601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报告期末在职员工的数量合计（人）</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855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当期领取薪酬员工总人数（人）</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855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母公司及主要子公司需承担费用的离退休职工人数（人）</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专业构成</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专业构成类别</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专业构成人数（人）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生产人员</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397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销售人员</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技术人员</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174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财务人员</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行政人员</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855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教育程度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教育程度类别</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数量（人）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博士以上</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硕士学历</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84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本科学历</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269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专科及以下学历</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497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855</w:t>
            </w:r>
          </w:p>
        </w:tc>
      </w:tr>
    </w:tbl>
    <w:p>
      <w:pPr>
        <w:keepNext/>
        <w:keepLines/>
        <w:spacing w:before="300" w:after="300" w:line="280" w:lineRule="exact"/>
        <w:jc w:val="left"/>
        <w:outlineLvl w:val="2"/>
        <w:rPr>
          <w:rFonts w:ascii="宋体" w:hAnsi="宋体" w:eastAsia="宋体" w:cs="宋体"/>
          <w:b/>
          <w:bCs/>
          <w:sz w:val="21"/>
          <w:szCs w:val="21"/>
        </w:rPr>
      </w:pPr>
      <w:bookmarkStart w:id="88" w:name="_Toc988965"/>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二</w:t>
      </w:r>
      <w:r>
        <w:rPr>
          <w:rFonts w:hint="eastAsia" w:ascii="宋体" w:hAnsi="宋体" w:eastAsia="宋体" w:cs="宋体"/>
          <w:b/>
          <w:bCs/>
          <w:sz w:val="21"/>
          <w:szCs w:val="21"/>
          <w:lang w:eastAsia="zh-CN"/>
        </w:rPr>
        <w:t>）</w:t>
      </w:r>
      <w:r>
        <w:rPr>
          <w:rFonts w:ascii="宋体" w:hAnsi="宋体" w:eastAsia="宋体" w:cs="宋体"/>
          <w:b/>
          <w:bCs/>
          <w:sz w:val="21"/>
          <w:szCs w:val="21"/>
        </w:rPr>
        <w:t>薪酬政策</w:t>
      </w:r>
      <w:bookmarkEnd w:id="88"/>
    </w:p>
    <w:p>
      <w:pPr>
        <w:pStyle w:val="4"/>
        <w:keepNext w:val="0"/>
        <w:keepLines w:val="0"/>
        <w:widowControl/>
        <w:suppressLineNumbers w:val="0"/>
        <w:spacing w:before="0" w:beforeAutospacing="0" w:after="0" w:afterAutospacing="0"/>
        <w:ind w:left="0" w:right="0"/>
        <w:jc w:val="both"/>
        <w:rPr>
          <w:rFonts w:ascii="Calibri" w:hAnsi="Calibri" w:cs="Calibri"/>
          <w:sz w:val="21"/>
          <w:szCs w:val="21"/>
        </w:rPr>
      </w:pPr>
      <w:r>
        <w:rPr>
          <w:rFonts w:hint="eastAsia" w:ascii="宋体" w:hAnsi="宋体" w:eastAsia="宋体" w:cs="宋体"/>
          <w:sz w:val="21"/>
          <w:szCs w:val="21"/>
        </w:rPr>
        <w:t>  公司结合自身实际情况，制订了与公司发展战略相一致的合理的薪酬分配政策，实行“统一制度、分级实施”的管理方式。公司员工工资主要由岗位工资、绩效工资、福利等构成。根据公司年度经营计划和经营任务指标，进行综合绩效考核，确定员工的年度薪酬分配，使员工获得与贡献相匹配的薪酬收入。</w:t>
      </w:r>
    </w:p>
    <w:p>
      <w:pPr>
        <w:keepNext/>
        <w:keepLines/>
        <w:spacing w:before="300" w:after="300" w:line="280" w:lineRule="exact"/>
        <w:jc w:val="left"/>
        <w:outlineLvl w:val="2"/>
        <w:rPr>
          <w:rFonts w:ascii="宋体" w:hAnsi="宋体" w:eastAsia="宋体" w:cs="宋体"/>
          <w:b/>
          <w:bCs/>
          <w:sz w:val="21"/>
          <w:szCs w:val="21"/>
        </w:rPr>
      </w:pPr>
      <w:bookmarkStart w:id="89" w:name="_Toc988966"/>
      <w:r>
        <w:rPr>
          <w:rFonts w:hint="eastAsia" w:ascii="宋体" w:hAnsi="宋体" w:eastAsia="宋体" w:cs="宋体"/>
          <w:b/>
          <w:bCs/>
          <w:sz w:val="21"/>
          <w:szCs w:val="21"/>
          <w:lang w:eastAsia="zh-CN"/>
        </w:rPr>
        <w:t>（三）</w:t>
      </w:r>
      <w:r>
        <w:rPr>
          <w:rFonts w:ascii="宋体" w:hAnsi="宋体" w:eastAsia="宋体" w:cs="宋体"/>
          <w:b/>
          <w:bCs/>
          <w:sz w:val="21"/>
          <w:szCs w:val="21"/>
        </w:rPr>
        <w:t>培训计划</w:t>
      </w:r>
      <w:bookmarkEnd w:id="89"/>
    </w:p>
    <w:p>
      <w:pPr>
        <w:pStyle w:val="4"/>
        <w:keepNext w:val="0"/>
        <w:keepLines w:val="0"/>
        <w:widowControl/>
        <w:suppressLineNumbers w:val="0"/>
        <w:spacing w:before="0" w:beforeAutospacing="0" w:after="0" w:afterAutospacing="0" w:line="360" w:lineRule="atLeast"/>
        <w:ind w:left="0" w:right="0" w:firstLine="420"/>
        <w:jc w:val="left"/>
        <w:rPr>
          <w:rFonts w:ascii="Calibri" w:hAnsi="Calibri" w:cs="Calibri"/>
          <w:sz w:val="21"/>
          <w:szCs w:val="21"/>
        </w:rPr>
      </w:pPr>
      <w:r>
        <w:rPr>
          <w:rFonts w:hint="eastAsia" w:ascii="宋体" w:hAnsi="宋体" w:eastAsia="宋体" w:cs="宋体"/>
          <w:sz w:val="21"/>
          <w:szCs w:val="21"/>
        </w:rPr>
        <w:t>公司重视员工培训工作，为提高员工素质、增强专业知识和操作技能，公司每年由人力资源部制定相关培训计划并组织实施。针对各项培训，予以考核评价，并将培训评价结果纳入员工培训档案。通过实施人力资源规划，为员工职业发展提供良好的发展平台。</w:t>
      </w:r>
    </w:p>
    <w:p>
      <w:pPr>
        <w:keepNext/>
        <w:keepLines/>
        <w:spacing w:before="300" w:after="300" w:line="280" w:lineRule="exact"/>
        <w:jc w:val="left"/>
        <w:outlineLvl w:val="2"/>
        <w:rPr>
          <w:rFonts w:ascii="宋体" w:hAnsi="宋体" w:eastAsia="宋体" w:cs="宋体"/>
          <w:b/>
          <w:bCs/>
          <w:sz w:val="21"/>
          <w:szCs w:val="21"/>
        </w:rPr>
      </w:pPr>
      <w:bookmarkStart w:id="90" w:name="_Toc988967"/>
      <w:r>
        <w:rPr>
          <w:rFonts w:hint="eastAsia" w:ascii="宋体" w:hAnsi="宋体" w:eastAsia="宋体" w:cs="宋体"/>
          <w:b/>
          <w:bCs/>
          <w:sz w:val="21"/>
          <w:szCs w:val="21"/>
          <w:lang w:eastAsia="zh-CN"/>
        </w:rPr>
        <w:t>（四）</w:t>
      </w:r>
      <w:r>
        <w:rPr>
          <w:rFonts w:ascii="宋体" w:hAnsi="宋体" w:eastAsia="宋体" w:cs="宋体"/>
          <w:b/>
          <w:bCs/>
          <w:sz w:val="21"/>
          <w:szCs w:val="21"/>
        </w:rPr>
        <w:t>劳务外包情况</w:t>
      </w:r>
      <w:bookmarkEnd w:id="90"/>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320" w:lineRule="exact"/>
        <w:jc w:val="left"/>
        <w:outlineLvl w:val="1"/>
        <w:rPr>
          <w:rFonts w:ascii="宋体" w:hAnsi="宋体" w:eastAsia="宋体" w:cs="宋体"/>
          <w:b/>
          <w:bCs/>
          <w:sz w:val="24"/>
          <w:szCs w:val="24"/>
        </w:rPr>
      </w:pPr>
      <w:r>
        <w:rPr>
          <w:rFonts w:ascii="宋体" w:hAnsi="宋体" w:eastAsia="宋体" w:cs="宋体"/>
          <w:b/>
          <w:bCs/>
          <w:sz w:val="24"/>
          <w:szCs w:val="24"/>
        </w:rPr>
        <w:t>十、公司利润分配及资本公积金转增股本情况</w:t>
      </w:r>
      <w:bookmarkEnd w:id="87"/>
    </w:p>
    <w:p>
      <w:pPr>
        <w:spacing w:before="40" w:after="40" w:line="240" w:lineRule="exact"/>
        <w:jc w:val="left"/>
        <w:rPr>
          <w:rFonts w:ascii="宋体" w:hAnsi="宋体" w:eastAsia="宋体" w:cs="宋体"/>
          <w:sz w:val="18"/>
          <w:szCs w:val="18"/>
        </w:rPr>
      </w:pPr>
      <w:r>
        <w:rPr>
          <w:rFonts w:ascii="宋体" w:hAnsi="宋体" w:eastAsia="宋体" w:cs="宋体"/>
          <w:sz w:val="18"/>
          <w:szCs w:val="18"/>
        </w:rPr>
        <w:t>报告期内利润分配政策，特别是现金分红政策的制定、执行或调整情况</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公司报告期内盈利且母公司可供股东分配利润为正但未提出现金红利分配预案</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本报告期利润分配及资本公积金转增股本情况</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公司计划年度不派发现金红利，不送红股，不以公积金转增股本。</w:t>
      </w:r>
    </w:p>
    <w:p>
      <w:pPr>
        <w:keepNext/>
        <w:keepLines/>
        <w:spacing w:before="300" w:after="300" w:line="320" w:lineRule="exact"/>
        <w:jc w:val="left"/>
        <w:outlineLvl w:val="1"/>
        <w:rPr>
          <w:rFonts w:ascii="宋体" w:hAnsi="宋体" w:eastAsia="宋体" w:cs="宋体"/>
          <w:b/>
          <w:bCs/>
          <w:sz w:val="24"/>
          <w:szCs w:val="24"/>
        </w:rPr>
      </w:pPr>
      <w:bookmarkStart w:id="91" w:name="_Toc988969"/>
      <w:r>
        <w:rPr>
          <w:rFonts w:ascii="宋体" w:hAnsi="宋体" w:eastAsia="宋体" w:cs="宋体"/>
          <w:b/>
          <w:bCs/>
          <w:sz w:val="24"/>
          <w:szCs w:val="24"/>
        </w:rPr>
        <w:t>十一、公司股权激励计划、员工持股计划或其他员工激励措施的实施情况</w:t>
      </w:r>
      <w:bookmarkEnd w:id="91"/>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公司报告期无股权激励计划、员工持股计划或其他员工激励措施及其实施情况。</w:t>
      </w:r>
    </w:p>
    <w:p>
      <w:pPr>
        <w:keepNext/>
        <w:keepLines/>
        <w:spacing w:before="300" w:after="300" w:line="320" w:lineRule="exact"/>
        <w:jc w:val="left"/>
        <w:outlineLvl w:val="1"/>
        <w:rPr>
          <w:rFonts w:ascii="宋体" w:hAnsi="宋体" w:eastAsia="宋体" w:cs="宋体"/>
          <w:b/>
          <w:bCs/>
          <w:sz w:val="24"/>
          <w:szCs w:val="24"/>
        </w:rPr>
      </w:pPr>
      <w:bookmarkStart w:id="92" w:name="_Toc988970"/>
      <w:r>
        <w:rPr>
          <w:rFonts w:ascii="宋体" w:hAnsi="宋体" w:eastAsia="宋体" w:cs="宋体"/>
          <w:b/>
          <w:bCs/>
          <w:sz w:val="24"/>
          <w:szCs w:val="24"/>
        </w:rPr>
        <w:t>十二、报告期内的内部控制制度建设及实施情况</w:t>
      </w:r>
      <w:bookmarkEnd w:id="92"/>
    </w:p>
    <w:p>
      <w:pPr>
        <w:keepNext/>
        <w:keepLines/>
        <w:spacing w:before="300" w:after="300" w:line="280" w:lineRule="exact"/>
        <w:jc w:val="left"/>
        <w:outlineLvl w:val="2"/>
        <w:rPr>
          <w:rFonts w:ascii="宋体" w:hAnsi="宋体" w:eastAsia="宋体" w:cs="宋体"/>
          <w:b/>
          <w:bCs/>
          <w:sz w:val="21"/>
          <w:szCs w:val="21"/>
        </w:rPr>
      </w:pPr>
      <w:bookmarkStart w:id="93" w:name="_Toc988971"/>
      <w:bookmarkStart w:id="94" w:name="_Toc988973"/>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一</w:t>
      </w:r>
      <w:r>
        <w:rPr>
          <w:rFonts w:hint="eastAsia" w:ascii="宋体" w:hAnsi="宋体" w:eastAsia="宋体" w:cs="宋体"/>
          <w:b/>
          <w:bCs/>
          <w:sz w:val="21"/>
          <w:szCs w:val="21"/>
          <w:lang w:eastAsia="zh-CN"/>
        </w:rPr>
        <w:t>）</w:t>
      </w:r>
      <w:r>
        <w:rPr>
          <w:rFonts w:ascii="宋体" w:hAnsi="宋体" w:eastAsia="宋体" w:cs="宋体"/>
          <w:b/>
          <w:bCs/>
          <w:sz w:val="21"/>
          <w:szCs w:val="21"/>
        </w:rPr>
        <w:t>内部控制建设及实施情况</w:t>
      </w:r>
      <w:bookmarkEnd w:id="93"/>
    </w:p>
    <w:p>
      <w:pPr>
        <w:pStyle w:val="4"/>
        <w:keepNext w:val="0"/>
        <w:keepLines w:val="0"/>
        <w:widowControl/>
        <w:suppressLineNumbers w:val="0"/>
        <w:spacing w:before="100" w:beforeAutospacing="0" w:after="10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sz w:val="21"/>
          <w:szCs w:val="21"/>
        </w:rPr>
        <w:t xml:space="preserve">公司实行不相容职务分离控制、授权审批控制，重点关注采购与成本控制、销售与信用风险环节、生产管理环节、财务管理、资产管理以及资金管理等重点环节 和关键领域的控制情况。为合理保证各项控制目标的实现，公司建立了相关控制程序，保证管理层的指令得以有效执行。公司已按《公司法》《会计法》《企业会计准则》等法律法规及其补充规定的要求制定了适合公司的财务制度、业务管理制度，设置独立的机构与部门，并明确制订了财务与业务活动处理程序。公司目前已制定并执行的制度包括：重大信息内部报告制度、重大投资及财务决策制度、投资者关系管理制度、对外担保制度、控股子公司管理办法、关联交易管理办法、投资管理实施办法、薪酬管理制度、员工绩效考核办法、高级管理人员薪酬激励与业绩考核管理办法、科研项目管理办法、预算管理办法、固定资产管理制度、财产清查制度、会计监督制度、风险管理制度、信用风险管理制度、募集资金管理办法等。这些制度为规范公司经营管理、确保公司财务会计数据准确，防止舞弊和经营管理漏洞提供了有力保证。 </w:t>
      </w:r>
    </w:p>
    <w:p>
      <w:pPr>
        <w:pStyle w:val="4"/>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sz w:val="21"/>
          <w:szCs w:val="21"/>
        </w:rPr>
        <w:t>为合理保证各项目标的实现，公司建立了相关的监督、控制程序，主要包括：采购管理办法、采购监督管理办法、资金管理办法、担保控制管理办法、收入核算管理办法、存货管理办法、集团内部对公借款管理办法、会计基础工作规范、对内担保控制管理办法、募集资金使用实施细则、信用风险管理实施细则、合同管理办法、招标管理办法、固定资产管理办法等。</w:t>
      </w:r>
    </w:p>
    <w:p>
      <w:pPr>
        <w:keepNext/>
        <w:keepLines/>
        <w:spacing w:before="300" w:after="300" w:line="280" w:lineRule="exact"/>
        <w:jc w:val="left"/>
        <w:outlineLvl w:val="2"/>
        <w:rPr>
          <w:rFonts w:ascii="宋体" w:hAnsi="宋体" w:eastAsia="宋体" w:cs="宋体"/>
          <w:b/>
          <w:bCs/>
          <w:sz w:val="21"/>
          <w:szCs w:val="21"/>
        </w:rPr>
      </w:pPr>
      <w:bookmarkStart w:id="95" w:name="_Toc988972"/>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二</w:t>
      </w:r>
      <w:r>
        <w:rPr>
          <w:rFonts w:hint="eastAsia" w:ascii="宋体" w:hAnsi="宋体" w:eastAsia="宋体" w:cs="宋体"/>
          <w:b/>
          <w:bCs/>
          <w:sz w:val="21"/>
          <w:szCs w:val="21"/>
          <w:lang w:eastAsia="zh-CN"/>
        </w:rPr>
        <w:t>）</w:t>
      </w:r>
      <w:r>
        <w:rPr>
          <w:rFonts w:ascii="宋体" w:hAnsi="宋体" w:eastAsia="宋体" w:cs="宋体"/>
          <w:b/>
          <w:bCs/>
          <w:sz w:val="21"/>
          <w:szCs w:val="21"/>
        </w:rPr>
        <w:t>报告期内发现的内部控制重大缺陷的具体情况</w:t>
      </w:r>
      <w:bookmarkEnd w:id="95"/>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pPr>
        <w:keepNext/>
        <w:keepLines/>
        <w:spacing w:before="300" w:after="300" w:line="320" w:lineRule="exact"/>
        <w:jc w:val="left"/>
        <w:outlineLvl w:val="1"/>
        <w:rPr>
          <w:rFonts w:ascii="宋体" w:hAnsi="宋体" w:eastAsia="宋体" w:cs="宋体"/>
          <w:b/>
          <w:bCs/>
          <w:sz w:val="24"/>
          <w:szCs w:val="24"/>
        </w:rPr>
      </w:pPr>
      <w:r>
        <w:rPr>
          <w:rFonts w:ascii="宋体" w:hAnsi="宋体" w:eastAsia="宋体" w:cs="宋体"/>
          <w:b/>
          <w:bCs/>
          <w:sz w:val="24"/>
          <w:szCs w:val="24"/>
        </w:rPr>
        <w:t>十三、公司报告期内对子公司的管理控制情况</w:t>
      </w:r>
      <w:bookmarkEnd w:id="94"/>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公司名称</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整合计划</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整合进展</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整合中遇到的问题</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已采取的解决措施</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解决进展</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后续解决计划</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w:t>
            </w:r>
          </w:p>
        </w:tc>
      </w:tr>
    </w:tbl>
    <w:p>
      <w:pPr>
        <w:keepNext/>
        <w:keepLines/>
        <w:spacing w:before="300" w:after="300" w:line="320" w:lineRule="exact"/>
        <w:jc w:val="left"/>
        <w:outlineLvl w:val="1"/>
        <w:rPr>
          <w:rFonts w:ascii="宋体" w:hAnsi="宋体" w:eastAsia="宋体" w:cs="宋体"/>
          <w:b/>
          <w:bCs/>
          <w:sz w:val="24"/>
          <w:szCs w:val="24"/>
        </w:rPr>
      </w:pPr>
      <w:bookmarkStart w:id="96" w:name="_Toc988974"/>
      <w:r>
        <w:rPr>
          <w:rFonts w:ascii="宋体" w:hAnsi="宋体" w:eastAsia="宋体" w:cs="宋体"/>
          <w:b/>
          <w:bCs/>
          <w:sz w:val="24"/>
          <w:szCs w:val="24"/>
        </w:rPr>
        <w:t>十四、内部控制评价报告或内部控制审计报告</w:t>
      </w:r>
      <w:bookmarkEnd w:id="96"/>
    </w:p>
    <w:p>
      <w:pPr>
        <w:keepNext/>
        <w:keepLines/>
        <w:pageBreakBefore w:val="0"/>
        <w:widowControl w:val="0"/>
        <w:kinsoku/>
        <w:wordWrap/>
        <w:overflowPunct/>
        <w:topLinePunct w:val="0"/>
        <w:autoSpaceDE/>
        <w:autoSpaceDN/>
        <w:bidi w:val="0"/>
        <w:adjustRightInd/>
        <w:snapToGrid/>
        <w:spacing w:before="300" w:after="60" w:line="280" w:lineRule="exact"/>
        <w:jc w:val="left"/>
        <w:textAlignment w:val="auto"/>
        <w:outlineLvl w:val="2"/>
        <w:rPr>
          <w:rFonts w:ascii="宋体" w:hAnsi="宋体" w:eastAsia="宋体" w:cs="宋体"/>
          <w:b/>
          <w:bCs/>
          <w:sz w:val="21"/>
          <w:szCs w:val="21"/>
        </w:rPr>
      </w:pPr>
      <w:bookmarkStart w:id="97" w:name="_Toc988975"/>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一</w:t>
      </w:r>
      <w:r>
        <w:rPr>
          <w:rFonts w:hint="eastAsia" w:ascii="宋体" w:hAnsi="宋体" w:eastAsia="宋体" w:cs="宋体"/>
          <w:b/>
          <w:bCs/>
          <w:sz w:val="21"/>
          <w:szCs w:val="21"/>
          <w:lang w:eastAsia="zh-CN"/>
        </w:rPr>
        <w:t>）</w:t>
      </w:r>
      <w:r>
        <w:rPr>
          <w:rFonts w:ascii="宋体" w:hAnsi="宋体" w:eastAsia="宋体" w:cs="宋体"/>
          <w:b/>
          <w:bCs/>
          <w:sz w:val="21"/>
          <w:szCs w:val="21"/>
        </w:rPr>
        <w:t>内控评价报告</w:t>
      </w:r>
      <w:bookmarkEnd w:id="97"/>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内部控制评价报告全文披露日期</w:t>
            </w:r>
          </w:p>
        </w:tc>
        <w:tc>
          <w:tcPr>
            <w:tcW w:w="6426"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2025年04月09日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内部控制评价报告全文披露索引</w:t>
            </w:r>
          </w:p>
        </w:tc>
        <w:tc>
          <w:tcPr>
            <w:tcW w:w="6426"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巨潮资讯网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纳入评价范围单位资产总额占公司合并财务报表资产总额的比例</w:t>
            </w:r>
          </w:p>
        </w:tc>
        <w:tc>
          <w:tcPr>
            <w:tcW w:w="6426"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纳入评价范围单位营业收入占公司合并财务报表营业收入的比例</w:t>
            </w:r>
          </w:p>
        </w:tc>
        <w:tc>
          <w:tcPr>
            <w:tcW w:w="6426"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缺陷认定标准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类别</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财务报告</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非财务报告</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定性标准</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重大缺陷：（1）控制环境无效；（2）公司董事、监事和高级管理人员的舞弊行为；（3）当期财务报表存在重大错报，而内部控制在运行过程中未能发现该错报；（4）对已经公告的财务报告出现的重大差错进行错报更正；（5）审计委员会和内部审计部门对公司的内部控制监督无效。</w:t>
            </w:r>
          </w:p>
          <w:p>
            <w:pPr>
              <w:spacing w:before="0" w:after="0" w:line="240" w:lineRule="exact"/>
              <w:jc w:val="left"/>
              <w:rPr>
                <w:rFonts w:ascii="宋体" w:hAnsi="宋体" w:eastAsia="宋体" w:cs="宋体"/>
                <w:sz w:val="18"/>
                <w:szCs w:val="18"/>
              </w:rPr>
            </w:pPr>
            <w:r>
              <w:rPr>
                <w:rFonts w:ascii="宋体" w:hAnsi="宋体" w:eastAsia="宋体" w:cs="宋体"/>
                <w:sz w:val="18"/>
                <w:szCs w:val="18"/>
              </w:rPr>
              <w:t>2.重要缺陷：（1）未依照公认会计准则选择和应用会计政策；（2）未建立反舞弊程序和控制措施；（3）对于非常规或特殊交易的账务处理没有建立相应的控制机制或没有实施且没有相应的补偿性控制；（4）对于期末财务报告过程的控制存在一项或多项缺陷且不能合理保证编制的财务报表达到真实、完整的目标。</w:t>
            </w:r>
          </w:p>
          <w:p>
            <w:pPr>
              <w:spacing w:before="0" w:after="0" w:line="240" w:lineRule="exact"/>
              <w:jc w:val="left"/>
              <w:rPr>
                <w:rFonts w:ascii="宋体" w:hAnsi="宋体" w:eastAsia="宋体" w:cs="宋体"/>
                <w:sz w:val="18"/>
                <w:szCs w:val="18"/>
              </w:rPr>
            </w:pPr>
            <w:r>
              <w:rPr>
                <w:rFonts w:ascii="宋体" w:hAnsi="宋体" w:eastAsia="宋体" w:cs="宋体"/>
                <w:sz w:val="18"/>
                <w:szCs w:val="18"/>
              </w:rPr>
              <w:t>3.一般缺陷：除重大缺陷、重要缺陷之外的其他财务报告内部控制缺陷。</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重大缺陷：（1）公司经营活动严重违反国家法律法规；（2）缺乏民主决策程序、决策程序不科学，出现重大失误，给公司造成重大财产损失；（3）公司存在遭受证监会重大处罚事件或证券交易所警告的情况；（4）公司出现严重质量、环境与职业健康安全事件；（5）重要业务缺乏制度控制或制度系统性失效。</w:t>
            </w:r>
          </w:p>
          <w:p>
            <w:pPr>
              <w:spacing w:before="0" w:after="0" w:line="240" w:lineRule="exact"/>
              <w:jc w:val="left"/>
              <w:rPr>
                <w:rFonts w:ascii="宋体" w:hAnsi="宋体" w:eastAsia="宋体" w:cs="宋体"/>
                <w:sz w:val="18"/>
                <w:szCs w:val="18"/>
              </w:rPr>
            </w:pPr>
            <w:r>
              <w:rPr>
                <w:rFonts w:ascii="宋体" w:hAnsi="宋体" w:eastAsia="宋体" w:cs="宋体"/>
                <w:sz w:val="18"/>
                <w:szCs w:val="18"/>
              </w:rPr>
              <w:t>2.重要缺陷：（1）公司存在大额资产运用失效的行为；（2）公司关键经营业务存在缺乏控制标准或标准失效的情况；（3）重要业务制度控制或系统存在缺陷；（4）公司出现重要的质量、环境与职业健康安全事件；（5）公司管理层存在重要越权行为。</w:t>
            </w:r>
          </w:p>
          <w:p>
            <w:pPr>
              <w:spacing w:before="0" w:after="0" w:line="240" w:lineRule="exact"/>
              <w:jc w:val="left"/>
              <w:rPr>
                <w:rFonts w:ascii="宋体" w:hAnsi="宋体" w:eastAsia="宋体" w:cs="宋体"/>
                <w:sz w:val="18"/>
                <w:szCs w:val="18"/>
              </w:rPr>
            </w:pPr>
            <w:r>
              <w:rPr>
                <w:rFonts w:ascii="宋体" w:hAnsi="宋体" w:eastAsia="宋体" w:cs="宋体"/>
                <w:sz w:val="18"/>
                <w:szCs w:val="18"/>
              </w:rPr>
              <w:t>3.一般缺陷：除重大缺陷、重要缺陷之外的其他控制缺陷。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定量标准</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司定量标准以营业收入作为衡量指标。内部控制缺陷可能导致或导致的损失与利润表相关的，如果该缺陷单独或连同其他缺陷可能导致的财务报告错报的金额小于营业收入的1%,则认定为一般缺陷；如果超过营业收入的1% 但小于 2%认定为重要缺陷；如果超过营业收入的 2%，则认定为重大缺陷。</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非财务报告内部控制缺陷评价的定量标准参照财务报告内部控制缺陷评价的定量标准执行。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财务报告重大缺陷数量（个）</w:t>
            </w:r>
          </w:p>
        </w:tc>
        <w:tc>
          <w:tcPr>
            <w:tcW w:w="6426"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非财务报告重大缺陷数量（个）</w:t>
            </w:r>
          </w:p>
        </w:tc>
        <w:tc>
          <w:tcPr>
            <w:tcW w:w="6426"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财务报告重要缺陷数量（个）</w:t>
            </w:r>
          </w:p>
        </w:tc>
        <w:tc>
          <w:tcPr>
            <w:tcW w:w="6426"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非财务报告重要缺陷数量（个）</w:t>
            </w:r>
          </w:p>
        </w:tc>
        <w:tc>
          <w:tcPr>
            <w:tcW w:w="6426"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0</w:t>
            </w:r>
          </w:p>
        </w:tc>
      </w:tr>
    </w:tbl>
    <w:p>
      <w:pPr>
        <w:keepNext/>
        <w:keepLines/>
        <w:spacing w:before="300" w:after="300" w:line="280" w:lineRule="exact"/>
        <w:jc w:val="left"/>
        <w:outlineLvl w:val="2"/>
        <w:rPr>
          <w:rFonts w:ascii="宋体" w:hAnsi="宋体" w:eastAsia="宋体" w:cs="宋体"/>
          <w:b/>
          <w:bCs/>
          <w:sz w:val="21"/>
          <w:szCs w:val="21"/>
        </w:rPr>
      </w:pPr>
      <w:bookmarkStart w:id="98" w:name="_Toc988976"/>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二</w:t>
      </w:r>
      <w:r>
        <w:rPr>
          <w:rFonts w:hint="eastAsia" w:ascii="宋体" w:hAnsi="宋体" w:eastAsia="宋体" w:cs="宋体"/>
          <w:b/>
          <w:bCs/>
          <w:sz w:val="21"/>
          <w:szCs w:val="21"/>
          <w:lang w:eastAsia="zh-CN"/>
        </w:rPr>
        <w:t>）</w:t>
      </w:r>
      <w:r>
        <w:rPr>
          <w:rFonts w:ascii="宋体" w:hAnsi="宋体" w:eastAsia="宋体" w:cs="宋体"/>
          <w:b/>
          <w:bCs/>
          <w:sz w:val="21"/>
          <w:szCs w:val="21"/>
        </w:rPr>
        <w:t>内部控制审计报告</w:t>
      </w:r>
      <w:bookmarkEnd w:id="98"/>
    </w:p>
    <w:p>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内部控制审计报告中的审议意见段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我们认为，博云新材公司于2024年12月31日按照《企业内部控制基本规范》和相关规定在所有重大方面保持了有效的财务报告内部控制。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内控审计报告披露情况</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披露</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内部控制审计报告全文披露日期</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2025年04月09日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内部控制审计报告全文披露索引</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巨潮资讯网： http://www.cninfo.com.cn/</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内控审计报告意见类型</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标准无保留意见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非财务报告是否存在重大缺陷</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会计师事务所是否出具非标准意见的内部控制审计报告</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会计师事务所出具的内部控制审计报告与董事会的自我评价报告意见是否一致</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是 □否</w:t>
      </w:r>
    </w:p>
    <w:p>
      <w:pPr>
        <w:keepNext/>
        <w:keepLines/>
        <w:spacing w:before="300" w:after="300" w:line="320" w:lineRule="exact"/>
        <w:jc w:val="left"/>
        <w:outlineLvl w:val="1"/>
        <w:rPr>
          <w:rFonts w:ascii="宋体" w:hAnsi="宋体" w:eastAsia="宋体" w:cs="宋体"/>
          <w:b/>
          <w:bCs/>
          <w:sz w:val="24"/>
          <w:szCs w:val="24"/>
        </w:rPr>
      </w:pPr>
      <w:bookmarkStart w:id="99" w:name="_Toc988977"/>
      <w:r>
        <w:rPr>
          <w:rFonts w:ascii="宋体" w:hAnsi="宋体" w:eastAsia="宋体" w:cs="宋体"/>
          <w:b/>
          <w:bCs/>
          <w:sz w:val="24"/>
          <w:szCs w:val="24"/>
        </w:rPr>
        <w:t>十五、上市公司治理专项行动自查问题整改情况</w:t>
      </w:r>
      <w:bookmarkEnd w:id="99"/>
    </w:p>
    <w:p>
      <w:pPr>
        <w:pStyle w:val="4"/>
        <w:keepNext w:val="0"/>
        <w:keepLines w:val="0"/>
        <w:widowControl/>
        <w:suppressLineNumbers w:val="0"/>
        <w:spacing w:before="100" w:beforeAutospacing="0" w:after="100" w:afterAutospacing="0"/>
        <w:ind w:left="0" w:right="0"/>
        <w:jc w:val="left"/>
        <w:rPr>
          <w:rFonts w:hint="default" w:ascii="Times New Roman" w:hAnsi="Times New Roman" w:cs="Times New Roman"/>
          <w:sz w:val="24"/>
          <w:szCs w:val="24"/>
        </w:rPr>
      </w:pPr>
      <w:r>
        <w:rPr>
          <w:rFonts w:hint="eastAsia" w:ascii="宋体" w:hAnsi="宋体" w:eastAsia="宋体" w:cs="宋体"/>
          <w:sz w:val="18"/>
          <w:szCs w:val="18"/>
        </w:rPr>
        <w:t>不适用。</w:t>
      </w:r>
    </w:p>
    <w:p>
      <w:r>
        <w:br w:type="page"/>
      </w:r>
    </w:p>
    <w:p>
      <w:pPr>
        <w:keepNext/>
        <w:keepLines/>
        <w:spacing w:before="340" w:after="330" w:line="773" w:lineRule="exact"/>
        <w:jc w:val="center"/>
        <w:outlineLvl w:val="0"/>
        <w:rPr>
          <w:rFonts w:ascii="宋体" w:hAnsi="宋体" w:eastAsia="宋体" w:cs="宋体"/>
          <w:b/>
          <w:bCs/>
          <w:sz w:val="32"/>
          <w:szCs w:val="32"/>
        </w:rPr>
      </w:pPr>
      <w:bookmarkStart w:id="100" w:name="_Toc988978"/>
      <w:r>
        <w:rPr>
          <w:rFonts w:ascii="宋体" w:hAnsi="宋体" w:eastAsia="宋体" w:cs="宋体"/>
          <w:b/>
          <w:bCs/>
          <w:sz w:val="32"/>
          <w:szCs w:val="32"/>
        </w:rPr>
        <w:t>第五节 环境和社会责任</w:t>
      </w:r>
      <w:bookmarkEnd w:id="100"/>
    </w:p>
    <w:p>
      <w:pPr>
        <w:keepNext/>
        <w:keepLines/>
        <w:spacing w:before="300" w:after="300" w:line="320" w:lineRule="exact"/>
        <w:jc w:val="left"/>
        <w:outlineLvl w:val="1"/>
        <w:rPr>
          <w:rFonts w:ascii="宋体" w:hAnsi="宋体" w:eastAsia="宋体" w:cs="宋体"/>
          <w:b/>
          <w:bCs/>
          <w:sz w:val="24"/>
          <w:szCs w:val="24"/>
        </w:rPr>
      </w:pPr>
      <w:bookmarkStart w:id="101" w:name="_Toc988979"/>
      <w:r>
        <w:rPr>
          <w:rFonts w:ascii="宋体" w:hAnsi="宋体" w:eastAsia="宋体" w:cs="宋体"/>
          <w:b/>
          <w:bCs/>
          <w:sz w:val="24"/>
          <w:szCs w:val="24"/>
        </w:rPr>
        <w:t>一、重大环保问题</w:t>
      </w:r>
      <w:bookmarkEnd w:id="101"/>
    </w:p>
    <w:p>
      <w:pPr>
        <w:spacing w:before="100" w:after="100" w:line="240" w:lineRule="exact"/>
        <w:jc w:val="left"/>
        <w:rPr>
          <w:rFonts w:ascii="宋体" w:hAnsi="宋体" w:eastAsia="宋体" w:cs="宋体"/>
          <w:sz w:val="18"/>
          <w:szCs w:val="18"/>
        </w:rPr>
      </w:pPr>
      <w:r>
        <w:rPr>
          <w:rFonts w:ascii="宋体" w:hAnsi="宋体" w:eastAsia="宋体" w:cs="宋体"/>
          <w:sz w:val="18"/>
          <w:szCs w:val="18"/>
        </w:rPr>
        <w:t>上市公司及其子公司是否属于环境保护部门公布的重点排污单位</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报告期内因环境问题受到行政处罚的情况</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公司或子公司名称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处罚原因</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违规情形</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处罚结果</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对上市公司生产经营的影响</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公司的整改措施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参照重点排污单位披露的其他环境信息</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pPr>
      <w:r>
        <w:rPr>
          <w:rFonts w:hint="eastAsia" w:ascii="宋体" w:hAnsi="宋体" w:eastAsia="宋体" w:cs="宋体"/>
          <w:sz w:val="18"/>
          <w:szCs w:val="18"/>
        </w:rPr>
        <w:t>无。</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在报告期内为减少其碳排放所采取的措施及效果</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未披露其他环境信息的原因</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eastAsia" w:ascii="宋体" w:hAnsi="宋体" w:eastAsia="宋体" w:cs="宋体"/>
          <w:sz w:val="18"/>
          <w:szCs w:val="18"/>
        </w:rPr>
      </w:pPr>
      <w:r>
        <w:rPr>
          <w:rFonts w:hint="eastAsia" w:ascii="宋体" w:hAnsi="宋体" w:eastAsia="宋体" w:cs="宋体"/>
          <w:sz w:val="18"/>
          <w:szCs w:val="18"/>
        </w:rPr>
        <w:t>无。</w:t>
      </w:r>
    </w:p>
    <w:p>
      <w:pPr>
        <w:keepNext/>
        <w:keepLines/>
        <w:spacing w:before="300" w:after="300" w:line="320" w:lineRule="exact"/>
        <w:jc w:val="left"/>
        <w:outlineLvl w:val="1"/>
        <w:rPr>
          <w:rFonts w:ascii="宋体" w:hAnsi="宋体" w:eastAsia="宋体" w:cs="宋体"/>
          <w:b/>
          <w:bCs/>
          <w:sz w:val="24"/>
          <w:szCs w:val="24"/>
        </w:rPr>
      </w:pPr>
      <w:bookmarkStart w:id="102" w:name="_Toc988980"/>
      <w:r>
        <w:rPr>
          <w:rFonts w:ascii="宋体" w:hAnsi="宋体" w:eastAsia="宋体" w:cs="宋体"/>
          <w:b/>
          <w:bCs/>
          <w:sz w:val="24"/>
          <w:szCs w:val="24"/>
        </w:rPr>
        <w:t>二、社会责任情况</w:t>
      </w:r>
      <w:bookmarkEnd w:id="102"/>
    </w:p>
    <w:p>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60" w:lineRule="atLeast"/>
        <w:jc w:val="both"/>
        <w:textAlignment w:val="auto"/>
        <w:outlineLvl w:val="2"/>
        <w:rPr>
          <w:rFonts w:hint="eastAsia" w:ascii="宋体" w:hAnsi="宋体" w:eastAsia="宋体" w:cs="宋体"/>
          <w:b/>
          <w:bCs/>
          <w:sz w:val="21"/>
          <w:szCs w:val="21"/>
        </w:rPr>
      </w:pPr>
      <w:bookmarkStart w:id="103" w:name="OLE_LINK25"/>
      <w:bookmarkStart w:id="104" w:name="_Toc988981"/>
      <w:r>
        <w:rPr>
          <w:rFonts w:hint="eastAsia" w:ascii="宋体" w:hAnsi="宋体" w:eastAsia="宋体" w:cs="宋体"/>
          <w:b/>
          <w:bCs/>
          <w:sz w:val="21"/>
          <w:szCs w:val="21"/>
        </w:rPr>
        <w:t>（一）投资者权益保护</w:t>
      </w:r>
    </w:p>
    <w:p>
      <w:pPr>
        <w:pStyle w:val="4"/>
        <w:keepNext w:val="0"/>
        <w:keepLines w:val="0"/>
        <w:widowControl/>
        <w:suppressLineNumbers w:val="0"/>
        <w:spacing w:before="40" w:beforeAutospacing="0" w:after="40" w:afterAutospacing="0" w:line="360" w:lineRule="atLeast"/>
        <w:ind w:left="0" w:right="0" w:firstLine="420"/>
        <w:jc w:val="both"/>
        <w:rPr>
          <w:rFonts w:hint="default" w:ascii="Calibri" w:hAnsi="Calibri" w:cs="Calibri"/>
          <w:sz w:val="24"/>
          <w:szCs w:val="24"/>
        </w:rPr>
      </w:pPr>
      <w:r>
        <w:rPr>
          <w:rFonts w:hint="eastAsia" w:ascii="宋体" w:hAnsi="宋体" w:eastAsia="宋体" w:cs="宋体"/>
          <w:sz w:val="21"/>
          <w:szCs w:val="21"/>
        </w:rPr>
        <w:t>公司严格按照《公司法》、《证券法》、《深圳证券交易所股票上市规则》、《深圳证券交易所上市公司自律监管指引第1号</w:t>
      </w:r>
      <w:r>
        <w:rPr>
          <w:rFonts w:hint="default" w:ascii="Times New Roman" w:hAnsi="Times New Roman" w:eastAsia="宋体" w:cs="Times New Roman"/>
          <w:sz w:val="21"/>
          <w:szCs w:val="21"/>
        </w:rPr>
        <w:t>——</w:t>
      </w:r>
      <w:r>
        <w:rPr>
          <w:rFonts w:hint="eastAsia" w:ascii="宋体" w:hAnsi="宋体" w:eastAsia="宋体" w:cs="宋体"/>
          <w:sz w:val="21"/>
          <w:szCs w:val="21"/>
        </w:rPr>
        <w:t>主板上市公司规范运作》等法律法规，不断完善公司治理，规范三会运作，健全内部管理和控制体系，确保信息披露及时、准确、完整、公平；并通过电话、投资者互动平台、业绩交流会、投资者现场接待、股东大会网络投票等方式，确保公司股东合法权益。作为资本市场的参与者，公司尊重资本市场运行规律，重视投资者关系管理，有效保障投资者的合法权益。</w:t>
      </w:r>
    </w:p>
    <w:p>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60" w:lineRule="atLeast"/>
        <w:jc w:val="both"/>
        <w:textAlignment w:val="auto"/>
        <w:outlineLvl w:val="2"/>
        <w:rPr>
          <w:rFonts w:hint="default" w:ascii="宋体" w:hAnsi="宋体" w:eastAsia="宋体" w:cs="宋体"/>
          <w:b/>
          <w:bCs/>
          <w:sz w:val="21"/>
          <w:szCs w:val="21"/>
        </w:rPr>
      </w:pPr>
      <w:r>
        <w:rPr>
          <w:rFonts w:hint="eastAsia" w:ascii="宋体" w:hAnsi="宋体" w:eastAsia="宋体" w:cs="宋体"/>
          <w:b/>
          <w:bCs/>
          <w:sz w:val="21"/>
          <w:szCs w:val="21"/>
        </w:rPr>
        <w:t>（二）职工权益保护</w:t>
      </w:r>
    </w:p>
    <w:p>
      <w:pPr>
        <w:pStyle w:val="4"/>
        <w:keepNext w:val="0"/>
        <w:keepLines w:val="0"/>
        <w:widowControl/>
        <w:suppressLineNumbers w:val="0"/>
        <w:spacing w:before="40" w:beforeAutospacing="0" w:after="40" w:afterAutospacing="0" w:line="360" w:lineRule="atLeast"/>
        <w:ind w:left="0" w:right="0" w:firstLine="420"/>
        <w:jc w:val="both"/>
        <w:rPr>
          <w:rFonts w:hint="default" w:ascii="Calibri" w:hAnsi="Calibri" w:cs="Calibri"/>
          <w:sz w:val="24"/>
          <w:szCs w:val="24"/>
        </w:rPr>
      </w:pPr>
      <w:r>
        <w:rPr>
          <w:rFonts w:hint="eastAsia" w:ascii="宋体" w:hAnsi="宋体" w:eastAsia="宋体" w:cs="宋体"/>
          <w:sz w:val="21"/>
          <w:szCs w:val="21"/>
        </w:rPr>
        <w:t>公司坚持以人为本、注重人才培养，不断改善员工的工作环境，使其更加安全、舒适；重视员工培训、学习与素质提升，为员工提供宽广的成长平台；关注员工业余生活和身心健康，每年安排员工体检，组织员工开展户外拓展，丰富了员工生活，增强了公司凝聚力，凸显企业的良好形象。</w:t>
      </w:r>
    </w:p>
    <w:p>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60" w:lineRule="atLeast"/>
        <w:jc w:val="both"/>
        <w:textAlignment w:val="auto"/>
        <w:outlineLvl w:val="2"/>
        <w:rPr>
          <w:rFonts w:hint="default" w:ascii="宋体" w:hAnsi="宋体" w:eastAsia="宋体" w:cs="宋体"/>
          <w:b/>
          <w:bCs/>
          <w:sz w:val="21"/>
          <w:szCs w:val="21"/>
        </w:rPr>
      </w:pPr>
      <w:r>
        <w:rPr>
          <w:rFonts w:hint="eastAsia" w:ascii="宋体" w:hAnsi="宋体" w:eastAsia="宋体" w:cs="宋体"/>
          <w:b/>
          <w:bCs/>
          <w:sz w:val="21"/>
          <w:szCs w:val="21"/>
        </w:rPr>
        <w:t>（三）供应商、客户权益保护</w:t>
      </w:r>
    </w:p>
    <w:p>
      <w:pPr>
        <w:pStyle w:val="4"/>
        <w:keepNext w:val="0"/>
        <w:keepLines w:val="0"/>
        <w:widowControl/>
        <w:suppressLineNumbers w:val="0"/>
        <w:spacing w:before="40" w:beforeAutospacing="0" w:after="40" w:afterAutospacing="0" w:line="360" w:lineRule="atLeast"/>
        <w:ind w:left="0" w:right="0" w:firstLine="420"/>
        <w:jc w:val="both"/>
        <w:rPr>
          <w:rFonts w:hint="default" w:ascii="Calibri" w:hAnsi="Calibri" w:cs="Calibri"/>
          <w:sz w:val="24"/>
          <w:szCs w:val="24"/>
        </w:rPr>
      </w:pPr>
      <w:r>
        <w:rPr>
          <w:rFonts w:hint="default" w:ascii="Times New Roman" w:hAnsi="Times New Roman" w:eastAsia="宋体" w:cs="Times New Roman"/>
          <w:sz w:val="21"/>
          <w:szCs w:val="21"/>
        </w:rPr>
        <w:t> </w:t>
      </w:r>
      <w:r>
        <w:rPr>
          <w:rFonts w:hint="eastAsia" w:ascii="宋体" w:hAnsi="宋体" w:eastAsia="宋体" w:cs="宋体"/>
          <w:sz w:val="21"/>
          <w:szCs w:val="21"/>
        </w:rPr>
        <w:t>公司坚持与供应商、客户互利共赢的经营理念，诚实守信、规范运营。重视供应商管理，加强监督考核，为供应商提供质量控制帮助，协助其提升完善；与客户建立长期稳定的战略合作伙伴关系，将客户满意度作为衡量工作的准绳，不断提升产品品质，提高服务质量。</w:t>
      </w:r>
    </w:p>
    <w:p>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60" w:lineRule="atLeast"/>
        <w:jc w:val="both"/>
        <w:textAlignment w:val="auto"/>
        <w:outlineLvl w:val="2"/>
        <w:rPr>
          <w:rFonts w:hint="default" w:ascii="宋体" w:hAnsi="宋体" w:eastAsia="宋体" w:cs="宋体"/>
          <w:b/>
          <w:bCs/>
          <w:sz w:val="21"/>
          <w:szCs w:val="21"/>
        </w:rPr>
      </w:pPr>
      <w:r>
        <w:rPr>
          <w:rFonts w:hint="eastAsia" w:ascii="宋体" w:hAnsi="宋体" w:eastAsia="宋体" w:cs="宋体"/>
          <w:b/>
          <w:bCs/>
          <w:sz w:val="21"/>
          <w:szCs w:val="21"/>
        </w:rPr>
        <w:t>（四）安全生产、环境保护与可持续发展</w:t>
      </w:r>
    </w:p>
    <w:p>
      <w:pPr>
        <w:pStyle w:val="4"/>
        <w:keepNext w:val="0"/>
        <w:keepLines w:val="0"/>
        <w:widowControl/>
        <w:suppressLineNumbers w:val="0"/>
        <w:spacing w:before="40" w:beforeAutospacing="0" w:after="40" w:afterAutospacing="0" w:line="360" w:lineRule="atLeast"/>
        <w:ind w:left="0" w:right="0" w:firstLine="420"/>
        <w:jc w:val="both"/>
        <w:rPr>
          <w:rFonts w:hint="default" w:ascii="Calibri" w:hAnsi="Calibri" w:cs="Calibri"/>
          <w:sz w:val="24"/>
          <w:szCs w:val="24"/>
        </w:rPr>
      </w:pPr>
      <w:r>
        <w:rPr>
          <w:rFonts w:hint="eastAsia" w:ascii="宋体" w:hAnsi="宋体" w:eastAsia="宋体" w:cs="宋体"/>
          <w:sz w:val="21"/>
          <w:szCs w:val="21"/>
        </w:rPr>
        <w:t>公司坚持贯彻落实相关管理标准，持续运行安全生产标准化体系，加大安全环保设施的投入，并每月定期进行了安全生产检查，检查中发现隐患及时上报、及时按安全检查</w:t>
      </w:r>
      <w:r>
        <w:rPr>
          <w:rFonts w:hint="default" w:ascii="Times New Roman" w:hAnsi="Times New Roman" w:eastAsia="宋体" w:cs="Times New Roman"/>
          <w:sz w:val="21"/>
          <w:szCs w:val="21"/>
        </w:rPr>
        <w:t>“</w:t>
      </w:r>
      <w:r>
        <w:rPr>
          <w:rFonts w:hint="eastAsia" w:ascii="宋体" w:hAnsi="宋体" w:eastAsia="宋体" w:cs="宋体"/>
          <w:sz w:val="21"/>
          <w:szCs w:val="21"/>
        </w:rPr>
        <w:t>四不放过</w:t>
      </w:r>
      <w:r>
        <w:rPr>
          <w:rFonts w:hint="default" w:ascii="Times New Roman" w:hAnsi="Times New Roman" w:eastAsia="宋体" w:cs="Times New Roman"/>
          <w:sz w:val="21"/>
          <w:szCs w:val="21"/>
        </w:rPr>
        <w:t>”</w:t>
      </w:r>
      <w:r>
        <w:rPr>
          <w:rFonts w:hint="eastAsia" w:ascii="宋体" w:hAnsi="宋体" w:eastAsia="宋体" w:cs="宋体"/>
          <w:sz w:val="21"/>
          <w:szCs w:val="21"/>
        </w:rPr>
        <w:t>原则督促各单位整改，确保了生产的正常进行，公司全年没有发生一起重大安全事故。</w:t>
      </w:r>
    </w:p>
    <w:bookmarkEnd w:id="103"/>
    <w:p>
      <w:pPr>
        <w:keepNext/>
        <w:keepLines/>
        <w:spacing w:before="300" w:after="300" w:line="320" w:lineRule="exact"/>
        <w:jc w:val="left"/>
        <w:outlineLvl w:val="1"/>
        <w:rPr>
          <w:rFonts w:ascii="宋体" w:hAnsi="宋体" w:eastAsia="宋体" w:cs="宋体"/>
          <w:b/>
          <w:bCs/>
          <w:sz w:val="24"/>
          <w:szCs w:val="24"/>
        </w:rPr>
      </w:pPr>
      <w:r>
        <w:rPr>
          <w:rFonts w:ascii="宋体" w:hAnsi="宋体" w:eastAsia="宋体" w:cs="宋体"/>
          <w:b/>
          <w:bCs/>
          <w:sz w:val="24"/>
          <w:szCs w:val="24"/>
        </w:rPr>
        <w:t>三、巩固拓展脱贫攻坚成果、乡村振兴的情况</w:t>
      </w:r>
      <w:bookmarkEnd w:id="104"/>
    </w:p>
    <w:p>
      <w:pPr>
        <w:pStyle w:val="4"/>
        <w:keepNext w:val="0"/>
        <w:keepLines w:val="0"/>
        <w:widowControl/>
        <w:suppressLineNumbers w:val="0"/>
        <w:spacing w:before="40" w:beforeAutospacing="0" w:after="4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sz w:val="21"/>
          <w:szCs w:val="21"/>
        </w:rPr>
        <w:t>报告期内，公司暂未开展精准扶贫工作。</w:t>
      </w:r>
    </w:p>
    <w:p>
      <w:r>
        <w:br w:type="page"/>
      </w:r>
    </w:p>
    <w:p>
      <w:pPr>
        <w:keepNext/>
        <w:keepLines/>
        <w:spacing w:before="340" w:after="330" w:line="773" w:lineRule="exact"/>
        <w:jc w:val="center"/>
        <w:outlineLvl w:val="0"/>
        <w:rPr>
          <w:rFonts w:ascii="宋体" w:hAnsi="宋体" w:eastAsia="宋体" w:cs="宋体"/>
          <w:b/>
          <w:bCs/>
          <w:sz w:val="32"/>
          <w:szCs w:val="32"/>
        </w:rPr>
      </w:pPr>
      <w:bookmarkStart w:id="105" w:name="_Toc988982"/>
      <w:r>
        <w:rPr>
          <w:rFonts w:ascii="宋体" w:hAnsi="宋体" w:eastAsia="宋体" w:cs="宋体"/>
          <w:b/>
          <w:bCs/>
          <w:sz w:val="32"/>
          <w:szCs w:val="32"/>
        </w:rPr>
        <w:t>第六节 重要事项</w:t>
      </w:r>
      <w:bookmarkEnd w:id="105"/>
    </w:p>
    <w:p>
      <w:pPr>
        <w:keepNext/>
        <w:keepLines/>
        <w:spacing w:before="300" w:after="300" w:line="320" w:lineRule="exact"/>
        <w:jc w:val="left"/>
        <w:outlineLvl w:val="1"/>
        <w:rPr>
          <w:rFonts w:ascii="宋体" w:hAnsi="宋体" w:eastAsia="宋体" w:cs="宋体"/>
          <w:b/>
          <w:bCs/>
          <w:sz w:val="24"/>
          <w:szCs w:val="24"/>
        </w:rPr>
      </w:pPr>
      <w:bookmarkStart w:id="106" w:name="_Toc988983"/>
      <w:r>
        <w:rPr>
          <w:rFonts w:ascii="宋体" w:hAnsi="宋体" w:eastAsia="宋体" w:cs="宋体"/>
          <w:b/>
          <w:bCs/>
          <w:sz w:val="24"/>
          <w:szCs w:val="24"/>
        </w:rPr>
        <w:t>一、承诺事项履行情况</w:t>
      </w:r>
      <w:bookmarkEnd w:id="106"/>
    </w:p>
    <w:p>
      <w:pPr>
        <w:keepNext/>
        <w:keepLines/>
        <w:spacing w:before="300" w:after="300" w:line="280" w:lineRule="exact"/>
        <w:ind w:left="630" w:hanging="630" w:hangingChars="300"/>
        <w:jc w:val="left"/>
        <w:outlineLvl w:val="2"/>
        <w:rPr>
          <w:rFonts w:ascii="宋体" w:hAnsi="宋体" w:eastAsia="宋体" w:cs="宋体"/>
          <w:b/>
          <w:bCs/>
          <w:sz w:val="21"/>
          <w:szCs w:val="21"/>
        </w:rPr>
      </w:pPr>
      <w:bookmarkStart w:id="107" w:name="_Toc988984"/>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一</w:t>
      </w:r>
      <w:r>
        <w:rPr>
          <w:rFonts w:hint="eastAsia" w:ascii="宋体" w:hAnsi="宋体" w:eastAsia="宋体" w:cs="宋体"/>
          <w:b/>
          <w:bCs/>
          <w:sz w:val="21"/>
          <w:szCs w:val="21"/>
          <w:lang w:eastAsia="zh-CN"/>
        </w:rPr>
        <w:t>）</w:t>
      </w:r>
      <w:r>
        <w:rPr>
          <w:rFonts w:ascii="宋体" w:hAnsi="宋体" w:eastAsia="宋体" w:cs="宋体"/>
          <w:b/>
          <w:bCs/>
          <w:sz w:val="21"/>
          <w:szCs w:val="21"/>
        </w:rPr>
        <w:t>公司实际控制人、股东、关联方、收购人以及公司等承诺相关方在报告期内履行完毕及截至报告期末尚未履行完毕的承诺事项</w:t>
      </w:r>
      <w:bookmarkEnd w:id="107"/>
    </w:p>
    <w:p>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037"/>
        <w:gridCol w:w="1125"/>
        <w:gridCol w:w="2850"/>
        <w:gridCol w:w="1260"/>
        <w:gridCol w:w="1005"/>
        <w:gridCol w:w="98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bookmarkStart w:id="108" w:name="_Toc988985"/>
            <w:r>
              <w:rPr>
                <w:rFonts w:ascii="宋体" w:hAnsi="宋体" w:eastAsia="宋体" w:cs="宋体"/>
                <w:sz w:val="18"/>
                <w:szCs w:val="18"/>
              </w:rPr>
              <w:t>承诺事由</w:t>
            </w:r>
          </w:p>
        </w:tc>
        <w:tc>
          <w:tcPr>
            <w:tcW w:w="103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承诺方</w:t>
            </w:r>
          </w:p>
        </w:tc>
        <w:tc>
          <w:tcPr>
            <w:tcW w:w="112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承诺类型</w:t>
            </w:r>
          </w:p>
        </w:tc>
        <w:tc>
          <w:tcPr>
            <w:tcW w:w="285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承诺内容</w:t>
            </w:r>
          </w:p>
        </w:tc>
        <w:tc>
          <w:tcPr>
            <w:tcW w:w="126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承诺时间</w:t>
            </w:r>
          </w:p>
        </w:tc>
        <w:tc>
          <w:tcPr>
            <w:tcW w:w="10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承诺期限</w:t>
            </w:r>
          </w:p>
        </w:tc>
        <w:tc>
          <w:tcPr>
            <w:tcW w:w="98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履行情况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其他对公司中小股东所作承诺</w:t>
            </w:r>
          </w:p>
        </w:tc>
        <w:tc>
          <w:tcPr>
            <w:tcW w:w="103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控股股东粉冶中心</w:t>
            </w:r>
          </w:p>
        </w:tc>
        <w:tc>
          <w:tcPr>
            <w:tcW w:w="11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关于避免同业竞争的承诺</w:t>
            </w:r>
          </w:p>
        </w:tc>
        <w:tc>
          <w:tcPr>
            <w:tcW w:w="28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作出避免同业竞争承诺，除在公司投资外，将不在任何区域投资或从事与公司相同或相近的业务。</w:t>
            </w:r>
          </w:p>
        </w:tc>
        <w:tc>
          <w:tcPr>
            <w:tcW w:w="12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2008年01月18日</w:t>
            </w:r>
          </w:p>
        </w:tc>
        <w:tc>
          <w:tcPr>
            <w:tcW w:w="10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长期有效</w:t>
            </w:r>
          </w:p>
        </w:tc>
        <w:tc>
          <w:tcPr>
            <w:tcW w:w="9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正切实履行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其他对公司中小股东所作承诺</w:t>
            </w:r>
          </w:p>
        </w:tc>
        <w:tc>
          <w:tcPr>
            <w:tcW w:w="103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控股股东粉冶中心</w:t>
            </w:r>
          </w:p>
        </w:tc>
        <w:tc>
          <w:tcPr>
            <w:tcW w:w="11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关于代为培育事项的承诺</w:t>
            </w:r>
          </w:p>
        </w:tc>
        <w:tc>
          <w:tcPr>
            <w:tcW w:w="28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根据粉冶中心、兴湘资本与博云新材于2024年6月签署的《代为培育协议》，粉冶中心、兴湘资本将代为培育“飞机机轮刹车系统部分核心部件关键技术研究与产品开发项目”，实施主体为炜铂科技，粉冶中心将严格履行《代为培育协议》的相关约定。2、【2029】年【12】月【31】日前，若炜铂科技满足注入博云新材的条件，粉冶中心将持有的炜铂科技股权注入博云新材；若不满足注入博云新材的条件，粉冶中心将在培育期限到期后终止相关培育工作并尽快对炜铂科技进行清算注销。3、上述工作未完成前，若炜铂科技生产与博云新材存在潜在竞争的产品均由博云新材统一对外进行销售。完成上述工作后，粉冶中心及下属子公司将不再从事与博云新材相同或者相似的业务。</w:t>
            </w:r>
          </w:p>
        </w:tc>
        <w:tc>
          <w:tcPr>
            <w:tcW w:w="12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2024年06月11日</w:t>
            </w:r>
          </w:p>
        </w:tc>
        <w:tc>
          <w:tcPr>
            <w:tcW w:w="10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2024年06月11日至2029年12月31日</w:t>
            </w:r>
          </w:p>
        </w:tc>
        <w:tc>
          <w:tcPr>
            <w:tcW w:w="9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正切实履行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其他对公司中小股东所作承诺</w:t>
            </w:r>
          </w:p>
        </w:tc>
        <w:tc>
          <w:tcPr>
            <w:tcW w:w="103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间接控股股东湖南兴湘投资控股集团有限公司</w:t>
            </w:r>
          </w:p>
        </w:tc>
        <w:tc>
          <w:tcPr>
            <w:tcW w:w="11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关于避免同业竞争的承诺</w:t>
            </w:r>
          </w:p>
        </w:tc>
        <w:tc>
          <w:tcPr>
            <w:tcW w:w="28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本次交易完成后，本公司控制的主体不会直接或间接经营任何与博云新材及其下属企业经营的业务构成竞争或可能构成竞争的业务，亦不会投资任何与博云新材及其下属企业经营的业务构成竞争或可能构成竞争的其他企业。2、本次交易完成后，本公司将对自身及相关企业的生产经营活动进行监督和约束，如果将来本公司及相关企业的产品或业务与博云新材及其子公司的产品或业务出现相同或类似的情况，本公司承诺将继续采取以下措施解决：（1）博云新材认为必要时，本公司及相关企业将进行出售直至全部转让本公司及相关企业持有的有关资产和业务；（2）博云新材在认为必要时，可以通过适当方式优先收购本公司及相关企业持有的有关资产和业务；（3）如本公司及相关企业与博云新材及其子公司因同业竞争产生利益冲突，则优先考虑博云新材及其子公司的利益；（4）有利于避免同业竞争的其他措施。3、本承诺函满足下述条件之日起生效：（1）本函经本公司签署；（2）本公司成为博云新材直接或间接控股股东或第一大股东。4、本承诺函自生效之日起至发生以下情形时终止（以较早为准）：（1）本公司不再是博云新材的直接或间接控股股东或第一大股东；（2）博云新材终止上市。5、本公司将忠实履行上述承诺，并承担相应的法律责任。</w:t>
            </w:r>
          </w:p>
        </w:tc>
        <w:tc>
          <w:tcPr>
            <w:tcW w:w="12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2019年01月02日</w:t>
            </w:r>
          </w:p>
        </w:tc>
        <w:tc>
          <w:tcPr>
            <w:tcW w:w="10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9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正切实履行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承诺是否按时履行</w:t>
            </w:r>
          </w:p>
        </w:tc>
        <w:tc>
          <w:tcPr>
            <w:tcW w:w="8262" w:type="dxa"/>
            <w:gridSpan w:val="6"/>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是</w:t>
            </w:r>
          </w:p>
        </w:tc>
      </w:tr>
    </w:tbl>
    <w:p>
      <w:pPr>
        <w:keepNext/>
        <w:keepLines/>
        <w:spacing w:before="300" w:after="300" w:line="280" w:lineRule="exact"/>
        <w:ind w:left="630" w:hanging="630" w:hangingChars="300"/>
        <w:jc w:val="left"/>
        <w:outlineLvl w:val="2"/>
        <w:rPr>
          <w:rFonts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二</w:t>
      </w:r>
      <w:r>
        <w:rPr>
          <w:rFonts w:hint="eastAsia" w:ascii="宋体" w:hAnsi="宋体" w:eastAsia="宋体" w:cs="宋体"/>
          <w:b/>
          <w:bCs/>
          <w:sz w:val="21"/>
          <w:szCs w:val="21"/>
          <w:lang w:eastAsia="zh-CN"/>
        </w:rPr>
        <w:t>）</w:t>
      </w:r>
      <w:r>
        <w:rPr>
          <w:rFonts w:ascii="宋体" w:hAnsi="宋体" w:eastAsia="宋体" w:cs="宋体"/>
          <w:b/>
          <w:bCs/>
          <w:sz w:val="21"/>
          <w:szCs w:val="21"/>
        </w:rPr>
        <w:t>公司资产或项目存在盈利预测，且报告期仍处在盈利预测期间，公司就资产或项目达到原盈利预测及其原因做出说明</w:t>
      </w:r>
      <w:bookmarkEnd w:id="108"/>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320" w:lineRule="exact"/>
        <w:jc w:val="left"/>
        <w:outlineLvl w:val="1"/>
        <w:rPr>
          <w:rFonts w:ascii="宋体" w:hAnsi="宋体" w:eastAsia="宋体" w:cs="宋体"/>
          <w:b/>
          <w:bCs/>
          <w:sz w:val="24"/>
          <w:szCs w:val="24"/>
        </w:rPr>
      </w:pPr>
      <w:bookmarkStart w:id="109" w:name="_Toc988986"/>
      <w:r>
        <w:rPr>
          <w:rFonts w:ascii="宋体" w:hAnsi="宋体" w:eastAsia="宋体" w:cs="宋体"/>
          <w:b/>
          <w:bCs/>
          <w:sz w:val="24"/>
          <w:szCs w:val="24"/>
        </w:rPr>
        <w:t>二、控股股东及其他关联方对上市公司的非经营性占用资金情况</w:t>
      </w:r>
      <w:bookmarkEnd w:id="109"/>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公司报告期不存在控股股东及其他关联方对上市公司的非经营性占用资金。</w:t>
      </w:r>
    </w:p>
    <w:p>
      <w:pPr>
        <w:keepNext/>
        <w:keepLines/>
        <w:spacing w:before="300" w:after="300" w:line="320" w:lineRule="exact"/>
        <w:jc w:val="left"/>
        <w:outlineLvl w:val="1"/>
        <w:rPr>
          <w:rFonts w:ascii="宋体" w:hAnsi="宋体" w:eastAsia="宋体" w:cs="宋体"/>
          <w:b/>
          <w:bCs/>
          <w:sz w:val="24"/>
          <w:szCs w:val="24"/>
        </w:rPr>
      </w:pPr>
      <w:bookmarkStart w:id="110" w:name="_Toc988987"/>
      <w:r>
        <w:rPr>
          <w:rFonts w:ascii="宋体" w:hAnsi="宋体" w:eastAsia="宋体" w:cs="宋体"/>
          <w:b/>
          <w:bCs/>
          <w:sz w:val="24"/>
          <w:szCs w:val="24"/>
        </w:rPr>
        <w:t>三、违规对外担保情况</w:t>
      </w:r>
      <w:bookmarkEnd w:id="110"/>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公司报告期无违规对外担保情况。</w:t>
      </w:r>
    </w:p>
    <w:p>
      <w:pPr>
        <w:keepNext/>
        <w:keepLines/>
        <w:spacing w:before="300" w:after="300" w:line="320" w:lineRule="exact"/>
        <w:jc w:val="left"/>
        <w:outlineLvl w:val="1"/>
        <w:rPr>
          <w:rFonts w:ascii="宋体" w:hAnsi="宋体" w:eastAsia="宋体" w:cs="宋体"/>
          <w:b/>
          <w:bCs/>
          <w:sz w:val="24"/>
          <w:szCs w:val="24"/>
        </w:rPr>
      </w:pPr>
      <w:bookmarkStart w:id="111" w:name="_Toc988988"/>
      <w:r>
        <w:rPr>
          <w:rFonts w:ascii="宋体" w:hAnsi="宋体" w:eastAsia="宋体" w:cs="宋体"/>
          <w:b/>
          <w:bCs/>
          <w:sz w:val="24"/>
          <w:szCs w:val="24"/>
        </w:rPr>
        <w:t>四、董事会对最近一期“非标准审计报告”相关情况的说明</w:t>
      </w:r>
      <w:bookmarkEnd w:id="111"/>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320" w:lineRule="exact"/>
        <w:ind w:left="480" w:hanging="480" w:hangingChars="200"/>
        <w:jc w:val="left"/>
        <w:outlineLvl w:val="1"/>
        <w:rPr>
          <w:rFonts w:ascii="宋体" w:hAnsi="宋体" w:eastAsia="宋体" w:cs="宋体"/>
          <w:b/>
          <w:bCs/>
          <w:sz w:val="24"/>
          <w:szCs w:val="24"/>
        </w:rPr>
      </w:pPr>
      <w:bookmarkStart w:id="112" w:name="_Toc988989"/>
      <w:r>
        <w:rPr>
          <w:rFonts w:ascii="宋体" w:hAnsi="宋体" w:eastAsia="宋体" w:cs="宋体"/>
          <w:b/>
          <w:bCs/>
          <w:sz w:val="24"/>
          <w:szCs w:val="24"/>
        </w:rPr>
        <w:t>五、董事会、监事会、独立董事（如有）对会计师事务所本报告期“非标准审计报告”的说明</w:t>
      </w:r>
      <w:bookmarkEnd w:id="112"/>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320" w:lineRule="exact"/>
        <w:jc w:val="left"/>
        <w:outlineLvl w:val="1"/>
        <w:rPr>
          <w:rFonts w:ascii="宋体" w:hAnsi="宋体" w:eastAsia="宋体" w:cs="宋体"/>
          <w:b/>
          <w:bCs/>
          <w:sz w:val="24"/>
          <w:szCs w:val="24"/>
        </w:rPr>
      </w:pPr>
      <w:bookmarkStart w:id="113" w:name="_Toc988990"/>
      <w:r>
        <w:rPr>
          <w:rFonts w:ascii="宋体" w:hAnsi="宋体" w:eastAsia="宋体" w:cs="宋体"/>
          <w:b/>
          <w:bCs/>
          <w:sz w:val="24"/>
          <w:szCs w:val="24"/>
        </w:rPr>
        <w:t xml:space="preserve">六、与上年度财务报告相比，会计政策、会计估计变更或重大会计差错更正的情况说明 </w:t>
      </w:r>
      <w:bookmarkEnd w:id="113"/>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公司报告期无会计政策、会计估计变更或重大会计差错更正的情况。</w:t>
      </w:r>
    </w:p>
    <w:p>
      <w:pPr>
        <w:keepNext/>
        <w:keepLines/>
        <w:spacing w:before="300" w:after="300" w:line="320" w:lineRule="exact"/>
        <w:jc w:val="left"/>
        <w:outlineLvl w:val="1"/>
        <w:rPr>
          <w:rFonts w:ascii="宋体" w:hAnsi="宋体" w:eastAsia="宋体" w:cs="宋体"/>
          <w:b/>
          <w:bCs/>
          <w:sz w:val="24"/>
          <w:szCs w:val="24"/>
        </w:rPr>
      </w:pPr>
      <w:bookmarkStart w:id="114" w:name="_Toc988991"/>
      <w:r>
        <w:rPr>
          <w:rFonts w:ascii="宋体" w:hAnsi="宋体" w:eastAsia="宋体" w:cs="宋体"/>
          <w:b/>
          <w:bCs/>
          <w:sz w:val="24"/>
          <w:szCs w:val="24"/>
        </w:rPr>
        <w:t>七、与上年度财务报告相比，合并报表范围发生变化的情况说明</w:t>
      </w:r>
      <w:bookmarkEnd w:id="114"/>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公司报告期无合并报表范围发生变化的情况。</w:t>
      </w:r>
    </w:p>
    <w:p>
      <w:pPr>
        <w:keepNext/>
        <w:keepLines/>
        <w:spacing w:before="300" w:after="300" w:line="320" w:lineRule="exact"/>
        <w:jc w:val="left"/>
        <w:outlineLvl w:val="1"/>
        <w:rPr>
          <w:rFonts w:ascii="宋体" w:hAnsi="宋体" w:eastAsia="宋体" w:cs="宋体"/>
          <w:b/>
          <w:bCs/>
          <w:sz w:val="24"/>
          <w:szCs w:val="24"/>
        </w:rPr>
      </w:pPr>
      <w:bookmarkStart w:id="115" w:name="_Toc988992"/>
      <w:r>
        <w:rPr>
          <w:rFonts w:ascii="宋体" w:hAnsi="宋体" w:eastAsia="宋体" w:cs="宋体"/>
          <w:b/>
          <w:bCs/>
          <w:sz w:val="24"/>
          <w:szCs w:val="24"/>
        </w:rPr>
        <w:t>八、聘任、解聘会计师事务所情况</w:t>
      </w:r>
      <w:bookmarkEnd w:id="115"/>
    </w:p>
    <w:p>
      <w:pPr>
        <w:spacing w:before="100" w:after="100" w:line="240" w:lineRule="exact"/>
        <w:jc w:val="left"/>
        <w:rPr>
          <w:rFonts w:ascii="宋体" w:hAnsi="宋体" w:eastAsia="宋体" w:cs="宋体"/>
          <w:sz w:val="18"/>
          <w:szCs w:val="18"/>
        </w:rPr>
      </w:pPr>
      <w:r>
        <w:rPr>
          <w:rFonts w:ascii="宋体" w:hAnsi="宋体" w:eastAsia="宋体" w:cs="宋体"/>
          <w:sz w:val="18"/>
          <w:szCs w:val="18"/>
        </w:rPr>
        <w:t>现聘任的会计师事务所</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境内会计师事务所名称</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立信会计师事务所（特殊普通合伙）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境内会计师事务所报酬（万元）</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75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境内会计师事务所审计服务的连续年限</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eastAsia" w:ascii="宋体" w:hAnsi="宋体" w:eastAsia="宋体" w:cs="宋体"/>
                <w:sz w:val="18"/>
                <w:szCs w:val="18"/>
                <w:lang w:eastAsia="zh-CN"/>
              </w:rPr>
            </w:pPr>
            <w:r>
              <w:rPr>
                <w:rFonts w:hint="eastAsia" w:ascii="宋体" w:hAnsi="宋体" w:cs="宋体"/>
                <w:sz w:val="18"/>
                <w:szCs w:val="18"/>
                <w:lang w:val="en-US" w:eastAsia="zh-CN"/>
              </w:rPr>
              <w:t>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境内会计师事务所注册会计师姓名</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李新民、戴志敏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境内会计师事务所注册会计师审计服务的连续年限</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李新民3年、戴志敏3年</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当期是否改聘会计师事务所</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聘请内部控制审计会计师事务所、财务顾问或保荐人情况</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320" w:lineRule="exact"/>
        <w:jc w:val="left"/>
        <w:outlineLvl w:val="1"/>
        <w:rPr>
          <w:rFonts w:ascii="宋体" w:hAnsi="宋体" w:eastAsia="宋体" w:cs="宋体"/>
          <w:b/>
          <w:bCs/>
          <w:sz w:val="24"/>
          <w:szCs w:val="24"/>
        </w:rPr>
      </w:pPr>
      <w:bookmarkStart w:id="116" w:name="_Toc988993"/>
      <w:r>
        <w:rPr>
          <w:rFonts w:ascii="宋体" w:hAnsi="宋体" w:eastAsia="宋体" w:cs="宋体"/>
          <w:b/>
          <w:bCs/>
          <w:sz w:val="24"/>
          <w:szCs w:val="24"/>
        </w:rPr>
        <w:t>九、年度报告披露后面临退市情况</w:t>
      </w:r>
      <w:bookmarkEnd w:id="116"/>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320" w:lineRule="exact"/>
        <w:jc w:val="left"/>
        <w:outlineLvl w:val="1"/>
        <w:rPr>
          <w:rFonts w:ascii="宋体" w:hAnsi="宋体" w:eastAsia="宋体" w:cs="宋体"/>
          <w:b/>
          <w:bCs/>
          <w:sz w:val="24"/>
          <w:szCs w:val="24"/>
        </w:rPr>
      </w:pPr>
      <w:bookmarkStart w:id="117" w:name="_Toc988994"/>
      <w:r>
        <w:rPr>
          <w:rFonts w:ascii="宋体" w:hAnsi="宋体" w:eastAsia="宋体" w:cs="宋体"/>
          <w:b/>
          <w:bCs/>
          <w:sz w:val="24"/>
          <w:szCs w:val="24"/>
        </w:rPr>
        <w:t>十、破产重整相关事项</w:t>
      </w:r>
      <w:bookmarkEnd w:id="117"/>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公司报告期未发生破产重整相关事项。</w:t>
      </w:r>
    </w:p>
    <w:p>
      <w:pPr>
        <w:keepNext/>
        <w:keepLines/>
        <w:spacing w:before="300" w:after="300" w:line="320" w:lineRule="exact"/>
        <w:jc w:val="left"/>
        <w:outlineLvl w:val="1"/>
        <w:rPr>
          <w:rFonts w:ascii="宋体" w:hAnsi="宋体" w:eastAsia="宋体" w:cs="宋体"/>
          <w:b/>
          <w:bCs/>
          <w:sz w:val="24"/>
          <w:szCs w:val="24"/>
        </w:rPr>
      </w:pPr>
      <w:bookmarkStart w:id="118" w:name="_Toc988995"/>
      <w:r>
        <w:rPr>
          <w:rFonts w:ascii="宋体" w:hAnsi="宋体" w:eastAsia="宋体" w:cs="宋体"/>
          <w:b/>
          <w:bCs/>
          <w:sz w:val="24"/>
          <w:szCs w:val="24"/>
        </w:rPr>
        <w:t>十一、重大诉讼、仲裁事项</w:t>
      </w:r>
      <w:bookmarkEnd w:id="118"/>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本报告期公司无重大诉讼、仲裁事项。</w:t>
      </w:r>
    </w:p>
    <w:p>
      <w:pPr>
        <w:keepNext/>
        <w:keepLines/>
        <w:spacing w:before="300" w:after="300" w:line="320" w:lineRule="exact"/>
        <w:jc w:val="left"/>
        <w:outlineLvl w:val="1"/>
        <w:rPr>
          <w:rFonts w:ascii="宋体" w:hAnsi="宋体" w:eastAsia="宋体" w:cs="宋体"/>
          <w:b/>
          <w:bCs/>
          <w:sz w:val="24"/>
          <w:szCs w:val="24"/>
        </w:rPr>
      </w:pPr>
      <w:bookmarkStart w:id="119" w:name="_Toc988996"/>
      <w:r>
        <w:rPr>
          <w:rFonts w:ascii="宋体" w:hAnsi="宋体" w:eastAsia="宋体" w:cs="宋体"/>
          <w:b/>
          <w:bCs/>
          <w:sz w:val="24"/>
          <w:szCs w:val="24"/>
        </w:rPr>
        <w:t>十二、处罚及整改情况</w:t>
      </w:r>
      <w:bookmarkEnd w:id="119"/>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公司报告期不存在处罚及整改情况。</w:t>
      </w:r>
    </w:p>
    <w:p>
      <w:pPr>
        <w:keepNext/>
        <w:keepLines/>
        <w:spacing w:before="300" w:after="300" w:line="320" w:lineRule="exact"/>
        <w:jc w:val="left"/>
        <w:outlineLvl w:val="1"/>
        <w:rPr>
          <w:rFonts w:ascii="宋体" w:hAnsi="宋体" w:eastAsia="宋体" w:cs="宋体"/>
          <w:b/>
          <w:bCs/>
          <w:sz w:val="24"/>
          <w:szCs w:val="24"/>
        </w:rPr>
      </w:pPr>
      <w:bookmarkStart w:id="120" w:name="_Toc988997"/>
      <w:r>
        <w:rPr>
          <w:rFonts w:ascii="宋体" w:hAnsi="宋体" w:eastAsia="宋体" w:cs="宋体"/>
          <w:b/>
          <w:bCs/>
          <w:sz w:val="24"/>
          <w:szCs w:val="24"/>
        </w:rPr>
        <w:t>十三、公司及其控股股东、实际控制人的诚信状况</w:t>
      </w:r>
      <w:bookmarkEnd w:id="120"/>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320" w:lineRule="exact"/>
        <w:jc w:val="left"/>
        <w:outlineLvl w:val="1"/>
        <w:rPr>
          <w:rFonts w:ascii="宋体" w:hAnsi="宋体" w:eastAsia="宋体" w:cs="宋体"/>
          <w:b/>
          <w:bCs/>
          <w:sz w:val="24"/>
          <w:szCs w:val="24"/>
        </w:rPr>
      </w:pPr>
      <w:bookmarkStart w:id="121" w:name="_Toc988998"/>
      <w:r>
        <w:rPr>
          <w:rFonts w:ascii="宋体" w:hAnsi="宋体" w:eastAsia="宋体" w:cs="宋体"/>
          <w:b/>
          <w:bCs/>
          <w:sz w:val="24"/>
          <w:szCs w:val="24"/>
        </w:rPr>
        <w:t>十四、重大关联交易</w:t>
      </w:r>
      <w:bookmarkEnd w:id="121"/>
    </w:p>
    <w:p>
      <w:pPr>
        <w:keepNext/>
        <w:keepLines/>
        <w:spacing w:before="300" w:after="300" w:line="280" w:lineRule="exact"/>
        <w:jc w:val="left"/>
        <w:outlineLvl w:val="2"/>
        <w:rPr>
          <w:rFonts w:ascii="宋体" w:hAnsi="宋体" w:eastAsia="宋体" w:cs="宋体"/>
          <w:b/>
          <w:bCs/>
          <w:sz w:val="21"/>
          <w:szCs w:val="21"/>
        </w:rPr>
      </w:pPr>
      <w:bookmarkStart w:id="122" w:name="_Toc988999"/>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一</w:t>
      </w:r>
      <w:r>
        <w:rPr>
          <w:rFonts w:hint="eastAsia" w:ascii="宋体" w:hAnsi="宋体" w:eastAsia="宋体" w:cs="宋体"/>
          <w:b/>
          <w:bCs/>
          <w:sz w:val="21"/>
          <w:szCs w:val="21"/>
          <w:lang w:eastAsia="zh-CN"/>
        </w:rPr>
        <w:t>）</w:t>
      </w:r>
      <w:r>
        <w:rPr>
          <w:rFonts w:ascii="宋体" w:hAnsi="宋体" w:eastAsia="宋体" w:cs="宋体"/>
          <w:b/>
          <w:bCs/>
          <w:sz w:val="21"/>
          <w:szCs w:val="21"/>
        </w:rPr>
        <w:t>与日常经营相关的关联交易</w:t>
      </w:r>
      <w:bookmarkEnd w:id="122"/>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公司报告期未发生与日常经营相关的关联交易。</w:t>
      </w:r>
    </w:p>
    <w:p>
      <w:pPr>
        <w:keepNext/>
        <w:keepLines/>
        <w:spacing w:before="300" w:after="300" w:line="280" w:lineRule="exact"/>
        <w:jc w:val="left"/>
        <w:outlineLvl w:val="2"/>
        <w:rPr>
          <w:rFonts w:ascii="宋体" w:hAnsi="宋体" w:eastAsia="宋体" w:cs="宋体"/>
          <w:b/>
          <w:bCs/>
          <w:sz w:val="21"/>
          <w:szCs w:val="21"/>
        </w:rPr>
      </w:pPr>
      <w:bookmarkStart w:id="123" w:name="_Toc989000"/>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二</w:t>
      </w:r>
      <w:r>
        <w:rPr>
          <w:rFonts w:hint="eastAsia" w:ascii="宋体" w:hAnsi="宋体" w:eastAsia="宋体" w:cs="宋体"/>
          <w:b/>
          <w:bCs/>
          <w:sz w:val="21"/>
          <w:szCs w:val="21"/>
          <w:lang w:eastAsia="zh-CN"/>
        </w:rPr>
        <w:t>）</w:t>
      </w:r>
      <w:r>
        <w:rPr>
          <w:rFonts w:ascii="宋体" w:hAnsi="宋体" w:eastAsia="宋体" w:cs="宋体"/>
          <w:b/>
          <w:bCs/>
          <w:sz w:val="21"/>
          <w:szCs w:val="21"/>
        </w:rPr>
        <w:t>资产或股权收购、出售发生的关联交易</w:t>
      </w:r>
      <w:bookmarkEnd w:id="123"/>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公司报告期未发生资产或股权收购、出售的关联交易。</w:t>
      </w:r>
    </w:p>
    <w:p>
      <w:pPr>
        <w:keepNext/>
        <w:keepLines/>
        <w:spacing w:before="300" w:after="300" w:line="280" w:lineRule="exact"/>
        <w:jc w:val="left"/>
        <w:outlineLvl w:val="2"/>
        <w:rPr>
          <w:rFonts w:ascii="宋体" w:hAnsi="宋体" w:eastAsia="宋体" w:cs="宋体"/>
          <w:b/>
          <w:bCs/>
          <w:sz w:val="21"/>
          <w:szCs w:val="21"/>
        </w:rPr>
      </w:pPr>
      <w:bookmarkStart w:id="124" w:name="_Toc989001"/>
      <w:bookmarkStart w:id="125" w:name="_Toc989006"/>
      <w:r>
        <w:rPr>
          <w:rFonts w:hint="eastAsia" w:ascii="宋体" w:hAnsi="宋体" w:eastAsia="宋体" w:cs="宋体"/>
          <w:b/>
          <w:bCs/>
          <w:sz w:val="21"/>
          <w:szCs w:val="21"/>
          <w:lang w:eastAsia="zh-CN"/>
        </w:rPr>
        <w:t>（三）</w:t>
      </w:r>
      <w:r>
        <w:rPr>
          <w:rFonts w:ascii="宋体" w:hAnsi="宋体" w:eastAsia="宋体" w:cs="宋体"/>
          <w:b/>
          <w:bCs/>
          <w:sz w:val="21"/>
          <w:szCs w:val="21"/>
        </w:rPr>
        <w:t>共同对外投资的关联交易</w:t>
      </w:r>
      <w:bookmarkEnd w:id="124"/>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公司报告期未发生共同对外投资的关联交易。</w:t>
      </w:r>
    </w:p>
    <w:p>
      <w:pPr>
        <w:keepNext/>
        <w:keepLines/>
        <w:spacing w:before="300" w:after="300" w:line="280" w:lineRule="exact"/>
        <w:jc w:val="left"/>
        <w:outlineLvl w:val="2"/>
        <w:rPr>
          <w:rFonts w:ascii="宋体" w:hAnsi="宋体" w:eastAsia="宋体" w:cs="宋体"/>
          <w:b/>
          <w:bCs/>
          <w:sz w:val="21"/>
          <w:szCs w:val="21"/>
        </w:rPr>
      </w:pPr>
      <w:bookmarkStart w:id="126" w:name="_Toc989002"/>
      <w:r>
        <w:rPr>
          <w:rFonts w:hint="eastAsia" w:ascii="宋体" w:hAnsi="宋体" w:eastAsia="宋体" w:cs="宋体"/>
          <w:b/>
          <w:bCs/>
          <w:sz w:val="21"/>
          <w:szCs w:val="21"/>
          <w:lang w:eastAsia="zh-CN"/>
        </w:rPr>
        <w:t>（四）</w:t>
      </w:r>
      <w:r>
        <w:rPr>
          <w:rFonts w:ascii="宋体" w:hAnsi="宋体" w:eastAsia="宋体" w:cs="宋体"/>
          <w:b/>
          <w:bCs/>
          <w:sz w:val="21"/>
          <w:szCs w:val="21"/>
        </w:rPr>
        <w:t>关联债权债务往来</w:t>
      </w:r>
      <w:bookmarkEnd w:id="126"/>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公司报告期不存在关联债权债务往来。</w:t>
      </w:r>
    </w:p>
    <w:p>
      <w:pPr>
        <w:keepNext/>
        <w:keepLines/>
        <w:spacing w:before="300" w:after="300" w:line="280" w:lineRule="exact"/>
        <w:jc w:val="left"/>
        <w:outlineLvl w:val="2"/>
        <w:rPr>
          <w:rFonts w:ascii="宋体" w:hAnsi="宋体" w:eastAsia="宋体" w:cs="宋体"/>
          <w:b/>
          <w:bCs/>
          <w:sz w:val="21"/>
          <w:szCs w:val="21"/>
        </w:rPr>
      </w:pPr>
      <w:bookmarkStart w:id="127" w:name="_Toc989003"/>
      <w:r>
        <w:rPr>
          <w:rFonts w:hint="eastAsia" w:ascii="宋体" w:hAnsi="宋体" w:eastAsia="宋体" w:cs="宋体"/>
          <w:b/>
          <w:bCs/>
          <w:sz w:val="21"/>
          <w:szCs w:val="21"/>
          <w:lang w:eastAsia="zh-CN"/>
        </w:rPr>
        <w:t>（五）</w:t>
      </w:r>
      <w:r>
        <w:rPr>
          <w:rFonts w:ascii="宋体" w:hAnsi="宋体" w:eastAsia="宋体" w:cs="宋体"/>
          <w:b/>
          <w:bCs/>
          <w:sz w:val="21"/>
          <w:szCs w:val="21"/>
        </w:rPr>
        <w:t>与存在关联关系的财务公司的往来情况</w:t>
      </w:r>
      <w:bookmarkEnd w:id="127"/>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公司与存在关联关系的财务公司与关联方之间不存在存款、贷款、授信或其他金融业务。</w:t>
      </w:r>
    </w:p>
    <w:p>
      <w:pPr>
        <w:keepNext/>
        <w:keepLines/>
        <w:spacing w:before="300" w:after="300" w:line="280" w:lineRule="exact"/>
        <w:jc w:val="left"/>
        <w:outlineLvl w:val="2"/>
        <w:rPr>
          <w:rFonts w:ascii="宋体" w:hAnsi="宋体" w:eastAsia="宋体" w:cs="宋体"/>
          <w:b/>
          <w:bCs/>
          <w:sz w:val="21"/>
          <w:szCs w:val="21"/>
        </w:rPr>
      </w:pPr>
      <w:bookmarkStart w:id="128" w:name="_Toc989004"/>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六</w:t>
      </w:r>
      <w:r>
        <w:rPr>
          <w:rFonts w:hint="eastAsia" w:ascii="宋体" w:hAnsi="宋体" w:eastAsia="宋体" w:cs="宋体"/>
          <w:b/>
          <w:bCs/>
          <w:sz w:val="21"/>
          <w:szCs w:val="21"/>
          <w:lang w:eastAsia="zh-CN"/>
        </w:rPr>
        <w:t>）</w:t>
      </w:r>
      <w:r>
        <w:rPr>
          <w:rFonts w:ascii="宋体" w:hAnsi="宋体" w:eastAsia="宋体" w:cs="宋体"/>
          <w:b/>
          <w:bCs/>
          <w:sz w:val="21"/>
          <w:szCs w:val="21"/>
        </w:rPr>
        <w:t>公司控股的财务公司与关联方的往来情况</w:t>
      </w:r>
      <w:bookmarkEnd w:id="128"/>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公司控股的财务公司与关联方之间不存在存款、贷款、授信或其他金融业务。</w:t>
      </w:r>
    </w:p>
    <w:p>
      <w:pPr>
        <w:keepNext/>
        <w:keepLines/>
        <w:spacing w:before="300" w:after="300" w:line="280" w:lineRule="exact"/>
        <w:jc w:val="left"/>
        <w:outlineLvl w:val="2"/>
        <w:rPr>
          <w:rFonts w:ascii="宋体" w:hAnsi="宋体" w:eastAsia="宋体" w:cs="宋体"/>
          <w:b/>
          <w:bCs/>
          <w:sz w:val="21"/>
          <w:szCs w:val="21"/>
        </w:rPr>
      </w:pPr>
      <w:bookmarkStart w:id="129" w:name="_Toc989005"/>
      <w:r>
        <w:rPr>
          <w:rFonts w:hint="eastAsia" w:ascii="宋体" w:hAnsi="宋体" w:eastAsia="宋体" w:cs="宋体"/>
          <w:b/>
          <w:bCs/>
          <w:sz w:val="21"/>
          <w:szCs w:val="21"/>
          <w:lang w:eastAsia="zh-CN"/>
        </w:rPr>
        <w:t>（七）</w:t>
      </w:r>
      <w:r>
        <w:rPr>
          <w:rFonts w:ascii="宋体" w:hAnsi="宋体" w:eastAsia="宋体" w:cs="宋体"/>
          <w:b/>
          <w:bCs/>
          <w:sz w:val="21"/>
          <w:szCs w:val="21"/>
        </w:rPr>
        <w:t>其他重大关联交易</w:t>
      </w:r>
      <w:bookmarkEnd w:id="129"/>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公司报告期无其他重大关联交易。</w:t>
      </w:r>
    </w:p>
    <w:p>
      <w:pPr>
        <w:keepNext/>
        <w:keepLines/>
        <w:spacing w:before="300" w:after="300" w:line="320" w:lineRule="exact"/>
        <w:jc w:val="left"/>
        <w:outlineLvl w:val="1"/>
        <w:rPr>
          <w:rFonts w:ascii="宋体" w:hAnsi="宋体" w:eastAsia="宋体" w:cs="宋体"/>
          <w:b/>
          <w:bCs/>
          <w:sz w:val="24"/>
          <w:szCs w:val="24"/>
        </w:rPr>
      </w:pPr>
      <w:r>
        <w:rPr>
          <w:rFonts w:ascii="宋体" w:hAnsi="宋体" w:eastAsia="宋体" w:cs="宋体"/>
          <w:b/>
          <w:bCs/>
          <w:sz w:val="24"/>
          <w:szCs w:val="24"/>
        </w:rPr>
        <w:t>十五、重大合同及其履行情况</w:t>
      </w:r>
      <w:bookmarkEnd w:id="125"/>
    </w:p>
    <w:p>
      <w:pPr>
        <w:keepNext/>
        <w:keepLines/>
        <w:spacing w:before="300" w:after="300" w:line="280" w:lineRule="exact"/>
        <w:jc w:val="left"/>
        <w:outlineLvl w:val="2"/>
        <w:rPr>
          <w:rFonts w:ascii="宋体" w:hAnsi="宋体" w:eastAsia="宋体" w:cs="宋体"/>
          <w:b/>
          <w:bCs/>
          <w:sz w:val="21"/>
          <w:szCs w:val="21"/>
        </w:rPr>
      </w:pPr>
      <w:bookmarkStart w:id="130" w:name="_Toc989007"/>
      <w:bookmarkStart w:id="131" w:name="_Toc989008"/>
      <w:r>
        <w:rPr>
          <w:rFonts w:hint="eastAsia" w:ascii="宋体" w:hAnsi="宋体" w:cs="宋体"/>
          <w:b/>
          <w:bCs/>
          <w:sz w:val="21"/>
          <w:szCs w:val="21"/>
          <w:lang w:eastAsia="zh-CN"/>
        </w:rPr>
        <w:t>（一）</w:t>
      </w:r>
      <w:r>
        <w:rPr>
          <w:rFonts w:ascii="宋体" w:hAnsi="宋体" w:eastAsia="宋体" w:cs="宋体"/>
          <w:b/>
          <w:bCs/>
          <w:sz w:val="21"/>
          <w:szCs w:val="21"/>
        </w:rPr>
        <w:t>托管、承包、租赁事项情况</w:t>
      </w:r>
      <w:bookmarkEnd w:id="130"/>
    </w:p>
    <w:p>
      <w:pPr>
        <w:keepNext/>
        <w:keepLines/>
        <w:spacing w:before="300" w:after="300" w:line="280" w:lineRule="exact"/>
        <w:jc w:val="left"/>
        <w:outlineLvl w:val="3"/>
        <w:rPr>
          <w:rFonts w:ascii="宋体" w:hAnsi="宋体" w:eastAsia="宋体" w:cs="宋体"/>
          <w:b/>
          <w:bCs/>
          <w:sz w:val="18"/>
          <w:szCs w:val="18"/>
        </w:rPr>
      </w:pPr>
      <w:r>
        <w:rPr>
          <w:rFonts w:hint="eastAsia" w:ascii="宋体" w:hAnsi="宋体" w:eastAsia="宋体" w:cs="宋体"/>
          <w:b/>
          <w:bCs/>
          <w:sz w:val="18"/>
          <w:szCs w:val="18"/>
          <w:lang w:val="en-US" w:eastAsia="zh-CN"/>
        </w:rPr>
        <w:t>1.</w:t>
      </w:r>
      <w:r>
        <w:rPr>
          <w:rFonts w:ascii="宋体" w:hAnsi="宋体" w:eastAsia="宋体" w:cs="宋体"/>
          <w:b/>
          <w:bCs/>
          <w:sz w:val="18"/>
          <w:szCs w:val="18"/>
        </w:rPr>
        <w:t>托管情况</w:t>
      </w:r>
      <w:bookmarkEnd w:id="131"/>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公司报告期不存在托管情况。</w:t>
      </w:r>
    </w:p>
    <w:p>
      <w:pPr>
        <w:keepNext/>
        <w:keepLines/>
        <w:spacing w:before="300" w:after="300" w:line="280" w:lineRule="exact"/>
        <w:jc w:val="left"/>
        <w:outlineLvl w:val="3"/>
        <w:rPr>
          <w:rFonts w:ascii="宋体" w:hAnsi="宋体" w:eastAsia="宋体" w:cs="宋体"/>
          <w:b/>
          <w:bCs/>
          <w:sz w:val="18"/>
          <w:szCs w:val="18"/>
        </w:rPr>
      </w:pPr>
      <w:bookmarkStart w:id="132" w:name="_Toc989009"/>
      <w:r>
        <w:rPr>
          <w:rFonts w:hint="eastAsia" w:ascii="宋体" w:hAnsi="宋体" w:cs="宋体"/>
          <w:b/>
          <w:bCs/>
          <w:sz w:val="18"/>
          <w:szCs w:val="18"/>
          <w:lang w:val="en-US" w:eastAsia="zh-CN"/>
        </w:rPr>
        <w:t>2.</w:t>
      </w:r>
      <w:r>
        <w:rPr>
          <w:rFonts w:ascii="宋体" w:hAnsi="宋体" w:eastAsia="宋体" w:cs="宋体"/>
          <w:b/>
          <w:bCs/>
          <w:sz w:val="18"/>
          <w:szCs w:val="18"/>
        </w:rPr>
        <w:t>承包情况</w:t>
      </w:r>
      <w:bookmarkEnd w:id="132"/>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公司报告期不存在承包情况。</w:t>
      </w:r>
    </w:p>
    <w:p>
      <w:pPr>
        <w:keepNext/>
        <w:keepLines/>
        <w:spacing w:before="300" w:after="300" w:line="280" w:lineRule="exact"/>
        <w:jc w:val="left"/>
        <w:outlineLvl w:val="3"/>
        <w:rPr>
          <w:rFonts w:ascii="宋体" w:hAnsi="宋体" w:eastAsia="宋体" w:cs="宋体"/>
          <w:b/>
          <w:bCs/>
          <w:sz w:val="18"/>
          <w:szCs w:val="18"/>
        </w:rPr>
      </w:pPr>
      <w:bookmarkStart w:id="133" w:name="_Toc989010"/>
      <w:r>
        <w:rPr>
          <w:rFonts w:hint="eastAsia" w:ascii="宋体" w:hAnsi="宋体" w:cs="宋体"/>
          <w:b/>
          <w:bCs/>
          <w:sz w:val="18"/>
          <w:szCs w:val="18"/>
          <w:lang w:val="en-US" w:eastAsia="zh-CN"/>
        </w:rPr>
        <w:t>3.</w:t>
      </w:r>
      <w:r>
        <w:rPr>
          <w:rFonts w:ascii="宋体" w:hAnsi="宋体" w:eastAsia="宋体" w:cs="宋体"/>
          <w:b/>
          <w:bCs/>
          <w:sz w:val="18"/>
          <w:szCs w:val="18"/>
        </w:rPr>
        <w:t>租赁情况</w:t>
      </w:r>
      <w:bookmarkEnd w:id="133"/>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公司报告期不存在租赁情况。</w:t>
      </w:r>
    </w:p>
    <w:p>
      <w:pPr>
        <w:keepNext/>
        <w:keepLines/>
        <w:spacing w:before="300" w:after="300" w:line="280" w:lineRule="exact"/>
        <w:jc w:val="left"/>
        <w:outlineLvl w:val="2"/>
        <w:rPr>
          <w:rFonts w:ascii="宋体" w:hAnsi="宋体" w:eastAsia="宋体" w:cs="宋体"/>
          <w:b/>
          <w:bCs/>
          <w:sz w:val="21"/>
          <w:szCs w:val="21"/>
        </w:rPr>
      </w:pPr>
      <w:bookmarkStart w:id="134" w:name="_Toc989011"/>
      <w:r>
        <w:rPr>
          <w:rFonts w:hint="eastAsia" w:ascii="宋体" w:hAnsi="宋体" w:cs="宋体"/>
          <w:b/>
          <w:bCs/>
          <w:sz w:val="21"/>
          <w:szCs w:val="21"/>
          <w:lang w:eastAsia="zh-CN"/>
        </w:rPr>
        <w:t>（二）</w:t>
      </w:r>
      <w:r>
        <w:rPr>
          <w:rFonts w:ascii="宋体" w:hAnsi="宋体" w:eastAsia="宋体" w:cs="宋体"/>
          <w:b/>
          <w:bCs/>
          <w:sz w:val="21"/>
          <w:szCs w:val="21"/>
        </w:rPr>
        <w:t>重大担保</w:t>
      </w:r>
      <w:bookmarkEnd w:id="134"/>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keepNext w:val="0"/>
        <w:keepLines w:val="0"/>
        <w:pageBreakBefore w:val="0"/>
        <w:widowControl w:val="0"/>
        <w:kinsoku/>
        <w:wordWrap/>
        <w:overflowPunct/>
        <w:topLinePunct w:val="0"/>
        <w:autoSpaceDE/>
        <w:autoSpaceDN/>
        <w:bidi w:val="0"/>
        <w:adjustRightInd/>
        <w:snapToGrid/>
        <w:spacing w:line="240" w:lineRule="exact"/>
        <w:jc w:val="right"/>
        <w:textAlignment w:val="auto"/>
        <w:rPr>
          <w:rFonts w:ascii="宋体" w:hAnsi="宋体" w:eastAsia="宋体" w:cs="宋体"/>
          <w:sz w:val="18"/>
          <w:szCs w:val="18"/>
        </w:rPr>
      </w:pPr>
      <w:r>
        <w:rPr>
          <w:rFonts w:ascii="宋体" w:hAnsi="宋体" w:eastAsia="宋体" w:cs="宋体"/>
          <w:sz w:val="18"/>
          <w:szCs w:val="18"/>
        </w:rPr>
        <w:t>单位：万元</w:t>
      </w:r>
    </w:p>
    <w:tbl>
      <w:tblPr>
        <w:tblStyle w:val="5"/>
        <w:tblW w:w="963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76"/>
        <w:gridCol w:w="876"/>
        <w:gridCol w:w="876"/>
        <w:gridCol w:w="876"/>
        <w:gridCol w:w="876"/>
        <w:gridCol w:w="876"/>
        <w:gridCol w:w="876"/>
        <w:gridCol w:w="876"/>
        <w:gridCol w:w="876"/>
        <w:gridCol w:w="876"/>
        <w:gridCol w:w="8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6" w:type="dxa"/>
            <w:gridSpan w:val="11"/>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公司及其子公司对外担保情况（不包括对子公司的担保）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担保对象名称</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担保额度相关公告披露日期</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担保额度</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实际发生日期</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实际担保金额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担保类型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担保物（如有）</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反担保情况（如有）</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担保期</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是否履行完毕</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是否为关联方担保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6" w:type="dxa"/>
            <w:gridSpan w:val="11"/>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6" w:type="dxa"/>
            <w:gridSpan w:val="11"/>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公司对子公司的担保情况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担保对象名称</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担保额度相关公告披露日期</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担保额度</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实际发生日期</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实际担保金额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担保类型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担保物（如有）</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反担保情况（如有）</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担保期</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是否履行完毕</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是否为关联方担保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湖南博云东方粉末冶金有限公司</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bookmarkStart w:id="135" w:name="OLE_LINK17"/>
            <w:r>
              <w:rPr>
                <w:rFonts w:ascii="宋体" w:hAnsi="宋体" w:eastAsia="宋体" w:cs="宋体"/>
                <w:sz w:val="18"/>
                <w:szCs w:val="18"/>
              </w:rPr>
              <w:t>4,000</w:t>
            </w:r>
            <w:bookmarkEnd w:id="135"/>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eastAsia" w:ascii="宋体" w:hAnsi="宋体" w:eastAsia="宋体" w:cs="宋体"/>
                <w:sz w:val="18"/>
                <w:szCs w:val="18"/>
                <w:lang w:val="en-US" w:eastAsia="zh-CN"/>
              </w:rPr>
            </w:pPr>
            <w:r>
              <w:rPr>
                <w:rFonts w:ascii="宋体" w:hAnsi="宋体" w:eastAsia="宋体" w:cs="宋体"/>
                <w:sz w:val="18"/>
                <w:szCs w:val="18"/>
              </w:rPr>
              <w:t>4,000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连带责任保证</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highlight w:val="none"/>
              </w:rPr>
              <w:t>2020年8月21日至202</w:t>
            </w:r>
            <w:r>
              <w:rPr>
                <w:rFonts w:hint="eastAsia" w:ascii="宋体" w:hAnsi="宋体" w:cs="宋体"/>
                <w:sz w:val="18"/>
                <w:szCs w:val="18"/>
                <w:highlight w:val="none"/>
                <w:lang w:val="en-US" w:eastAsia="zh-CN"/>
              </w:rPr>
              <w:t>4</w:t>
            </w:r>
            <w:r>
              <w:rPr>
                <w:rFonts w:ascii="宋体" w:hAnsi="宋体" w:eastAsia="宋体" w:cs="宋体"/>
                <w:sz w:val="18"/>
                <w:szCs w:val="18"/>
                <w:highlight w:val="none"/>
              </w:rPr>
              <w:t>年</w:t>
            </w:r>
            <w:r>
              <w:rPr>
                <w:rFonts w:hint="eastAsia" w:ascii="宋体" w:hAnsi="宋体" w:cs="宋体"/>
                <w:sz w:val="18"/>
                <w:szCs w:val="18"/>
                <w:highlight w:val="none"/>
                <w:lang w:val="en-US" w:eastAsia="zh-CN"/>
              </w:rPr>
              <w:t>6</w:t>
            </w:r>
            <w:r>
              <w:rPr>
                <w:rFonts w:ascii="宋体" w:hAnsi="宋体" w:eastAsia="宋体" w:cs="宋体"/>
                <w:sz w:val="18"/>
                <w:szCs w:val="18"/>
                <w:highlight w:val="none"/>
              </w:rPr>
              <w:t>月2</w:t>
            </w:r>
            <w:r>
              <w:rPr>
                <w:rFonts w:hint="eastAsia" w:ascii="宋体" w:hAnsi="宋体" w:cs="宋体"/>
                <w:sz w:val="18"/>
                <w:szCs w:val="18"/>
                <w:highlight w:val="none"/>
                <w:lang w:val="en-US" w:eastAsia="zh-CN"/>
              </w:rPr>
              <w:t>0</w:t>
            </w:r>
            <w:r>
              <w:rPr>
                <w:rFonts w:ascii="宋体" w:hAnsi="宋体" w:eastAsia="宋体" w:cs="宋体"/>
                <w:sz w:val="18"/>
                <w:szCs w:val="18"/>
                <w:highlight w:val="none"/>
              </w:rPr>
              <w:t>日</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eastAsia" w:ascii="宋体" w:hAnsi="宋体" w:eastAsia="宋体" w:cs="宋体"/>
                <w:sz w:val="18"/>
                <w:szCs w:val="18"/>
                <w:lang w:eastAsia="zh-CN"/>
              </w:rPr>
            </w:pPr>
            <w:r>
              <w:rPr>
                <w:rFonts w:hint="eastAsia" w:ascii="宋体" w:hAnsi="宋体" w:cs="宋体"/>
                <w:sz w:val="18"/>
                <w:szCs w:val="18"/>
                <w:lang w:eastAsia="zh-CN"/>
              </w:rPr>
              <w:t>是</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628"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报告期内审批对子公司担保额度合计（B1）</w:t>
            </w:r>
          </w:p>
        </w:tc>
        <w:tc>
          <w:tcPr>
            <w:tcW w:w="1752"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4,000</w:t>
            </w:r>
          </w:p>
        </w:tc>
        <w:tc>
          <w:tcPr>
            <w:tcW w:w="2628"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报告期内对子公司担保实际发生额合计（B2）</w:t>
            </w:r>
          </w:p>
        </w:tc>
        <w:tc>
          <w:tcPr>
            <w:tcW w:w="2628"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宋体" w:hAnsi="宋体" w:eastAsia="宋体" w:cs="宋体"/>
                <w:sz w:val="18"/>
                <w:szCs w:val="18"/>
                <w:lang w:val="en-US" w:eastAsia="zh-CN"/>
              </w:rPr>
            </w:pPr>
            <w:r>
              <w:rPr>
                <w:rFonts w:hint="eastAsia" w:ascii="宋体" w:hAnsi="宋体" w:cs="宋体"/>
                <w:sz w:val="18"/>
                <w:szCs w:val="18"/>
                <w:lang w:val="en-US" w:eastAsia="zh-CN"/>
              </w:rPr>
              <w:t>4,000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628"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报告期末已审批的对子公司担保额度合计（B3）</w:t>
            </w:r>
          </w:p>
        </w:tc>
        <w:tc>
          <w:tcPr>
            <w:tcW w:w="1752"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eastAsia" w:ascii="宋体" w:hAnsi="宋体" w:eastAsia="宋体" w:cs="宋体"/>
                <w:sz w:val="18"/>
                <w:szCs w:val="18"/>
                <w:lang w:eastAsia="zh-CN"/>
              </w:rPr>
            </w:pPr>
            <w:r>
              <w:rPr>
                <w:rFonts w:hint="eastAsia" w:ascii="宋体" w:hAnsi="宋体" w:cs="宋体"/>
                <w:sz w:val="18"/>
                <w:szCs w:val="18"/>
                <w:lang w:val="en-US" w:eastAsia="zh-CN"/>
              </w:rPr>
              <w:t>0</w:t>
            </w:r>
          </w:p>
        </w:tc>
        <w:tc>
          <w:tcPr>
            <w:tcW w:w="2628"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报告期末对子公司实际担保余额合计（B4）</w:t>
            </w:r>
          </w:p>
        </w:tc>
        <w:tc>
          <w:tcPr>
            <w:tcW w:w="2628"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eastAsia" w:ascii="宋体" w:hAnsi="宋体" w:eastAsia="宋体" w:cs="宋体"/>
                <w:sz w:val="18"/>
                <w:szCs w:val="18"/>
                <w:lang w:val="en-US" w:eastAsia="zh-CN"/>
              </w:rPr>
            </w:pPr>
            <w:r>
              <w:rPr>
                <w:rFonts w:hint="eastAsia" w:ascii="宋体" w:hAnsi="宋体" w:cs="宋体"/>
                <w:sz w:val="18"/>
                <w:szCs w:val="18"/>
                <w:lang w:val="en-US" w:eastAsia="zh-CN"/>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6" w:type="dxa"/>
            <w:gridSpan w:val="11"/>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子公司对子公司的担保情况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担保对象名称</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担保额度相关公告披露日期</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担保额度</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实际发生日期</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实际担保金额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担保类型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担保物（如有）</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反担保情况（如有）</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担保期</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是否履行完毕</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是否为关联方担保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6" w:type="dxa"/>
            <w:gridSpan w:val="11"/>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6" w:type="dxa"/>
            <w:gridSpan w:val="11"/>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公司担保总额（即前三大项的合计）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628"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报告期内审批担保额度合计（A1+B1+C1）</w:t>
            </w:r>
          </w:p>
        </w:tc>
        <w:tc>
          <w:tcPr>
            <w:tcW w:w="1752"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4,000</w:t>
            </w:r>
          </w:p>
        </w:tc>
        <w:tc>
          <w:tcPr>
            <w:tcW w:w="2628"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报告期内担保实际发生额合计（A2+B2+C2）</w:t>
            </w:r>
          </w:p>
        </w:tc>
        <w:tc>
          <w:tcPr>
            <w:tcW w:w="2628"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628"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报告期末已审批的担保额度合计（A3+B3+C3）</w:t>
            </w:r>
          </w:p>
        </w:tc>
        <w:tc>
          <w:tcPr>
            <w:tcW w:w="1752"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eastAsia" w:ascii="宋体" w:hAnsi="宋体" w:eastAsia="宋体" w:cs="宋体"/>
                <w:sz w:val="18"/>
                <w:szCs w:val="18"/>
                <w:lang w:val="en-US" w:eastAsia="zh-CN"/>
              </w:rPr>
            </w:pPr>
            <w:r>
              <w:rPr>
                <w:rFonts w:hint="eastAsia" w:ascii="宋体" w:hAnsi="宋体" w:cs="宋体"/>
                <w:sz w:val="18"/>
                <w:szCs w:val="18"/>
                <w:lang w:val="en-US" w:eastAsia="zh-CN"/>
              </w:rPr>
              <w:t>0</w:t>
            </w:r>
          </w:p>
        </w:tc>
        <w:tc>
          <w:tcPr>
            <w:tcW w:w="2628"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报告期末实际担保余额合计（A4+B4+C4）</w:t>
            </w:r>
          </w:p>
        </w:tc>
        <w:tc>
          <w:tcPr>
            <w:tcW w:w="2628"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eastAsia" w:ascii="宋体" w:hAnsi="宋体" w:eastAsia="宋体" w:cs="宋体"/>
                <w:sz w:val="18"/>
                <w:szCs w:val="18"/>
                <w:lang w:val="en-US" w:eastAsia="zh-CN"/>
              </w:rPr>
            </w:pPr>
            <w:r>
              <w:rPr>
                <w:rFonts w:hint="eastAsia" w:ascii="宋体" w:hAnsi="宋体" w:cs="宋体"/>
                <w:sz w:val="18"/>
                <w:szCs w:val="18"/>
                <w:lang w:val="en-US" w:eastAsia="zh-CN"/>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504"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实际担保总额（即A4+B4+C4）占公司净资产的比例</w:t>
            </w:r>
          </w:p>
        </w:tc>
        <w:tc>
          <w:tcPr>
            <w:tcW w:w="6132" w:type="dxa"/>
            <w:gridSpan w:val="7"/>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6" w:type="dxa"/>
            <w:gridSpan w:val="11"/>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其中：</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采用复合方式担保的具体情况说明</w:t>
      </w:r>
    </w:p>
    <w:p>
      <w:pPr>
        <w:keepNext/>
        <w:keepLines/>
        <w:spacing w:before="300" w:after="300" w:line="280" w:lineRule="exact"/>
        <w:jc w:val="left"/>
        <w:outlineLvl w:val="2"/>
        <w:rPr>
          <w:rFonts w:ascii="宋体" w:hAnsi="宋体" w:eastAsia="宋体" w:cs="宋体"/>
          <w:b/>
          <w:bCs/>
          <w:sz w:val="21"/>
          <w:szCs w:val="21"/>
        </w:rPr>
      </w:pPr>
      <w:bookmarkStart w:id="136" w:name="_Toc989012"/>
      <w:bookmarkStart w:id="137" w:name="_Toc989016"/>
      <w:r>
        <w:rPr>
          <w:rFonts w:hint="eastAsia" w:ascii="宋体" w:hAnsi="宋体" w:cs="宋体"/>
          <w:b/>
          <w:bCs/>
          <w:sz w:val="21"/>
          <w:szCs w:val="21"/>
          <w:lang w:eastAsia="zh-CN"/>
        </w:rPr>
        <w:t>（三）</w:t>
      </w:r>
      <w:r>
        <w:rPr>
          <w:rFonts w:ascii="宋体" w:hAnsi="宋体" w:eastAsia="宋体" w:cs="宋体"/>
          <w:b/>
          <w:bCs/>
          <w:sz w:val="21"/>
          <w:szCs w:val="21"/>
        </w:rPr>
        <w:t>委托他人进行现金资产管理情况</w:t>
      </w:r>
      <w:bookmarkEnd w:id="136"/>
    </w:p>
    <w:p>
      <w:pPr>
        <w:keepNext/>
        <w:keepLines/>
        <w:spacing w:before="300" w:after="300" w:line="280" w:lineRule="exact"/>
        <w:jc w:val="left"/>
        <w:outlineLvl w:val="3"/>
        <w:rPr>
          <w:rFonts w:ascii="宋体" w:hAnsi="宋体" w:eastAsia="宋体" w:cs="宋体"/>
          <w:b/>
          <w:bCs/>
          <w:sz w:val="18"/>
          <w:szCs w:val="18"/>
        </w:rPr>
      </w:pPr>
      <w:bookmarkStart w:id="138" w:name="_Toc989013"/>
      <w:r>
        <w:rPr>
          <w:rFonts w:hint="eastAsia" w:ascii="宋体" w:hAnsi="宋体" w:cs="宋体"/>
          <w:b/>
          <w:bCs/>
          <w:sz w:val="18"/>
          <w:szCs w:val="18"/>
          <w:lang w:val="en-US" w:eastAsia="zh-CN"/>
        </w:rPr>
        <w:t>1.</w:t>
      </w:r>
      <w:r>
        <w:rPr>
          <w:rFonts w:ascii="宋体" w:hAnsi="宋体" w:eastAsia="宋体" w:cs="宋体"/>
          <w:b/>
          <w:bCs/>
          <w:sz w:val="18"/>
          <w:szCs w:val="18"/>
        </w:rPr>
        <w:t>委托理财情况</w:t>
      </w:r>
      <w:bookmarkEnd w:id="138"/>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公司报告期不存在委托理财。</w:t>
      </w:r>
    </w:p>
    <w:p>
      <w:pPr>
        <w:keepNext/>
        <w:keepLines/>
        <w:spacing w:before="300" w:after="300" w:line="280" w:lineRule="exact"/>
        <w:jc w:val="left"/>
        <w:outlineLvl w:val="3"/>
        <w:rPr>
          <w:rFonts w:ascii="宋体" w:hAnsi="宋体" w:eastAsia="宋体" w:cs="宋体"/>
          <w:b/>
          <w:bCs/>
          <w:sz w:val="18"/>
          <w:szCs w:val="18"/>
        </w:rPr>
      </w:pPr>
      <w:bookmarkStart w:id="139" w:name="_Toc989014"/>
      <w:r>
        <w:rPr>
          <w:rFonts w:hint="eastAsia" w:ascii="宋体" w:hAnsi="宋体" w:cs="宋体"/>
          <w:b/>
          <w:bCs/>
          <w:sz w:val="18"/>
          <w:szCs w:val="18"/>
          <w:lang w:val="en-US" w:eastAsia="zh-CN"/>
        </w:rPr>
        <w:t>2.</w:t>
      </w:r>
      <w:r>
        <w:rPr>
          <w:rFonts w:ascii="宋体" w:hAnsi="宋体" w:eastAsia="宋体" w:cs="宋体"/>
          <w:b/>
          <w:bCs/>
          <w:sz w:val="18"/>
          <w:szCs w:val="18"/>
        </w:rPr>
        <w:t>委托贷款情况</w:t>
      </w:r>
      <w:bookmarkEnd w:id="139"/>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公司报告期不存在委托贷款。</w:t>
      </w:r>
    </w:p>
    <w:p>
      <w:pPr>
        <w:keepNext/>
        <w:keepLines/>
        <w:spacing w:before="300" w:after="300" w:line="280" w:lineRule="exact"/>
        <w:jc w:val="left"/>
        <w:outlineLvl w:val="2"/>
        <w:rPr>
          <w:rFonts w:ascii="宋体" w:hAnsi="宋体" w:eastAsia="宋体" w:cs="宋体"/>
          <w:b/>
          <w:bCs/>
          <w:sz w:val="21"/>
          <w:szCs w:val="21"/>
        </w:rPr>
      </w:pPr>
      <w:bookmarkStart w:id="140" w:name="_Toc989015"/>
      <w:r>
        <w:rPr>
          <w:rFonts w:hint="eastAsia" w:ascii="宋体" w:hAnsi="宋体" w:cs="宋体"/>
          <w:b/>
          <w:bCs/>
          <w:sz w:val="21"/>
          <w:szCs w:val="21"/>
          <w:lang w:eastAsia="zh-CN"/>
        </w:rPr>
        <w:t>（四）</w:t>
      </w:r>
      <w:r>
        <w:rPr>
          <w:rFonts w:ascii="宋体" w:hAnsi="宋体" w:eastAsia="宋体" w:cs="宋体"/>
          <w:b/>
          <w:bCs/>
          <w:sz w:val="21"/>
          <w:szCs w:val="21"/>
        </w:rPr>
        <w:t>其他重大合同</w:t>
      </w:r>
      <w:bookmarkEnd w:id="140"/>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公司报告期不存在其他重大合同。</w:t>
      </w:r>
    </w:p>
    <w:p>
      <w:pPr>
        <w:keepNext/>
        <w:keepLines/>
        <w:spacing w:before="300" w:after="300" w:line="320" w:lineRule="exact"/>
        <w:jc w:val="left"/>
        <w:outlineLvl w:val="1"/>
        <w:rPr>
          <w:rFonts w:ascii="宋体" w:hAnsi="宋体" w:eastAsia="宋体" w:cs="宋体"/>
          <w:b/>
          <w:bCs/>
          <w:sz w:val="24"/>
          <w:szCs w:val="24"/>
        </w:rPr>
      </w:pPr>
      <w:r>
        <w:rPr>
          <w:rFonts w:ascii="宋体" w:hAnsi="宋体" w:eastAsia="宋体" w:cs="宋体"/>
          <w:b/>
          <w:bCs/>
          <w:sz w:val="24"/>
          <w:szCs w:val="24"/>
        </w:rPr>
        <w:t>十六、其他重大事项的说明</w:t>
      </w:r>
      <w:bookmarkEnd w:id="137"/>
    </w:p>
    <w:p>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pStyle w:val="4"/>
        <w:keepNext w:val="0"/>
        <w:keepLines w:val="0"/>
        <w:widowControl/>
        <w:suppressLineNumbers w:val="0"/>
        <w:autoSpaceDE w:val="0"/>
        <w:autoSpaceDN/>
        <w:spacing w:before="0" w:beforeAutospacing="1" w:after="0" w:afterAutospacing="1" w:line="360" w:lineRule="atLeast"/>
        <w:ind w:left="0" w:right="0" w:firstLine="420"/>
        <w:jc w:val="both"/>
      </w:pPr>
      <w:r>
        <w:rPr>
          <w:rFonts w:hint="eastAsia" w:ascii="宋体" w:hAnsi="宋体" w:eastAsia="宋体" w:cs="宋体"/>
          <w:sz w:val="21"/>
          <w:szCs w:val="21"/>
        </w:rPr>
        <w:t>2024年6月11日，公司召开第七届董事会第十二次会议审议通过了《湖南博云新材料股份有限公司关于与控股股东和兴湘资本签署〈代为培育协议〉暨关联交易的议案》，同意公司与控股股东粉冶中心及湖南兴湘资本管理有限公司签署《代为培育协议》，由粉冶中心和湖南兴湘资本管理有限公司按照市场原则为公司代为培育符合公司需要的，但暂不适合公司实施的飞机机轮刹车系统部分核心部件关键技术研究与产品开发项目（主要包括飞机铝合金轮毂部分组件、高性能低成本碳盘和控制系统部分附件）的研发、生产，培育标的成熟达到注入上市公司的条件时，粉</w:t>
      </w:r>
      <w:r>
        <w:rPr>
          <w:rFonts w:hint="eastAsia" w:ascii="宋体" w:hAnsi="宋体" w:cs="宋体"/>
          <w:sz w:val="21"/>
          <w:szCs w:val="21"/>
          <w:lang w:eastAsia="zh-CN"/>
        </w:rPr>
        <w:t>冶</w:t>
      </w:r>
      <w:r>
        <w:rPr>
          <w:rFonts w:hint="eastAsia" w:ascii="宋体" w:hAnsi="宋体" w:eastAsia="宋体" w:cs="宋体"/>
          <w:sz w:val="21"/>
          <w:szCs w:val="21"/>
        </w:rPr>
        <w:t>中心和湖南兴湘资本管理有限公司应立即书面通知公司，并启动代培育项目注入公司的程序。具体内容详见刊登在指定媒体和巨潮资讯网上的《湖南博云新材料股份有限公司关于与控股股东和兴湘资本签署〈代为培育协议〉暨关联交易的公告》（公告编号：2024-021）。</w:t>
      </w:r>
    </w:p>
    <w:p>
      <w:pPr>
        <w:pStyle w:val="4"/>
        <w:keepNext w:val="0"/>
        <w:keepLines w:val="0"/>
        <w:widowControl/>
        <w:suppressLineNumbers w:val="0"/>
        <w:autoSpaceDE w:val="0"/>
        <w:autoSpaceDN/>
        <w:spacing w:before="0" w:beforeAutospacing="1" w:after="0" w:afterAutospacing="1" w:line="360" w:lineRule="atLeast"/>
        <w:ind w:left="0" w:right="0" w:firstLine="420"/>
        <w:jc w:val="both"/>
      </w:pPr>
      <w:r>
        <w:rPr>
          <w:rFonts w:hint="eastAsia" w:ascii="宋体" w:hAnsi="宋体" w:eastAsia="宋体" w:cs="宋体"/>
          <w:sz w:val="21"/>
          <w:szCs w:val="21"/>
        </w:rPr>
        <w:t>2024年8月22日，公司召开第七届董事会第十三次会议审议通过了《湖南博云新材料股份有限公司关于拟终止转让参股公司部分股权的议案》，同意公司终止转让霍尼韦尔博云航空系统（湖南）有限公司31%的股权。具体内容详见刊登在指定媒体和巨潮资讯网上的《湖南博云新材料股份有限公司关于拟终止转让参股公司部分股权的公告》（公告编号：2024-032）。</w:t>
      </w:r>
    </w:p>
    <w:p>
      <w:pPr>
        <w:keepNext/>
        <w:keepLines/>
        <w:spacing w:before="300" w:after="300" w:line="320" w:lineRule="exact"/>
        <w:jc w:val="left"/>
        <w:outlineLvl w:val="1"/>
        <w:rPr>
          <w:rFonts w:ascii="宋体" w:hAnsi="宋体" w:eastAsia="宋体" w:cs="宋体"/>
          <w:b/>
          <w:bCs/>
          <w:sz w:val="24"/>
          <w:szCs w:val="24"/>
        </w:rPr>
      </w:pPr>
      <w:bookmarkStart w:id="141" w:name="_Toc989017"/>
      <w:r>
        <w:rPr>
          <w:rFonts w:ascii="宋体" w:hAnsi="宋体" w:eastAsia="宋体" w:cs="宋体"/>
          <w:b/>
          <w:bCs/>
          <w:sz w:val="24"/>
          <w:szCs w:val="24"/>
        </w:rPr>
        <w:t>十七、公司子公司重大事项</w:t>
      </w:r>
      <w:bookmarkEnd w:id="141"/>
    </w:p>
    <w:p>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pStyle w:val="4"/>
        <w:keepNext w:val="0"/>
        <w:keepLines w:val="0"/>
        <w:widowControl/>
        <w:suppressLineNumbers w:val="0"/>
        <w:autoSpaceDE w:val="0"/>
        <w:autoSpaceDN/>
        <w:spacing w:before="0" w:beforeAutospacing="1" w:after="0" w:afterAutospacing="1" w:line="360" w:lineRule="atLeast"/>
        <w:ind w:left="0" w:right="0" w:firstLine="420"/>
        <w:jc w:val="both"/>
      </w:pPr>
      <w:r>
        <w:rPr>
          <w:rFonts w:hint="eastAsia" w:ascii="宋体" w:hAnsi="宋体" w:eastAsia="宋体" w:cs="宋体"/>
          <w:sz w:val="21"/>
          <w:szCs w:val="21"/>
        </w:rPr>
        <w:t>2024年4月1日，公司召开第七届董事会第九次会议审议通过了《湖南博云新材料股份有限公司关于控股子公司对外转让资产暨关联交易的议案》，同意公司控股子公司博云东方将其部分闲置资产涂层炉等相关设备转让给湖南沃尔博精密工具有限公司。2024年12月，本次资产转让的评估备案及交易工作已完成，根据评估备案结果，转让资产的最终评估值为人民币2797.3万元（不含税为2475.49万元），资产转让的价格最终依据评估结果确定为人民币2797.3万元（含税），子公司博云东方已收到本次涂层炉等相关设备转让款人民币2797.3万元，从而完成了闲置资产涂层炉等相关设备转让事项。具体内容详见刊登在指定媒体和巨潮资讯网上的《关于控股子公司对外转让资产暨关联交易的公告》（公告编号：2024-010）及《湖南博云新材料股份有限公司关于控股子公司对外转让资产的进展公告》（公告编号：2024-039）。</w:t>
      </w:r>
    </w:p>
    <w:p>
      <w:pPr>
        <w:pStyle w:val="4"/>
        <w:keepNext w:val="0"/>
        <w:keepLines w:val="0"/>
        <w:widowControl/>
        <w:suppressLineNumbers w:val="0"/>
        <w:autoSpaceDE w:val="0"/>
        <w:autoSpaceDN/>
        <w:spacing w:before="0" w:beforeAutospacing="1" w:after="0" w:afterAutospacing="1" w:line="360" w:lineRule="atLeast"/>
        <w:ind w:left="0" w:right="0" w:firstLine="420"/>
        <w:jc w:val="both"/>
      </w:pPr>
      <w:r>
        <w:rPr>
          <w:rFonts w:hint="eastAsia" w:ascii="宋体" w:hAnsi="宋体" w:eastAsia="宋体" w:cs="宋体"/>
          <w:sz w:val="21"/>
          <w:szCs w:val="21"/>
        </w:rPr>
        <w:t>2024年6月11日，公司召开第七届董事会第十二次会议审议通过了《湖南博云新材料股份有限公司关于全资子公司长沙鑫航XXX机轮及刹车系统研制保障条件建设项目以前年度收到的政府补助资金变更为国有资本金注入的议案》，同意全资子公司长沙鑫航根据工信部要求将“XXX机轮及刹车系统研制保障条件建设项目”以前年度累计收到政府补助资金5,431万元中的4,555.17万元变更为以国有资本金注入的形式增资到长沙鑫航，剩余补助资金875.83万按财政部相关规定进行处理。对于变更为国有资本金注入的部分，选择公司控股股东粉冶中心的国有独资股东中南大学资产经营有限公司作为国有资本金的出资人代表。具体内容详见刊登在指定媒体和巨潮资讯网上的《湖南博云新材料股份有限公司关于全资子公司长沙鑫航XXX机轮及刹车系统研制保障条件建设项目以前年度收到的政府补助资金变更为国有资本金注入的公告》（公告编号：2024-022）。</w:t>
      </w:r>
    </w:p>
    <w:p>
      <w:r>
        <w:br w:type="page"/>
      </w:r>
    </w:p>
    <w:p>
      <w:pPr>
        <w:keepNext/>
        <w:keepLines/>
        <w:spacing w:before="340" w:after="330" w:line="773" w:lineRule="exact"/>
        <w:jc w:val="center"/>
        <w:outlineLvl w:val="0"/>
        <w:rPr>
          <w:rFonts w:ascii="宋体" w:hAnsi="宋体" w:eastAsia="宋体" w:cs="宋体"/>
          <w:b/>
          <w:bCs/>
          <w:sz w:val="32"/>
          <w:szCs w:val="32"/>
        </w:rPr>
      </w:pPr>
      <w:bookmarkStart w:id="142" w:name="_Toc989018"/>
      <w:r>
        <w:rPr>
          <w:rFonts w:ascii="宋体" w:hAnsi="宋体" w:eastAsia="宋体" w:cs="宋体"/>
          <w:b/>
          <w:bCs/>
          <w:sz w:val="32"/>
          <w:szCs w:val="32"/>
        </w:rPr>
        <w:t>第七节 股份变动及股东情况</w:t>
      </w:r>
      <w:bookmarkEnd w:id="142"/>
    </w:p>
    <w:p>
      <w:pPr>
        <w:keepNext/>
        <w:keepLines/>
        <w:spacing w:before="300" w:after="300" w:line="320" w:lineRule="exact"/>
        <w:jc w:val="left"/>
        <w:outlineLvl w:val="1"/>
        <w:rPr>
          <w:rFonts w:ascii="宋体" w:hAnsi="宋体" w:eastAsia="宋体" w:cs="宋体"/>
          <w:b/>
          <w:bCs/>
          <w:sz w:val="24"/>
          <w:szCs w:val="24"/>
        </w:rPr>
      </w:pPr>
      <w:bookmarkStart w:id="143" w:name="_Toc989019"/>
      <w:r>
        <w:rPr>
          <w:rFonts w:ascii="宋体" w:hAnsi="宋体" w:eastAsia="宋体" w:cs="宋体"/>
          <w:b/>
          <w:bCs/>
          <w:sz w:val="24"/>
          <w:szCs w:val="24"/>
        </w:rPr>
        <w:t>一、股份变动情况</w:t>
      </w:r>
      <w:bookmarkEnd w:id="143"/>
    </w:p>
    <w:p>
      <w:pPr>
        <w:keepNext/>
        <w:keepLines/>
        <w:pageBreakBefore w:val="0"/>
        <w:widowControl w:val="0"/>
        <w:kinsoku/>
        <w:wordWrap/>
        <w:overflowPunct/>
        <w:topLinePunct w:val="0"/>
        <w:autoSpaceDE/>
        <w:autoSpaceDN/>
        <w:bidi w:val="0"/>
        <w:adjustRightInd/>
        <w:snapToGrid/>
        <w:spacing w:line="280" w:lineRule="exact"/>
        <w:jc w:val="left"/>
        <w:textAlignment w:val="auto"/>
        <w:outlineLvl w:val="2"/>
        <w:rPr>
          <w:rFonts w:ascii="宋体" w:hAnsi="宋体" w:eastAsia="宋体" w:cs="宋体"/>
          <w:b/>
          <w:bCs/>
          <w:sz w:val="21"/>
          <w:szCs w:val="21"/>
        </w:rPr>
      </w:pPr>
      <w:bookmarkStart w:id="144" w:name="_Toc989020"/>
      <w:r>
        <w:rPr>
          <w:rFonts w:hint="eastAsia" w:ascii="宋体" w:hAnsi="宋体" w:cs="宋体"/>
          <w:b/>
          <w:bCs/>
          <w:sz w:val="21"/>
          <w:szCs w:val="21"/>
          <w:lang w:eastAsia="zh-CN"/>
        </w:rPr>
        <w:t>（一）</w:t>
      </w:r>
      <w:r>
        <w:rPr>
          <w:rFonts w:ascii="宋体" w:hAnsi="宋体" w:eastAsia="宋体" w:cs="宋体"/>
          <w:b/>
          <w:bCs/>
          <w:sz w:val="21"/>
          <w:szCs w:val="21"/>
        </w:rPr>
        <w:t>股份变动情况</w:t>
      </w:r>
      <w:bookmarkEnd w:id="144"/>
    </w:p>
    <w:p>
      <w:pPr>
        <w:pageBreakBefore w:val="0"/>
        <w:widowControl w:val="0"/>
        <w:kinsoku/>
        <w:wordWrap/>
        <w:overflowPunct/>
        <w:topLinePunct w:val="0"/>
        <w:autoSpaceDE/>
        <w:autoSpaceDN/>
        <w:bidi w:val="0"/>
        <w:adjustRightInd/>
        <w:snapToGrid/>
        <w:spacing w:line="240" w:lineRule="exact"/>
        <w:jc w:val="right"/>
        <w:textAlignment w:val="auto"/>
        <w:rPr>
          <w:rFonts w:ascii="宋体" w:hAnsi="宋体" w:eastAsia="宋体" w:cs="宋体"/>
          <w:sz w:val="18"/>
          <w:szCs w:val="18"/>
        </w:rPr>
      </w:pPr>
      <w:r>
        <w:rPr>
          <w:rFonts w:ascii="宋体" w:hAnsi="宋体" w:eastAsia="宋体" w:cs="宋体"/>
          <w:sz w:val="18"/>
          <w:szCs w:val="18"/>
        </w:rPr>
        <w:t>单位：股
</w:t>
      </w:r>
    </w:p>
    <w:tbl>
      <w:tblPr>
        <w:tblStyle w:val="5"/>
        <w:tblW w:w="964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129"/>
        <w:gridCol w:w="1290"/>
        <w:gridCol w:w="765"/>
        <w:gridCol w:w="780"/>
        <w:gridCol w:w="585"/>
        <w:gridCol w:w="930"/>
        <w:gridCol w:w="570"/>
        <w:gridCol w:w="525"/>
        <w:gridCol w:w="1230"/>
        <w:gridCol w:w="83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29"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tc>
        <w:tc>
          <w:tcPr>
            <w:tcW w:w="2055"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本次变动前</w:t>
            </w:r>
          </w:p>
        </w:tc>
        <w:tc>
          <w:tcPr>
            <w:tcW w:w="3390"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本次变动增减（＋，－）</w:t>
            </w:r>
          </w:p>
        </w:tc>
        <w:tc>
          <w:tcPr>
            <w:tcW w:w="206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本次变动后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29"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29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数量</w:t>
            </w:r>
          </w:p>
        </w:tc>
        <w:tc>
          <w:tcPr>
            <w:tcW w:w="76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比例</w:t>
            </w:r>
          </w:p>
        </w:tc>
        <w:tc>
          <w:tcPr>
            <w:tcW w:w="78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发行新股</w:t>
            </w:r>
          </w:p>
        </w:tc>
        <w:tc>
          <w:tcPr>
            <w:tcW w:w="58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送股</w:t>
            </w:r>
          </w:p>
        </w:tc>
        <w:tc>
          <w:tcPr>
            <w:tcW w:w="93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公积金转股</w:t>
            </w:r>
          </w:p>
        </w:tc>
        <w:tc>
          <w:tcPr>
            <w:tcW w:w="57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52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小计</w:t>
            </w:r>
          </w:p>
        </w:tc>
        <w:tc>
          <w:tcPr>
            <w:tcW w:w="123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数量</w:t>
            </w:r>
          </w:p>
        </w:tc>
        <w:tc>
          <w:tcPr>
            <w:tcW w:w="83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比例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2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一、有限售条件股份</w:t>
            </w:r>
          </w:p>
        </w:tc>
        <w:tc>
          <w:tcPr>
            <w:tcW w:w="12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8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3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2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1、国家持股</w:t>
            </w:r>
          </w:p>
        </w:tc>
        <w:tc>
          <w:tcPr>
            <w:tcW w:w="12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8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3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2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2、国有法人持股</w:t>
            </w:r>
          </w:p>
        </w:tc>
        <w:tc>
          <w:tcPr>
            <w:tcW w:w="12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8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3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2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3、其他内资持股</w:t>
            </w:r>
          </w:p>
        </w:tc>
        <w:tc>
          <w:tcPr>
            <w:tcW w:w="12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8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3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2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其中：境内法人持股</w:t>
            </w:r>
          </w:p>
        </w:tc>
        <w:tc>
          <w:tcPr>
            <w:tcW w:w="12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8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3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2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境内自然人持股</w:t>
            </w:r>
          </w:p>
        </w:tc>
        <w:tc>
          <w:tcPr>
            <w:tcW w:w="12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8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3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2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4、外资持股</w:t>
            </w:r>
          </w:p>
        </w:tc>
        <w:tc>
          <w:tcPr>
            <w:tcW w:w="12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8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3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2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其中：境外法人持股</w:t>
            </w:r>
          </w:p>
        </w:tc>
        <w:tc>
          <w:tcPr>
            <w:tcW w:w="12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8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3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2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境外自然人持股</w:t>
            </w:r>
          </w:p>
        </w:tc>
        <w:tc>
          <w:tcPr>
            <w:tcW w:w="12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8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3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2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二、无限售条件股份</w:t>
            </w:r>
          </w:p>
        </w:tc>
        <w:tc>
          <w:tcPr>
            <w:tcW w:w="12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573,104,819</w:t>
            </w:r>
          </w:p>
        </w:tc>
        <w:tc>
          <w:tcPr>
            <w:tcW w:w="7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ind w:left="-199" w:leftChars="-95" w:firstLine="0" w:firstLineChars="0"/>
              <w:jc w:val="right"/>
              <w:rPr>
                <w:rFonts w:ascii="宋体" w:hAnsi="宋体" w:eastAsia="宋体" w:cs="宋体"/>
                <w:sz w:val="18"/>
                <w:szCs w:val="18"/>
              </w:rPr>
            </w:pPr>
            <w:r>
              <w:rPr>
                <w:rFonts w:ascii="宋体" w:hAnsi="宋体" w:eastAsia="宋体" w:cs="宋体"/>
                <w:sz w:val="18"/>
                <w:szCs w:val="18"/>
              </w:rPr>
              <w:t>100.00%</w:t>
            </w:r>
          </w:p>
        </w:tc>
        <w:tc>
          <w:tcPr>
            <w:tcW w:w="78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573,104,819</w:t>
            </w:r>
          </w:p>
        </w:tc>
        <w:tc>
          <w:tcPr>
            <w:tcW w:w="83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ind w:left="-199" w:leftChars="-95" w:firstLine="0" w:firstLineChars="0"/>
              <w:jc w:val="right"/>
              <w:rPr>
                <w:rFonts w:ascii="宋体" w:hAnsi="宋体" w:eastAsia="宋体" w:cs="宋体"/>
                <w:sz w:val="18"/>
                <w:szCs w:val="18"/>
              </w:rPr>
            </w:pPr>
            <w:r>
              <w:rPr>
                <w:rFonts w:ascii="宋体" w:hAnsi="宋体" w:eastAsia="宋体" w:cs="宋体"/>
                <w:sz w:val="18"/>
                <w:szCs w:val="18"/>
              </w:rPr>
              <w:t>100.00%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2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1、人民币普通股</w:t>
            </w:r>
          </w:p>
        </w:tc>
        <w:tc>
          <w:tcPr>
            <w:tcW w:w="12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573,104,819</w:t>
            </w:r>
          </w:p>
        </w:tc>
        <w:tc>
          <w:tcPr>
            <w:tcW w:w="7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ind w:left="-199" w:leftChars="-95" w:firstLine="0" w:firstLineChars="0"/>
              <w:jc w:val="right"/>
              <w:rPr>
                <w:rFonts w:ascii="宋体" w:hAnsi="宋体" w:eastAsia="宋体" w:cs="宋体"/>
                <w:sz w:val="18"/>
                <w:szCs w:val="18"/>
              </w:rPr>
            </w:pPr>
            <w:r>
              <w:rPr>
                <w:rFonts w:ascii="宋体" w:hAnsi="宋体" w:eastAsia="宋体" w:cs="宋体"/>
                <w:sz w:val="18"/>
                <w:szCs w:val="18"/>
              </w:rPr>
              <w:t>100.00%</w:t>
            </w:r>
          </w:p>
        </w:tc>
        <w:tc>
          <w:tcPr>
            <w:tcW w:w="78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573,104,819</w:t>
            </w:r>
          </w:p>
        </w:tc>
        <w:tc>
          <w:tcPr>
            <w:tcW w:w="83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ind w:left="-199" w:leftChars="-95" w:firstLine="0" w:firstLineChars="0"/>
              <w:jc w:val="right"/>
              <w:rPr>
                <w:rFonts w:ascii="宋体" w:hAnsi="宋体" w:eastAsia="宋体" w:cs="宋体"/>
                <w:sz w:val="18"/>
                <w:szCs w:val="18"/>
              </w:rPr>
            </w:pPr>
            <w:r>
              <w:rPr>
                <w:rFonts w:ascii="宋体" w:hAnsi="宋体" w:eastAsia="宋体" w:cs="宋体"/>
                <w:sz w:val="18"/>
                <w:szCs w:val="18"/>
              </w:rPr>
              <w:t>100.00%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2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2、境内上市的外资股</w:t>
            </w:r>
          </w:p>
        </w:tc>
        <w:tc>
          <w:tcPr>
            <w:tcW w:w="12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8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3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2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3、境外上市的外资股</w:t>
            </w:r>
          </w:p>
        </w:tc>
        <w:tc>
          <w:tcPr>
            <w:tcW w:w="12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8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3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2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4、其他</w:t>
            </w:r>
          </w:p>
        </w:tc>
        <w:tc>
          <w:tcPr>
            <w:tcW w:w="12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8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3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2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三、股份总数</w:t>
            </w:r>
          </w:p>
        </w:tc>
        <w:tc>
          <w:tcPr>
            <w:tcW w:w="12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573,104,819</w:t>
            </w:r>
          </w:p>
        </w:tc>
        <w:tc>
          <w:tcPr>
            <w:tcW w:w="7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ind w:left="-199" w:leftChars="-95" w:firstLine="0" w:firstLineChars="0"/>
              <w:jc w:val="right"/>
              <w:rPr>
                <w:rFonts w:ascii="宋体" w:hAnsi="宋体" w:eastAsia="宋体" w:cs="宋体"/>
                <w:sz w:val="18"/>
                <w:szCs w:val="18"/>
              </w:rPr>
            </w:pPr>
            <w:r>
              <w:rPr>
                <w:rFonts w:ascii="宋体" w:hAnsi="宋体" w:eastAsia="宋体" w:cs="宋体"/>
                <w:sz w:val="18"/>
                <w:szCs w:val="18"/>
              </w:rPr>
              <w:t>100.00%</w:t>
            </w:r>
          </w:p>
        </w:tc>
        <w:tc>
          <w:tcPr>
            <w:tcW w:w="78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573,104,819</w:t>
            </w:r>
          </w:p>
        </w:tc>
        <w:tc>
          <w:tcPr>
            <w:tcW w:w="83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股份变动的原因</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股份变动的批准情况</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股份变动的过户情况</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股份变动对最近一年和最近一期基本每股收益和稀释每股收益、归属于公司普通股股东的每股净资产等财务指标的影响</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公司认为必要或证券监管机构要求披露的其他内容</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2"/>
        <w:rPr>
          <w:rFonts w:ascii="宋体" w:hAnsi="宋体" w:eastAsia="宋体" w:cs="宋体"/>
          <w:b/>
          <w:bCs/>
          <w:sz w:val="21"/>
          <w:szCs w:val="21"/>
        </w:rPr>
      </w:pPr>
      <w:bookmarkStart w:id="145" w:name="_Toc989021"/>
      <w:r>
        <w:rPr>
          <w:rFonts w:hint="eastAsia" w:ascii="宋体" w:hAnsi="宋体" w:cs="宋体"/>
          <w:b/>
          <w:bCs/>
          <w:sz w:val="21"/>
          <w:szCs w:val="21"/>
          <w:lang w:eastAsia="zh-CN"/>
        </w:rPr>
        <w:t>（二）</w:t>
      </w:r>
      <w:r>
        <w:rPr>
          <w:rFonts w:ascii="宋体" w:hAnsi="宋体" w:eastAsia="宋体" w:cs="宋体"/>
          <w:b/>
          <w:bCs/>
          <w:sz w:val="21"/>
          <w:szCs w:val="21"/>
        </w:rPr>
        <w:t>限售股份变动情况</w:t>
      </w:r>
      <w:bookmarkEnd w:id="145"/>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320" w:lineRule="exact"/>
        <w:jc w:val="left"/>
        <w:outlineLvl w:val="1"/>
        <w:rPr>
          <w:rFonts w:ascii="宋体" w:hAnsi="宋体" w:eastAsia="宋体" w:cs="宋体"/>
          <w:b/>
          <w:bCs/>
          <w:sz w:val="24"/>
          <w:szCs w:val="24"/>
        </w:rPr>
      </w:pPr>
      <w:bookmarkStart w:id="146" w:name="_Toc989022"/>
      <w:r>
        <w:rPr>
          <w:rFonts w:ascii="宋体" w:hAnsi="宋体" w:eastAsia="宋体" w:cs="宋体"/>
          <w:b/>
          <w:bCs/>
          <w:sz w:val="24"/>
          <w:szCs w:val="24"/>
        </w:rPr>
        <w:t>二、证券发行与上市情况</w:t>
      </w:r>
      <w:bookmarkEnd w:id="146"/>
    </w:p>
    <w:p>
      <w:pPr>
        <w:keepNext/>
        <w:keepLines/>
        <w:spacing w:before="300" w:after="300" w:line="280" w:lineRule="exact"/>
        <w:jc w:val="left"/>
        <w:outlineLvl w:val="2"/>
        <w:rPr>
          <w:rFonts w:ascii="宋体" w:hAnsi="宋体" w:eastAsia="宋体" w:cs="宋体"/>
          <w:b/>
          <w:bCs/>
          <w:sz w:val="21"/>
          <w:szCs w:val="21"/>
        </w:rPr>
      </w:pPr>
      <w:bookmarkStart w:id="147" w:name="_Toc989023"/>
      <w:bookmarkStart w:id="148" w:name="_Toc989026"/>
      <w:r>
        <w:rPr>
          <w:rFonts w:hint="eastAsia" w:ascii="宋体" w:hAnsi="宋体" w:cs="宋体"/>
          <w:b/>
          <w:bCs/>
          <w:sz w:val="21"/>
          <w:szCs w:val="21"/>
          <w:lang w:eastAsia="zh-CN"/>
        </w:rPr>
        <w:t>（一）</w:t>
      </w:r>
      <w:r>
        <w:rPr>
          <w:rFonts w:ascii="宋体" w:hAnsi="宋体" w:eastAsia="宋体" w:cs="宋体"/>
          <w:b/>
          <w:bCs/>
          <w:sz w:val="21"/>
          <w:szCs w:val="21"/>
        </w:rPr>
        <w:t>报告期内证券发行（不含优先股）情况</w:t>
      </w:r>
      <w:bookmarkEnd w:id="147"/>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2"/>
        <w:rPr>
          <w:rFonts w:ascii="宋体" w:hAnsi="宋体" w:eastAsia="宋体" w:cs="宋体"/>
          <w:b/>
          <w:bCs/>
          <w:sz w:val="21"/>
          <w:szCs w:val="21"/>
        </w:rPr>
      </w:pPr>
      <w:bookmarkStart w:id="149" w:name="_Toc989024"/>
      <w:r>
        <w:rPr>
          <w:rFonts w:hint="eastAsia" w:ascii="宋体" w:hAnsi="宋体" w:cs="宋体"/>
          <w:b/>
          <w:bCs/>
          <w:sz w:val="21"/>
          <w:szCs w:val="21"/>
          <w:lang w:eastAsia="zh-CN"/>
        </w:rPr>
        <w:t>（二）</w:t>
      </w:r>
      <w:r>
        <w:rPr>
          <w:rFonts w:ascii="宋体" w:hAnsi="宋体" w:eastAsia="宋体" w:cs="宋体"/>
          <w:b/>
          <w:bCs/>
          <w:sz w:val="21"/>
          <w:szCs w:val="21"/>
        </w:rPr>
        <w:t>公司股份总数及股东结构的变动、公司资产和负债结构的变动情况说明</w:t>
      </w:r>
      <w:bookmarkEnd w:id="149"/>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2"/>
        <w:rPr>
          <w:rFonts w:ascii="宋体" w:hAnsi="宋体" w:eastAsia="宋体" w:cs="宋体"/>
          <w:b/>
          <w:bCs/>
          <w:sz w:val="21"/>
          <w:szCs w:val="21"/>
        </w:rPr>
      </w:pPr>
      <w:bookmarkStart w:id="150" w:name="_Toc989025"/>
      <w:r>
        <w:rPr>
          <w:rFonts w:hint="eastAsia" w:ascii="宋体" w:hAnsi="宋体" w:cs="宋体"/>
          <w:b/>
          <w:bCs/>
          <w:sz w:val="21"/>
          <w:szCs w:val="21"/>
          <w:lang w:eastAsia="zh-CN"/>
        </w:rPr>
        <w:t>（三）</w:t>
      </w:r>
      <w:r>
        <w:rPr>
          <w:rFonts w:ascii="宋体" w:hAnsi="宋体" w:eastAsia="宋体" w:cs="宋体"/>
          <w:b/>
          <w:bCs/>
          <w:sz w:val="21"/>
          <w:szCs w:val="21"/>
        </w:rPr>
        <w:t>现存的内部职工股情况</w:t>
      </w:r>
      <w:bookmarkEnd w:id="150"/>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320" w:lineRule="exact"/>
        <w:jc w:val="left"/>
        <w:outlineLvl w:val="1"/>
        <w:rPr>
          <w:rFonts w:ascii="宋体" w:hAnsi="宋体" w:eastAsia="宋体" w:cs="宋体"/>
          <w:b/>
          <w:bCs/>
          <w:sz w:val="24"/>
          <w:szCs w:val="24"/>
        </w:rPr>
      </w:pPr>
      <w:r>
        <w:rPr>
          <w:rFonts w:ascii="宋体" w:hAnsi="宋体" w:eastAsia="宋体" w:cs="宋体"/>
          <w:b/>
          <w:bCs/>
          <w:sz w:val="24"/>
          <w:szCs w:val="24"/>
        </w:rPr>
        <w:t>三、股东和实际控制人情况</w:t>
      </w:r>
      <w:bookmarkEnd w:id="148"/>
    </w:p>
    <w:p>
      <w:pPr>
        <w:keepNext/>
        <w:keepLines/>
        <w:pageBreakBefore w:val="0"/>
        <w:widowControl w:val="0"/>
        <w:kinsoku/>
        <w:wordWrap/>
        <w:overflowPunct/>
        <w:topLinePunct w:val="0"/>
        <w:autoSpaceDE/>
        <w:autoSpaceDN/>
        <w:bidi w:val="0"/>
        <w:adjustRightInd/>
        <w:snapToGrid/>
        <w:spacing w:line="280" w:lineRule="exact"/>
        <w:jc w:val="left"/>
        <w:textAlignment w:val="auto"/>
        <w:outlineLvl w:val="2"/>
        <w:rPr>
          <w:rFonts w:ascii="宋体" w:hAnsi="宋体" w:eastAsia="宋体" w:cs="宋体"/>
          <w:b/>
          <w:bCs/>
          <w:sz w:val="21"/>
          <w:szCs w:val="21"/>
        </w:rPr>
      </w:pPr>
      <w:bookmarkStart w:id="151" w:name="_Toc989027"/>
      <w:r>
        <w:rPr>
          <w:rFonts w:hint="eastAsia" w:ascii="宋体" w:hAnsi="宋体" w:cs="宋体"/>
          <w:b/>
          <w:bCs/>
          <w:sz w:val="21"/>
          <w:szCs w:val="21"/>
          <w:lang w:eastAsia="zh-CN"/>
        </w:rPr>
        <w:t>（一）</w:t>
      </w:r>
      <w:r>
        <w:rPr>
          <w:rFonts w:ascii="宋体" w:hAnsi="宋体" w:eastAsia="宋体" w:cs="宋体"/>
          <w:b/>
          <w:bCs/>
          <w:sz w:val="21"/>
          <w:szCs w:val="21"/>
        </w:rPr>
        <w:t>公司股东数量及持股情况</w:t>
      </w:r>
      <w:bookmarkEnd w:id="151"/>
    </w:p>
    <w:p>
      <w:pPr>
        <w:pageBreakBefore w:val="0"/>
        <w:widowControl w:val="0"/>
        <w:kinsoku/>
        <w:wordWrap/>
        <w:overflowPunct/>
        <w:topLinePunct w:val="0"/>
        <w:autoSpaceDE/>
        <w:autoSpaceDN/>
        <w:bidi w:val="0"/>
        <w:adjustRightInd/>
        <w:snapToGrid/>
        <w:spacing w:line="240" w:lineRule="exact"/>
        <w:jc w:val="right"/>
        <w:textAlignment w:val="auto"/>
        <w:rPr>
          <w:rFonts w:ascii="宋体" w:hAnsi="宋体" w:eastAsia="宋体" w:cs="宋体"/>
          <w:sz w:val="18"/>
          <w:szCs w:val="18"/>
        </w:rPr>
      </w:pPr>
      <w:r>
        <w:rPr>
          <w:rFonts w:ascii="宋体" w:hAnsi="宋体" w:eastAsia="宋体" w:cs="宋体"/>
          <w:sz w:val="18"/>
          <w:szCs w:val="18"/>
        </w:rPr>
        <w:t>单位：股</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784"/>
        <w:gridCol w:w="810"/>
        <w:gridCol w:w="240"/>
        <w:gridCol w:w="840"/>
        <w:gridCol w:w="75"/>
        <w:gridCol w:w="765"/>
        <w:gridCol w:w="300"/>
        <w:gridCol w:w="1245"/>
        <w:gridCol w:w="75"/>
        <w:gridCol w:w="735"/>
        <w:gridCol w:w="1155"/>
        <w:gridCol w:w="885"/>
        <w:gridCol w:w="73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8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报告期末普通股股东总数</w:t>
            </w:r>
          </w:p>
        </w:tc>
        <w:tc>
          <w:tcPr>
            <w:tcW w:w="8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53,089</w:t>
            </w:r>
          </w:p>
        </w:tc>
        <w:tc>
          <w:tcPr>
            <w:tcW w:w="1155"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年度报告披露日前上一月末普通股股东总数</w:t>
            </w:r>
          </w:p>
        </w:tc>
        <w:tc>
          <w:tcPr>
            <w:tcW w:w="7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48,900</w:t>
            </w:r>
          </w:p>
        </w:tc>
        <w:tc>
          <w:tcPr>
            <w:tcW w:w="1545"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right="-50" w:rightChars="-24"/>
              <w:jc w:val="left"/>
              <w:rPr>
                <w:rFonts w:ascii="宋体" w:hAnsi="宋体" w:eastAsia="宋体" w:cs="宋体"/>
                <w:sz w:val="18"/>
                <w:szCs w:val="18"/>
              </w:rPr>
            </w:pPr>
            <w:r>
              <w:rPr>
                <w:rFonts w:ascii="宋体" w:hAnsi="宋体" w:eastAsia="宋体" w:cs="宋体"/>
                <w:sz w:val="18"/>
                <w:szCs w:val="18"/>
              </w:rPr>
              <w:t>报告期末表决权恢复的优先股股东总数（如有）（参见注8）</w:t>
            </w:r>
          </w:p>
        </w:tc>
        <w:tc>
          <w:tcPr>
            <w:tcW w:w="810"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2040"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年度报告披露日前上一月末表决权恢复的优先股股东总数（如有）（参见注8）</w:t>
            </w:r>
          </w:p>
        </w:tc>
        <w:tc>
          <w:tcPr>
            <w:tcW w:w="7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持股5%以上的股东或前10名股东持股情况（不含通过转融通出借股份）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84"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股东名称</w:t>
            </w:r>
          </w:p>
        </w:tc>
        <w:tc>
          <w:tcPr>
            <w:tcW w:w="1050" w:type="dxa"/>
            <w:gridSpan w:val="2"/>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股东性质</w:t>
            </w:r>
          </w:p>
        </w:tc>
        <w:tc>
          <w:tcPr>
            <w:tcW w:w="84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持股比例</w:t>
            </w:r>
          </w:p>
        </w:tc>
        <w:tc>
          <w:tcPr>
            <w:tcW w:w="1140" w:type="dxa"/>
            <w:gridSpan w:val="3"/>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报告期末持股数量</w:t>
            </w:r>
          </w:p>
        </w:tc>
        <w:tc>
          <w:tcPr>
            <w:tcW w:w="124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报告期内增减变动情况</w:t>
            </w:r>
          </w:p>
        </w:tc>
        <w:tc>
          <w:tcPr>
            <w:tcW w:w="810" w:type="dxa"/>
            <w:gridSpan w:val="2"/>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持有有限售条件的股份数量</w:t>
            </w:r>
          </w:p>
        </w:tc>
        <w:tc>
          <w:tcPr>
            <w:tcW w:w="115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持有无限售条件的股份数量</w:t>
            </w:r>
          </w:p>
        </w:tc>
        <w:tc>
          <w:tcPr>
            <w:tcW w:w="1615"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质押、标记或冻结情况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84"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050" w:type="dxa"/>
            <w:gridSpan w:val="2"/>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84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140" w:type="dxa"/>
            <w:gridSpan w:val="3"/>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24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810" w:type="dxa"/>
            <w:gridSpan w:val="2"/>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15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88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股份状态</w:t>
            </w:r>
          </w:p>
        </w:tc>
        <w:tc>
          <w:tcPr>
            <w:tcW w:w="73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数量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8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中南大学粉末冶金工程研究中心有限公司</w:t>
            </w:r>
          </w:p>
        </w:tc>
        <w:tc>
          <w:tcPr>
            <w:tcW w:w="1050"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国有法人</w:t>
            </w:r>
          </w:p>
        </w:tc>
        <w:tc>
          <w:tcPr>
            <w:tcW w:w="8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12.65%</w:t>
            </w:r>
          </w:p>
        </w:tc>
        <w:tc>
          <w:tcPr>
            <w:tcW w:w="1140"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72,472,129</w:t>
            </w:r>
          </w:p>
        </w:tc>
        <w:tc>
          <w:tcPr>
            <w:tcW w:w="124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0</w:t>
            </w:r>
          </w:p>
        </w:tc>
        <w:tc>
          <w:tcPr>
            <w:tcW w:w="810"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0</w:t>
            </w:r>
          </w:p>
        </w:tc>
        <w:tc>
          <w:tcPr>
            <w:tcW w:w="11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72,472,129</w:t>
            </w:r>
          </w:p>
        </w:tc>
        <w:tc>
          <w:tcPr>
            <w:tcW w:w="8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不适用</w:t>
            </w:r>
          </w:p>
        </w:tc>
        <w:tc>
          <w:tcPr>
            <w:tcW w:w="7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8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湖南湘投高科技创业投资有限公司</w:t>
            </w:r>
          </w:p>
        </w:tc>
        <w:tc>
          <w:tcPr>
            <w:tcW w:w="1050"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国有法人</w:t>
            </w:r>
          </w:p>
        </w:tc>
        <w:tc>
          <w:tcPr>
            <w:tcW w:w="8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7.71%</w:t>
            </w:r>
          </w:p>
        </w:tc>
        <w:tc>
          <w:tcPr>
            <w:tcW w:w="1140"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44,184,602</w:t>
            </w:r>
          </w:p>
        </w:tc>
        <w:tc>
          <w:tcPr>
            <w:tcW w:w="124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-220,000</w:t>
            </w:r>
          </w:p>
        </w:tc>
        <w:tc>
          <w:tcPr>
            <w:tcW w:w="810"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0</w:t>
            </w:r>
          </w:p>
        </w:tc>
        <w:tc>
          <w:tcPr>
            <w:tcW w:w="11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44,184,602</w:t>
            </w:r>
          </w:p>
        </w:tc>
        <w:tc>
          <w:tcPr>
            <w:tcW w:w="8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不适用</w:t>
            </w:r>
          </w:p>
        </w:tc>
        <w:tc>
          <w:tcPr>
            <w:tcW w:w="7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8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国家军民融合产业投资基金有限责任公司</w:t>
            </w:r>
          </w:p>
        </w:tc>
        <w:tc>
          <w:tcPr>
            <w:tcW w:w="1050"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国有法人</w:t>
            </w:r>
          </w:p>
        </w:tc>
        <w:tc>
          <w:tcPr>
            <w:tcW w:w="8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5.92%</w:t>
            </w:r>
          </w:p>
        </w:tc>
        <w:tc>
          <w:tcPr>
            <w:tcW w:w="1140"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33,930,580</w:t>
            </w:r>
          </w:p>
        </w:tc>
        <w:tc>
          <w:tcPr>
            <w:tcW w:w="124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-3,472,100</w:t>
            </w:r>
          </w:p>
        </w:tc>
        <w:tc>
          <w:tcPr>
            <w:tcW w:w="810"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0</w:t>
            </w:r>
          </w:p>
        </w:tc>
        <w:tc>
          <w:tcPr>
            <w:tcW w:w="11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33,930,580</w:t>
            </w:r>
          </w:p>
        </w:tc>
        <w:tc>
          <w:tcPr>
            <w:tcW w:w="8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不适用</w:t>
            </w:r>
          </w:p>
        </w:tc>
        <w:tc>
          <w:tcPr>
            <w:tcW w:w="7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8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湖南兴湘投资控股集团有限公司</w:t>
            </w:r>
          </w:p>
        </w:tc>
        <w:tc>
          <w:tcPr>
            <w:tcW w:w="1050"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国有法人</w:t>
            </w:r>
          </w:p>
        </w:tc>
        <w:tc>
          <w:tcPr>
            <w:tcW w:w="8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4.22%</w:t>
            </w:r>
          </w:p>
        </w:tc>
        <w:tc>
          <w:tcPr>
            <w:tcW w:w="1140"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24,193,548</w:t>
            </w:r>
          </w:p>
        </w:tc>
        <w:tc>
          <w:tcPr>
            <w:tcW w:w="124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0</w:t>
            </w:r>
          </w:p>
        </w:tc>
        <w:tc>
          <w:tcPr>
            <w:tcW w:w="810"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0</w:t>
            </w:r>
          </w:p>
        </w:tc>
        <w:tc>
          <w:tcPr>
            <w:tcW w:w="11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24,193,548</w:t>
            </w:r>
          </w:p>
        </w:tc>
        <w:tc>
          <w:tcPr>
            <w:tcW w:w="8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不适用</w:t>
            </w:r>
          </w:p>
        </w:tc>
        <w:tc>
          <w:tcPr>
            <w:tcW w:w="7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8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李卓</w:t>
            </w:r>
          </w:p>
        </w:tc>
        <w:tc>
          <w:tcPr>
            <w:tcW w:w="1050"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境内自然人</w:t>
            </w:r>
          </w:p>
        </w:tc>
        <w:tc>
          <w:tcPr>
            <w:tcW w:w="8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2.48%</w:t>
            </w:r>
          </w:p>
        </w:tc>
        <w:tc>
          <w:tcPr>
            <w:tcW w:w="1140"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14,220,021</w:t>
            </w:r>
          </w:p>
        </w:tc>
        <w:tc>
          <w:tcPr>
            <w:tcW w:w="124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-9,011,979</w:t>
            </w:r>
          </w:p>
        </w:tc>
        <w:tc>
          <w:tcPr>
            <w:tcW w:w="810"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0</w:t>
            </w:r>
          </w:p>
        </w:tc>
        <w:tc>
          <w:tcPr>
            <w:tcW w:w="11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14,220,021</w:t>
            </w:r>
          </w:p>
        </w:tc>
        <w:tc>
          <w:tcPr>
            <w:tcW w:w="8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不适用</w:t>
            </w:r>
          </w:p>
        </w:tc>
        <w:tc>
          <w:tcPr>
            <w:tcW w:w="7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8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吴仲銮</w:t>
            </w:r>
          </w:p>
        </w:tc>
        <w:tc>
          <w:tcPr>
            <w:tcW w:w="1050"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境内自然人</w:t>
            </w:r>
          </w:p>
        </w:tc>
        <w:tc>
          <w:tcPr>
            <w:tcW w:w="8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0.89%</w:t>
            </w:r>
          </w:p>
        </w:tc>
        <w:tc>
          <w:tcPr>
            <w:tcW w:w="1140"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5,128,532</w:t>
            </w:r>
          </w:p>
        </w:tc>
        <w:tc>
          <w:tcPr>
            <w:tcW w:w="124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5,128,532</w:t>
            </w:r>
          </w:p>
        </w:tc>
        <w:tc>
          <w:tcPr>
            <w:tcW w:w="810"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0</w:t>
            </w:r>
          </w:p>
        </w:tc>
        <w:tc>
          <w:tcPr>
            <w:tcW w:w="11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5,128,532</w:t>
            </w:r>
          </w:p>
        </w:tc>
        <w:tc>
          <w:tcPr>
            <w:tcW w:w="8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不适用</w:t>
            </w:r>
          </w:p>
        </w:tc>
        <w:tc>
          <w:tcPr>
            <w:tcW w:w="7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8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肇庆市泓力房地产发展有限公司</w:t>
            </w:r>
          </w:p>
        </w:tc>
        <w:tc>
          <w:tcPr>
            <w:tcW w:w="1050"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境内非国有法人</w:t>
            </w:r>
          </w:p>
        </w:tc>
        <w:tc>
          <w:tcPr>
            <w:tcW w:w="8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0.72%</w:t>
            </w:r>
          </w:p>
        </w:tc>
        <w:tc>
          <w:tcPr>
            <w:tcW w:w="1140"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4,144,000</w:t>
            </w:r>
          </w:p>
        </w:tc>
        <w:tc>
          <w:tcPr>
            <w:tcW w:w="124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4,144,000</w:t>
            </w:r>
          </w:p>
        </w:tc>
        <w:tc>
          <w:tcPr>
            <w:tcW w:w="810"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0</w:t>
            </w:r>
          </w:p>
        </w:tc>
        <w:tc>
          <w:tcPr>
            <w:tcW w:w="11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4,144,000</w:t>
            </w:r>
          </w:p>
        </w:tc>
        <w:tc>
          <w:tcPr>
            <w:tcW w:w="8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不适用</w:t>
            </w:r>
          </w:p>
        </w:tc>
        <w:tc>
          <w:tcPr>
            <w:tcW w:w="7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8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青岛弘华私募基金管理有限公司－航空产业融合发展（青岛）股权投资基金合伙企业（有限合伙）</w:t>
            </w:r>
          </w:p>
        </w:tc>
        <w:tc>
          <w:tcPr>
            <w:tcW w:w="1050"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8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0.54%</w:t>
            </w:r>
          </w:p>
        </w:tc>
        <w:tc>
          <w:tcPr>
            <w:tcW w:w="1140"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3,091,216</w:t>
            </w:r>
          </w:p>
        </w:tc>
        <w:tc>
          <w:tcPr>
            <w:tcW w:w="124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3,091,216</w:t>
            </w:r>
          </w:p>
        </w:tc>
        <w:tc>
          <w:tcPr>
            <w:tcW w:w="810"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0</w:t>
            </w:r>
          </w:p>
        </w:tc>
        <w:tc>
          <w:tcPr>
            <w:tcW w:w="11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3,091,216</w:t>
            </w:r>
          </w:p>
        </w:tc>
        <w:tc>
          <w:tcPr>
            <w:tcW w:w="8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不适用</w:t>
            </w:r>
          </w:p>
        </w:tc>
        <w:tc>
          <w:tcPr>
            <w:tcW w:w="7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8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郁华</w:t>
            </w:r>
          </w:p>
        </w:tc>
        <w:tc>
          <w:tcPr>
            <w:tcW w:w="1050"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境内自然人</w:t>
            </w:r>
          </w:p>
        </w:tc>
        <w:tc>
          <w:tcPr>
            <w:tcW w:w="8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0.39%</w:t>
            </w:r>
          </w:p>
        </w:tc>
        <w:tc>
          <w:tcPr>
            <w:tcW w:w="1140"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2,246,100</w:t>
            </w:r>
          </w:p>
        </w:tc>
        <w:tc>
          <w:tcPr>
            <w:tcW w:w="124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2,246,100</w:t>
            </w:r>
          </w:p>
        </w:tc>
        <w:tc>
          <w:tcPr>
            <w:tcW w:w="810"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0</w:t>
            </w:r>
          </w:p>
        </w:tc>
        <w:tc>
          <w:tcPr>
            <w:tcW w:w="11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2,246,100</w:t>
            </w:r>
          </w:p>
        </w:tc>
        <w:tc>
          <w:tcPr>
            <w:tcW w:w="8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不适用</w:t>
            </w:r>
          </w:p>
        </w:tc>
        <w:tc>
          <w:tcPr>
            <w:tcW w:w="7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8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廖兵</w:t>
            </w:r>
          </w:p>
        </w:tc>
        <w:tc>
          <w:tcPr>
            <w:tcW w:w="1050"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境内自然人</w:t>
            </w:r>
          </w:p>
        </w:tc>
        <w:tc>
          <w:tcPr>
            <w:tcW w:w="8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0.35%</w:t>
            </w:r>
          </w:p>
        </w:tc>
        <w:tc>
          <w:tcPr>
            <w:tcW w:w="1140"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1,994,421</w:t>
            </w:r>
          </w:p>
        </w:tc>
        <w:tc>
          <w:tcPr>
            <w:tcW w:w="124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-115,900</w:t>
            </w:r>
          </w:p>
        </w:tc>
        <w:tc>
          <w:tcPr>
            <w:tcW w:w="810"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0</w:t>
            </w:r>
          </w:p>
        </w:tc>
        <w:tc>
          <w:tcPr>
            <w:tcW w:w="11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1,994,421</w:t>
            </w:r>
          </w:p>
        </w:tc>
        <w:tc>
          <w:tcPr>
            <w:tcW w:w="8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不适用</w:t>
            </w:r>
          </w:p>
        </w:tc>
        <w:tc>
          <w:tcPr>
            <w:tcW w:w="7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674"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战略投资者或一般法人因配售新股成为前10名股东的情况（如有）（参见注3）</w:t>
            </w:r>
          </w:p>
        </w:tc>
        <w:tc>
          <w:tcPr>
            <w:tcW w:w="5965" w:type="dxa"/>
            <w:gridSpan w:val="9"/>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674"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上述股东关联关系或一致行动的说明</w:t>
            </w:r>
          </w:p>
        </w:tc>
        <w:tc>
          <w:tcPr>
            <w:tcW w:w="5965" w:type="dxa"/>
            <w:gridSpan w:val="9"/>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兴湘投资控股集团有限公司持有中南大学粉末冶金工程研究中心有限公司51%股权，为中南大学粉末冶金工程研究中心有限公司控股股东。除此以外未知上述其他股东之间是否存在关联关系，也未知以上其他股东是否属于一致行动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674"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上述股东涉及委托/受托表决权、放弃表决权情况的说明</w:t>
            </w:r>
          </w:p>
        </w:tc>
        <w:tc>
          <w:tcPr>
            <w:tcW w:w="5965" w:type="dxa"/>
            <w:gridSpan w:val="9"/>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674"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前10名股东中存在回购专户的特别说明（如有）（参见注10）</w:t>
            </w:r>
          </w:p>
        </w:tc>
        <w:tc>
          <w:tcPr>
            <w:tcW w:w="5965" w:type="dxa"/>
            <w:gridSpan w:val="9"/>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前10名无限售条件股东持股情况（不含通过转融通出借股份、高管锁定股）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674" w:type="dxa"/>
            <w:gridSpan w:val="4"/>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股东名称</w:t>
            </w:r>
          </w:p>
        </w:tc>
        <w:tc>
          <w:tcPr>
            <w:tcW w:w="2460" w:type="dxa"/>
            <w:gridSpan w:val="5"/>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报告期末持有无限售条件股份数量</w:t>
            </w:r>
          </w:p>
        </w:tc>
        <w:tc>
          <w:tcPr>
            <w:tcW w:w="3505"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股份种类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674" w:type="dxa"/>
            <w:gridSpan w:val="4"/>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2460" w:type="dxa"/>
            <w:gridSpan w:val="5"/>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890"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股份种类</w:t>
            </w:r>
          </w:p>
        </w:tc>
        <w:tc>
          <w:tcPr>
            <w:tcW w:w="1615"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数量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674" w:type="dxa"/>
            <w:gridSpan w:val="4"/>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中南大学粉末冶金工程研究中心有限公司</w:t>
            </w:r>
          </w:p>
        </w:tc>
        <w:tc>
          <w:tcPr>
            <w:tcW w:w="2460" w:type="dxa"/>
            <w:gridSpan w:val="5"/>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72,472,129</w:t>
            </w:r>
          </w:p>
        </w:tc>
        <w:tc>
          <w:tcPr>
            <w:tcW w:w="1890"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人民币普通股</w:t>
            </w:r>
          </w:p>
        </w:tc>
        <w:tc>
          <w:tcPr>
            <w:tcW w:w="161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72,472,129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674" w:type="dxa"/>
            <w:gridSpan w:val="4"/>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湖南湘投高科技创业投资有限公司</w:t>
            </w:r>
          </w:p>
        </w:tc>
        <w:tc>
          <w:tcPr>
            <w:tcW w:w="2460" w:type="dxa"/>
            <w:gridSpan w:val="5"/>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44,184,602</w:t>
            </w:r>
          </w:p>
        </w:tc>
        <w:tc>
          <w:tcPr>
            <w:tcW w:w="1890"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人民币普通股</w:t>
            </w:r>
          </w:p>
        </w:tc>
        <w:tc>
          <w:tcPr>
            <w:tcW w:w="161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44,184,602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674" w:type="dxa"/>
            <w:gridSpan w:val="4"/>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国家军民融合产业投资基金有限责任公司</w:t>
            </w:r>
          </w:p>
        </w:tc>
        <w:tc>
          <w:tcPr>
            <w:tcW w:w="2460" w:type="dxa"/>
            <w:gridSpan w:val="5"/>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33,930,580</w:t>
            </w:r>
          </w:p>
        </w:tc>
        <w:tc>
          <w:tcPr>
            <w:tcW w:w="1890"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人民币普通股</w:t>
            </w:r>
          </w:p>
        </w:tc>
        <w:tc>
          <w:tcPr>
            <w:tcW w:w="161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33,930,580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674" w:type="dxa"/>
            <w:gridSpan w:val="4"/>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湖南兴湘投资控股集团有限公司</w:t>
            </w:r>
          </w:p>
        </w:tc>
        <w:tc>
          <w:tcPr>
            <w:tcW w:w="2460" w:type="dxa"/>
            <w:gridSpan w:val="5"/>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24,193,548</w:t>
            </w:r>
          </w:p>
        </w:tc>
        <w:tc>
          <w:tcPr>
            <w:tcW w:w="1890"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人民币普通股</w:t>
            </w:r>
          </w:p>
        </w:tc>
        <w:tc>
          <w:tcPr>
            <w:tcW w:w="161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24,193,548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674" w:type="dxa"/>
            <w:gridSpan w:val="4"/>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李卓</w:t>
            </w:r>
          </w:p>
        </w:tc>
        <w:tc>
          <w:tcPr>
            <w:tcW w:w="2460" w:type="dxa"/>
            <w:gridSpan w:val="5"/>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14,220,021</w:t>
            </w:r>
          </w:p>
        </w:tc>
        <w:tc>
          <w:tcPr>
            <w:tcW w:w="1890"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人民币普通股</w:t>
            </w:r>
          </w:p>
        </w:tc>
        <w:tc>
          <w:tcPr>
            <w:tcW w:w="161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14,220,021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674" w:type="dxa"/>
            <w:gridSpan w:val="4"/>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吴仲銮</w:t>
            </w:r>
          </w:p>
        </w:tc>
        <w:tc>
          <w:tcPr>
            <w:tcW w:w="2460" w:type="dxa"/>
            <w:gridSpan w:val="5"/>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5,128,532</w:t>
            </w:r>
          </w:p>
        </w:tc>
        <w:tc>
          <w:tcPr>
            <w:tcW w:w="1890"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人民币普通股</w:t>
            </w:r>
          </w:p>
        </w:tc>
        <w:tc>
          <w:tcPr>
            <w:tcW w:w="161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5,128,532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674" w:type="dxa"/>
            <w:gridSpan w:val="4"/>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肇庆市泓力房地产发展有限公司</w:t>
            </w:r>
          </w:p>
        </w:tc>
        <w:tc>
          <w:tcPr>
            <w:tcW w:w="2460" w:type="dxa"/>
            <w:gridSpan w:val="5"/>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4,144,000</w:t>
            </w:r>
          </w:p>
        </w:tc>
        <w:tc>
          <w:tcPr>
            <w:tcW w:w="1890"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人民币普通股</w:t>
            </w:r>
          </w:p>
        </w:tc>
        <w:tc>
          <w:tcPr>
            <w:tcW w:w="161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4,144,000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674" w:type="dxa"/>
            <w:gridSpan w:val="4"/>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青岛弘华私募基金管理有限公司－航空产业融合发展（青岛）股权投资基金合伙企业（有限合伙）</w:t>
            </w:r>
          </w:p>
        </w:tc>
        <w:tc>
          <w:tcPr>
            <w:tcW w:w="2460" w:type="dxa"/>
            <w:gridSpan w:val="5"/>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3,091,216</w:t>
            </w:r>
          </w:p>
        </w:tc>
        <w:tc>
          <w:tcPr>
            <w:tcW w:w="1890"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人民币普通股</w:t>
            </w:r>
          </w:p>
        </w:tc>
        <w:tc>
          <w:tcPr>
            <w:tcW w:w="161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3,091,216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674" w:type="dxa"/>
            <w:gridSpan w:val="4"/>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郁华</w:t>
            </w:r>
          </w:p>
        </w:tc>
        <w:tc>
          <w:tcPr>
            <w:tcW w:w="2460" w:type="dxa"/>
            <w:gridSpan w:val="5"/>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2,246,100</w:t>
            </w:r>
          </w:p>
        </w:tc>
        <w:tc>
          <w:tcPr>
            <w:tcW w:w="1890"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人民币普通股</w:t>
            </w:r>
          </w:p>
        </w:tc>
        <w:tc>
          <w:tcPr>
            <w:tcW w:w="161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2,246,100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674" w:type="dxa"/>
            <w:gridSpan w:val="4"/>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廖兵</w:t>
            </w:r>
          </w:p>
        </w:tc>
        <w:tc>
          <w:tcPr>
            <w:tcW w:w="2460" w:type="dxa"/>
            <w:gridSpan w:val="5"/>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1,994,421</w:t>
            </w:r>
          </w:p>
        </w:tc>
        <w:tc>
          <w:tcPr>
            <w:tcW w:w="1890"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人民币普通股</w:t>
            </w:r>
          </w:p>
        </w:tc>
        <w:tc>
          <w:tcPr>
            <w:tcW w:w="161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1,994,421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674"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前10名无限售流通股股东之间，以及前10名无限售流通股股东和前10名股东之间关联关系或一致行动的说明</w:t>
            </w:r>
          </w:p>
        </w:tc>
        <w:tc>
          <w:tcPr>
            <w:tcW w:w="5965" w:type="dxa"/>
            <w:gridSpan w:val="9"/>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兴湘投资控股集团有限公司持有中南大学粉末冶金工程研究中心有限公司51%股权，为中南大学粉末冶金工程研究中心有限公司控股股东。除此以外未知上述其他股东之间是否存在关联关系，也未知以上其他股东是否属于一致行动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674"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前10名普通股股东参与融资融券业务情况说明（如有）（参见注4）</w:t>
            </w:r>
          </w:p>
        </w:tc>
        <w:tc>
          <w:tcPr>
            <w:tcW w:w="5965" w:type="dxa"/>
            <w:gridSpan w:val="9"/>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both"/>
              <w:rPr>
                <w:rFonts w:ascii="宋体" w:hAnsi="宋体" w:eastAsia="宋体" w:cs="宋体"/>
                <w:sz w:val="18"/>
                <w:szCs w:val="18"/>
              </w:rPr>
            </w:pPr>
            <w:r>
              <w:rPr>
                <w:rFonts w:ascii="宋体" w:hAnsi="宋体" w:eastAsia="宋体" w:cs="宋体"/>
                <w:sz w:val="18"/>
                <w:szCs w:val="18"/>
              </w:rPr>
              <w:t>公司前10名股东李卓通过投资者信用账户持有公司股票13816421股，通过普通证券账户持有403600股，普通证券账户及投资者信用账户合计持有14220021股；股东吴仲銮通过投资者信用账户持有公司股票2048500股，通过普通证券账户持有3080032股，普通证券账户及投资者信用账户合计持有5128532股；股东肇庆市泓力房地产发展有限公司通过投资者信用账户持有公司股票4144000股；股东郁华通过投资者信用账户持有公司股票2246100股；股东廖兵通过投资者信用账户持有公司股票1994421股。</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持股5%以上股东、前10名股东及前10名无限售流通股股东参与转融通业务出借股份情况</w:t>
      </w:r>
    </w:p>
    <w:p>
      <w:pPr>
        <w:spacing w:before="0" w:after="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前10名股东及前10名无限售流通股股东因转融通出借/归还原因导致较上期发生变化</w:t>
      </w:r>
    </w:p>
    <w:p>
      <w:pPr>
        <w:spacing w:before="0" w:after="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公司前10名普通股股东、前10名无限售条件普通股股东在报告期内是否进行约定购回交易</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公司前10名普通股股东、前10名无限售条件普通股股东在报告期内未进行约定购回交易。</w:t>
      </w:r>
    </w:p>
    <w:p>
      <w:pPr>
        <w:keepNext/>
        <w:keepLines/>
        <w:spacing w:before="300" w:after="300" w:line="280" w:lineRule="exact"/>
        <w:jc w:val="left"/>
        <w:outlineLvl w:val="2"/>
        <w:rPr>
          <w:rFonts w:ascii="宋体" w:hAnsi="宋体" w:eastAsia="宋体" w:cs="宋体"/>
          <w:b/>
          <w:bCs/>
          <w:sz w:val="21"/>
          <w:szCs w:val="21"/>
        </w:rPr>
      </w:pPr>
      <w:bookmarkStart w:id="152" w:name="_Toc989028"/>
      <w:r>
        <w:rPr>
          <w:rFonts w:hint="eastAsia" w:ascii="宋体" w:hAnsi="宋体" w:cs="宋体"/>
          <w:b/>
          <w:bCs/>
          <w:sz w:val="21"/>
          <w:szCs w:val="21"/>
          <w:lang w:eastAsia="zh-CN"/>
        </w:rPr>
        <w:t>（二）</w:t>
      </w:r>
      <w:r>
        <w:rPr>
          <w:rFonts w:ascii="宋体" w:hAnsi="宋体" w:eastAsia="宋体" w:cs="宋体"/>
          <w:b/>
          <w:bCs/>
          <w:sz w:val="21"/>
          <w:szCs w:val="21"/>
        </w:rPr>
        <w:t>公司控股股东情况</w:t>
      </w:r>
      <w:bookmarkEnd w:id="152"/>
    </w:p>
    <w:p>
      <w:pPr>
        <w:spacing w:before="100" w:after="100" w:line="240" w:lineRule="exact"/>
        <w:jc w:val="left"/>
        <w:rPr>
          <w:rFonts w:ascii="宋体" w:hAnsi="宋体" w:eastAsia="宋体" w:cs="宋体"/>
          <w:sz w:val="18"/>
          <w:szCs w:val="18"/>
        </w:rPr>
      </w:pPr>
      <w:r>
        <w:rPr>
          <w:rFonts w:ascii="宋体" w:hAnsi="宋体" w:eastAsia="宋体" w:cs="宋体"/>
          <w:sz w:val="18"/>
          <w:szCs w:val="18"/>
        </w:rPr>
        <w:t>控股股东性质：地方国有控股</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控股股东类型：法人</w:t>
      </w:r>
    </w:p>
    <w:p>
      <w:pPr>
        <w:pStyle w:val="2"/>
      </w:pPr>
    </w:p>
    <w:tbl>
      <w:tblPr>
        <w:tblStyle w:val="5"/>
        <w:tblW w:w="964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058"/>
        <w:gridCol w:w="179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05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控股股东名称</w:t>
            </w:r>
          </w:p>
        </w:tc>
        <w:tc>
          <w:tcPr>
            <w:tcW w:w="179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法定代表人/单位负责人</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成立日期</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组织机构代码</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主要经营业务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0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中南大学粉末冶金工程研究中心有限公司</w:t>
            </w:r>
          </w:p>
        </w:tc>
        <w:tc>
          <w:tcPr>
            <w:tcW w:w="179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戴志利</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2001年02月09日</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91430100722528325Q</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主要从事现代高性能粉末冶金新技术、新产品的开发研究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05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控股股东报告期内控股和参股的其他境内外上市公司的股权情况</w:t>
            </w:r>
          </w:p>
        </w:tc>
        <w:tc>
          <w:tcPr>
            <w:tcW w:w="7582" w:type="dxa"/>
            <w:gridSpan w:val="4"/>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控股股东报告期内变更</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公司报告期控股股东未发生变更。</w:t>
      </w:r>
    </w:p>
    <w:p>
      <w:pPr>
        <w:keepNext/>
        <w:keepLines/>
        <w:spacing w:before="300" w:after="300" w:line="280" w:lineRule="exact"/>
        <w:jc w:val="left"/>
        <w:outlineLvl w:val="2"/>
        <w:rPr>
          <w:rFonts w:ascii="宋体" w:hAnsi="宋体" w:eastAsia="宋体" w:cs="宋体"/>
          <w:b/>
          <w:bCs/>
          <w:sz w:val="21"/>
          <w:szCs w:val="21"/>
        </w:rPr>
      </w:pPr>
      <w:bookmarkStart w:id="153" w:name="_Toc989029"/>
      <w:r>
        <w:rPr>
          <w:rFonts w:hint="eastAsia" w:ascii="宋体" w:hAnsi="宋体" w:cs="宋体"/>
          <w:b/>
          <w:bCs/>
          <w:sz w:val="21"/>
          <w:szCs w:val="21"/>
          <w:lang w:eastAsia="zh-CN"/>
        </w:rPr>
        <w:t>（三）</w:t>
      </w:r>
      <w:r>
        <w:rPr>
          <w:rFonts w:ascii="宋体" w:hAnsi="宋体" w:eastAsia="宋体" w:cs="宋体"/>
          <w:b/>
          <w:bCs/>
          <w:sz w:val="21"/>
          <w:szCs w:val="21"/>
        </w:rPr>
        <w:t>公司实际控制人及其一致行动人</w:t>
      </w:r>
      <w:bookmarkEnd w:id="153"/>
    </w:p>
    <w:p>
      <w:pPr>
        <w:spacing w:before="100" w:after="100" w:line="240" w:lineRule="exact"/>
        <w:jc w:val="left"/>
        <w:rPr>
          <w:rFonts w:ascii="宋体" w:hAnsi="宋体" w:eastAsia="宋体" w:cs="宋体"/>
          <w:sz w:val="18"/>
          <w:szCs w:val="18"/>
        </w:rPr>
      </w:pPr>
      <w:r>
        <w:rPr>
          <w:rFonts w:ascii="宋体" w:hAnsi="宋体" w:eastAsia="宋体" w:cs="宋体"/>
          <w:sz w:val="18"/>
          <w:szCs w:val="18"/>
        </w:rPr>
        <w:t>实际控制人性质：地方国资管理机构</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实际控制人类型：法人</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实际控制人名称</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法定代表人/单位负责人</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成立日期</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组织机构代码</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主要经营业务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湖南省国资委</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肖文伟</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1997年11月09日</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实际控制人报告期内控制的其他境内外上市公司的股权情况</w:t>
            </w:r>
          </w:p>
        </w:tc>
        <w:tc>
          <w:tcPr>
            <w:tcW w:w="7711" w:type="dxa"/>
            <w:gridSpan w:val="4"/>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实际控制人报告期内变更</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公司报告期实际控制人未发生变更。</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公司与实际控制人之间的产权及控制关系的方框图</w:t>
      </w:r>
    </w:p>
    <w:p>
      <w:pPr>
        <w:spacing w:before="40" w:after="40" w:line="0" w:lineRule="exact"/>
        <w:jc w:val="center"/>
        <w:rPr>
          <w:rFonts w:ascii="Times New Roman" w:hAnsi="Times New Roman" w:eastAsia="宋体" w:cs="Times New Roman"/>
        </w:rPr>
      </w:pPr>
      <w:r>
        <w:rPr>
          <w:rFonts w:ascii="Times New Roman" w:hAnsi="Times New Roman" w:eastAsia="宋体" w:cs="Times New Roman"/>
        </w:rPr>
        <w:drawing>
          <wp:inline distT="0" distB="0" distL="0" distR="0">
            <wp:extent cx="3270250" cy="2404745"/>
            <wp:effectExtent l="0" t="0" r="635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cstate="print"/>
                    <a:stretch>
                      <a:fillRect/>
                    </a:stretch>
                  </pic:blipFill>
                  <pic:spPr>
                    <a:xfrm>
                      <a:off x="0" y="0"/>
                      <a:ext cx="3270250" cy="2404745"/>
                    </a:xfrm>
                    <a:prstGeom prst="rect">
                      <a:avLst/>
                    </a:prstGeom>
                  </pic:spPr>
                </pic:pic>
              </a:graphicData>
            </a:graphic>
          </wp:inline>
        </w:drawing>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实际控制人通过信托或其他资产管理方式控制公司</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ind w:left="630" w:hanging="630" w:hangingChars="300"/>
        <w:jc w:val="left"/>
        <w:outlineLvl w:val="2"/>
        <w:rPr>
          <w:rFonts w:ascii="宋体" w:hAnsi="宋体" w:eastAsia="宋体" w:cs="宋体"/>
          <w:b/>
          <w:bCs/>
          <w:sz w:val="21"/>
          <w:szCs w:val="21"/>
        </w:rPr>
      </w:pPr>
      <w:bookmarkStart w:id="154" w:name="_Toc989030"/>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四</w:t>
      </w:r>
      <w:r>
        <w:rPr>
          <w:rFonts w:hint="eastAsia" w:ascii="宋体" w:hAnsi="宋体" w:eastAsia="宋体" w:cs="宋体"/>
          <w:b/>
          <w:bCs/>
          <w:sz w:val="21"/>
          <w:szCs w:val="21"/>
          <w:lang w:eastAsia="zh-CN"/>
        </w:rPr>
        <w:t>）</w:t>
      </w:r>
      <w:r>
        <w:rPr>
          <w:rFonts w:ascii="宋体" w:hAnsi="宋体" w:eastAsia="宋体" w:cs="宋体"/>
          <w:b/>
          <w:bCs/>
          <w:sz w:val="21"/>
          <w:szCs w:val="21"/>
        </w:rPr>
        <w:t>公司控股股东或第一大股东及其一致行动人累计质押股份数量占其所持公司股份数量比例达到80%</w:t>
      </w:r>
      <w:bookmarkEnd w:id="154"/>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2"/>
        <w:rPr>
          <w:rFonts w:ascii="宋体" w:hAnsi="宋体" w:eastAsia="宋体" w:cs="宋体"/>
          <w:b/>
          <w:bCs/>
          <w:sz w:val="21"/>
          <w:szCs w:val="21"/>
        </w:rPr>
      </w:pPr>
      <w:bookmarkStart w:id="155" w:name="_Toc989031"/>
      <w:r>
        <w:rPr>
          <w:rFonts w:hint="eastAsia" w:ascii="宋体" w:hAnsi="宋体" w:cs="宋体"/>
          <w:b/>
          <w:bCs/>
          <w:sz w:val="21"/>
          <w:szCs w:val="21"/>
          <w:lang w:eastAsia="zh-CN"/>
        </w:rPr>
        <w:t>（五）</w:t>
      </w:r>
      <w:r>
        <w:rPr>
          <w:rFonts w:ascii="宋体" w:hAnsi="宋体" w:eastAsia="宋体" w:cs="宋体"/>
          <w:b/>
          <w:bCs/>
          <w:sz w:val="21"/>
          <w:szCs w:val="21"/>
        </w:rPr>
        <w:t>其他持股在10%以上的法人股东</w:t>
      </w:r>
      <w:bookmarkEnd w:id="155"/>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2"/>
        <w:rPr>
          <w:rFonts w:ascii="宋体" w:hAnsi="宋体" w:eastAsia="宋体" w:cs="宋体"/>
          <w:b/>
          <w:bCs/>
          <w:sz w:val="21"/>
          <w:szCs w:val="21"/>
        </w:rPr>
      </w:pPr>
      <w:bookmarkStart w:id="156" w:name="_Toc989032"/>
      <w:r>
        <w:rPr>
          <w:rFonts w:hint="eastAsia" w:ascii="宋体" w:hAnsi="宋体" w:cs="宋体"/>
          <w:b/>
          <w:bCs/>
          <w:sz w:val="21"/>
          <w:szCs w:val="21"/>
          <w:lang w:eastAsia="zh-CN"/>
        </w:rPr>
        <w:t>（六）</w:t>
      </w:r>
      <w:r>
        <w:rPr>
          <w:rFonts w:ascii="宋体" w:hAnsi="宋体" w:eastAsia="宋体" w:cs="宋体"/>
          <w:b/>
          <w:bCs/>
          <w:sz w:val="21"/>
          <w:szCs w:val="21"/>
        </w:rPr>
        <w:t>控股股东、实际控制人、重组方及其他承诺主体股份限制减持情况</w:t>
      </w:r>
      <w:bookmarkEnd w:id="156"/>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320" w:lineRule="exact"/>
        <w:jc w:val="left"/>
        <w:outlineLvl w:val="1"/>
        <w:rPr>
          <w:rFonts w:ascii="宋体" w:hAnsi="宋体" w:eastAsia="宋体" w:cs="宋体"/>
          <w:b/>
          <w:bCs/>
          <w:sz w:val="24"/>
          <w:szCs w:val="24"/>
        </w:rPr>
      </w:pPr>
      <w:bookmarkStart w:id="157" w:name="_Toc989033"/>
      <w:r>
        <w:rPr>
          <w:rFonts w:ascii="宋体" w:hAnsi="宋体" w:eastAsia="宋体" w:cs="宋体"/>
          <w:b/>
          <w:bCs/>
          <w:sz w:val="24"/>
          <w:szCs w:val="24"/>
        </w:rPr>
        <w:t>四、股份回购在报告期的具体实施情况</w:t>
      </w:r>
      <w:bookmarkEnd w:id="157"/>
    </w:p>
    <w:p>
      <w:pPr>
        <w:spacing w:before="100" w:after="100" w:line="240" w:lineRule="exact"/>
        <w:jc w:val="left"/>
        <w:rPr>
          <w:rFonts w:ascii="宋体" w:hAnsi="宋体" w:eastAsia="宋体" w:cs="宋体"/>
          <w:sz w:val="18"/>
          <w:szCs w:val="18"/>
        </w:rPr>
      </w:pPr>
      <w:r>
        <w:rPr>
          <w:rFonts w:ascii="宋体" w:hAnsi="宋体" w:eastAsia="宋体" w:cs="宋体"/>
          <w:sz w:val="18"/>
          <w:szCs w:val="18"/>
        </w:rPr>
        <w:t>股份回购的实施进展情况</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采用集中竞价交易方式减持回购股份的实施进展情况</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r>
        <w:br w:type="page"/>
      </w:r>
    </w:p>
    <w:p>
      <w:pPr>
        <w:keepNext/>
        <w:keepLines/>
        <w:spacing w:before="340" w:after="330" w:line="773" w:lineRule="exact"/>
        <w:jc w:val="center"/>
        <w:outlineLvl w:val="0"/>
        <w:rPr>
          <w:rFonts w:ascii="宋体" w:hAnsi="宋体" w:eastAsia="宋体" w:cs="宋体"/>
          <w:b/>
          <w:bCs/>
          <w:sz w:val="32"/>
          <w:szCs w:val="32"/>
        </w:rPr>
      </w:pPr>
      <w:bookmarkStart w:id="158" w:name="_Toc989034"/>
      <w:r>
        <w:rPr>
          <w:rFonts w:ascii="宋体" w:hAnsi="宋体" w:eastAsia="宋体" w:cs="宋体"/>
          <w:b/>
          <w:bCs/>
          <w:sz w:val="32"/>
          <w:szCs w:val="32"/>
        </w:rPr>
        <w:t>第八节 优先股相关情况</w:t>
      </w:r>
      <w:bookmarkEnd w:id="158"/>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sectPr>
          <w:headerReference r:id="rId3" w:type="default"/>
          <w:footerReference r:id="rId4" w:type="default"/>
          <w:pgSz w:w="11905" w:h="16840"/>
          <w:pgMar w:top="1440" w:right="1134" w:bottom="1440" w:left="1134" w:header="850" w:footer="992" w:gutter="0"/>
          <w:cols w:space="720" w:num="1"/>
          <w:docGrid w:type="linesAndChars" w:linePitch="312" w:charSpace="0"/>
        </w:sectPr>
      </w:pPr>
      <w:r>
        <w:rPr>
          <w:rFonts w:ascii="宋体" w:hAnsi="宋体" w:eastAsia="宋体" w:cs="宋体"/>
          <w:sz w:val="18"/>
          <w:szCs w:val="18"/>
        </w:rPr>
        <w:t>报告期公司不存在优先股。</w:t>
      </w:r>
    </w:p>
    <w:p>
      <w:pPr>
        <w:keepNext/>
        <w:keepLines/>
        <w:spacing w:before="340" w:after="330" w:line="773" w:lineRule="exact"/>
        <w:jc w:val="center"/>
        <w:outlineLvl w:val="0"/>
        <w:rPr>
          <w:rFonts w:ascii="宋体" w:hAnsi="宋体" w:eastAsia="宋体" w:cs="宋体"/>
          <w:b/>
          <w:bCs/>
          <w:sz w:val="32"/>
          <w:szCs w:val="32"/>
        </w:rPr>
      </w:pPr>
      <w:bookmarkStart w:id="159" w:name="_Toc989035"/>
      <w:r>
        <w:rPr>
          <w:rFonts w:ascii="宋体" w:hAnsi="宋体" w:eastAsia="宋体" w:cs="宋体"/>
          <w:b/>
          <w:bCs/>
          <w:sz w:val="32"/>
          <w:szCs w:val="32"/>
        </w:rPr>
        <w:t>第九节 债券相关情况</w:t>
      </w:r>
      <w:bookmarkEnd w:id="159"/>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r>
        <w:br w:type="page"/>
      </w:r>
    </w:p>
    <w:p>
      <w:pPr>
        <w:keepNext/>
        <w:keepLines/>
        <w:spacing w:before="340" w:after="330" w:line="773" w:lineRule="exact"/>
        <w:jc w:val="center"/>
        <w:outlineLvl w:val="0"/>
        <w:rPr>
          <w:rFonts w:ascii="宋体" w:hAnsi="宋体" w:eastAsia="宋体" w:cs="宋体"/>
          <w:b/>
          <w:bCs/>
          <w:sz w:val="32"/>
          <w:szCs w:val="32"/>
        </w:rPr>
      </w:pPr>
      <w:bookmarkStart w:id="160" w:name="_Toc989036"/>
      <w:r>
        <w:rPr>
          <w:rFonts w:ascii="宋体" w:hAnsi="宋体" w:eastAsia="宋体" w:cs="宋体"/>
          <w:b/>
          <w:bCs/>
          <w:sz w:val="32"/>
          <w:szCs w:val="32"/>
        </w:rPr>
        <w:t>第十节 财务报告</w:t>
      </w:r>
      <w:bookmarkEnd w:id="160"/>
    </w:p>
    <w:p>
      <w:pPr>
        <w:keepNext/>
        <w:keepLines/>
        <w:spacing w:before="300" w:after="300" w:line="320" w:lineRule="exact"/>
        <w:jc w:val="left"/>
        <w:outlineLvl w:val="1"/>
        <w:rPr>
          <w:rFonts w:ascii="宋体" w:hAnsi="宋体" w:eastAsia="宋体" w:cs="宋体"/>
          <w:b/>
          <w:bCs/>
          <w:sz w:val="24"/>
          <w:szCs w:val="24"/>
        </w:rPr>
      </w:pPr>
      <w:bookmarkStart w:id="161" w:name="_Toc989037"/>
      <w:r>
        <w:rPr>
          <w:rFonts w:ascii="宋体" w:hAnsi="宋体" w:eastAsia="宋体" w:cs="宋体"/>
          <w:b/>
          <w:bCs/>
          <w:sz w:val="24"/>
          <w:szCs w:val="24"/>
        </w:rPr>
        <w:t>一、审计报告</w:t>
      </w:r>
      <w:bookmarkEnd w:id="161"/>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审计意见类型</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标准的无保留意见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审计报告签署日期</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2025年04月09日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审计机构名称</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立信会计师事务所（特殊普通合伙）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审计报告文号</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hint="eastAsia" w:ascii="宋体" w:hAnsi="宋体" w:eastAsia="宋体" w:cs="宋体"/>
                <w:sz w:val="18"/>
                <w:szCs w:val="18"/>
              </w:rPr>
              <w:t>信会师报字[2025]第ZA10707号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注册会计师姓名</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李新民、戴志敏</w:t>
            </w:r>
          </w:p>
        </w:tc>
      </w:tr>
    </w:tbl>
    <w:p>
      <w:pPr>
        <w:spacing w:before="100" w:after="100" w:line="240" w:lineRule="exact"/>
        <w:jc w:val="center"/>
        <w:rPr>
          <w:rFonts w:ascii="宋体" w:hAnsi="宋体" w:eastAsia="宋体" w:cs="宋体"/>
          <w:sz w:val="18"/>
          <w:szCs w:val="18"/>
        </w:rPr>
      </w:pPr>
      <w:r>
        <w:rPr>
          <w:rFonts w:ascii="宋体" w:hAnsi="宋体" w:eastAsia="宋体" w:cs="宋体"/>
          <w:sz w:val="18"/>
          <w:szCs w:val="18"/>
        </w:rPr>
        <w:t>审计报告正文</w:t>
      </w:r>
    </w:p>
    <w:p>
      <w:pPr>
        <w:pStyle w:val="4"/>
        <w:keepNext w:val="0"/>
        <w:keepLines w:val="0"/>
        <w:widowControl/>
        <w:suppressLineNumbers w:val="0"/>
        <w:spacing w:before="0" w:beforeAutospacing="0" w:after="0" w:afterAutospacing="0" w:line="360" w:lineRule="atLeast"/>
        <w:ind w:left="0" w:right="0"/>
        <w:jc w:val="both"/>
        <w:rPr>
          <w:rFonts w:hint="default" w:ascii="Times New Roman" w:hAnsi="Times New Roman" w:cs="Times New Roman"/>
          <w:sz w:val="24"/>
          <w:szCs w:val="24"/>
        </w:rPr>
      </w:pPr>
      <w:r>
        <w:rPr>
          <w:rFonts w:hint="eastAsia" w:ascii="宋体" w:hAnsi="宋体" w:eastAsia="宋体" w:cs="宋体"/>
          <w:sz w:val="21"/>
          <w:szCs w:val="21"/>
        </w:rPr>
        <w:t>湖南博云新材料股份有限公司全体股东：</w:t>
      </w:r>
    </w:p>
    <w:p>
      <w:pPr>
        <w:keepNext/>
        <w:keepLines/>
        <w:pageBreakBefore w:val="0"/>
        <w:widowControl w:val="0"/>
        <w:kinsoku/>
        <w:wordWrap/>
        <w:overflowPunct/>
        <w:topLinePunct w:val="0"/>
        <w:autoSpaceDE/>
        <w:autoSpaceDN/>
        <w:bidi w:val="0"/>
        <w:adjustRightInd/>
        <w:snapToGrid/>
        <w:spacing w:before="157" w:beforeLines="50" w:after="157" w:afterLines="50" w:line="280" w:lineRule="exact"/>
        <w:jc w:val="left"/>
        <w:textAlignment w:val="auto"/>
        <w:outlineLvl w:val="2"/>
        <w:rPr>
          <w:rFonts w:hint="default" w:ascii="宋体" w:hAnsi="宋体" w:eastAsia="宋体" w:cs="宋体"/>
          <w:b/>
          <w:bCs/>
          <w:sz w:val="21"/>
          <w:szCs w:val="21"/>
          <w:lang w:eastAsia="zh-CN"/>
        </w:rPr>
      </w:pPr>
      <w:r>
        <w:rPr>
          <w:rFonts w:hint="eastAsia" w:ascii="宋体" w:hAnsi="宋体" w:eastAsia="宋体" w:cs="宋体"/>
          <w:b/>
          <w:bCs/>
          <w:sz w:val="21"/>
          <w:szCs w:val="21"/>
          <w:lang w:eastAsia="zh-CN"/>
        </w:rPr>
        <w:t>（一）审计意见 </w:t>
      </w:r>
    </w:p>
    <w:p>
      <w:pPr>
        <w:pStyle w:val="4"/>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sz w:val="21"/>
          <w:szCs w:val="21"/>
        </w:rPr>
        <w:t>我们审计了湖南博云新材料股份有限公司（以下简称博云新材）财务报表，包括</w:t>
      </w:r>
      <w:r>
        <w:rPr>
          <w:rFonts w:hint="default" w:ascii="Times New Roman" w:hAnsi="Times New Roman" w:eastAsia="宋体" w:cs="Times New Roman"/>
          <w:sz w:val="21"/>
          <w:szCs w:val="21"/>
        </w:rPr>
        <w:t>2024</w:t>
      </w:r>
      <w:r>
        <w:rPr>
          <w:rFonts w:hint="eastAsia" w:ascii="宋体" w:hAnsi="宋体" w:eastAsia="宋体" w:cs="宋体"/>
          <w:sz w:val="21"/>
          <w:szCs w:val="21"/>
        </w:rPr>
        <w:t>年</w:t>
      </w:r>
      <w:r>
        <w:rPr>
          <w:rFonts w:hint="default" w:ascii="Times New Roman" w:hAnsi="Times New Roman" w:eastAsia="宋体" w:cs="Times New Roman"/>
          <w:sz w:val="21"/>
          <w:szCs w:val="21"/>
        </w:rPr>
        <w:t>12</w:t>
      </w:r>
      <w:r>
        <w:rPr>
          <w:rFonts w:hint="eastAsia" w:ascii="宋体" w:hAnsi="宋体" w:eastAsia="宋体" w:cs="宋体"/>
          <w:sz w:val="21"/>
          <w:szCs w:val="21"/>
        </w:rPr>
        <w:t>月</w:t>
      </w:r>
      <w:r>
        <w:rPr>
          <w:rFonts w:hint="default" w:ascii="Times New Roman" w:hAnsi="Times New Roman" w:eastAsia="宋体" w:cs="Times New Roman"/>
          <w:sz w:val="21"/>
          <w:szCs w:val="21"/>
        </w:rPr>
        <w:t>31</w:t>
      </w:r>
      <w:r>
        <w:rPr>
          <w:rFonts w:hint="eastAsia" w:ascii="宋体" w:hAnsi="宋体" w:eastAsia="宋体" w:cs="宋体"/>
          <w:sz w:val="21"/>
          <w:szCs w:val="21"/>
        </w:rPr>
        <w:t>日的合并及母公司资产负债表，</w:t>
      </w:r>
      <w:r>
        <w:rPr>
          <w:rFonts w:hint="default" w:ascii="Times New Roman" w:hAnsi="Times New Roman" w:eastAsia="宋体" w:cs="Times New Roman"/>
          <w:sz w:val="21"/>
          <w:szCs w:val="21"/>
        </w:rPr>
        <w:t>2024</w:t>
      </w:r>
      <w:r>
        <w:rPr>
          <w:rFonts w:hint="eastAsia" w:ascii="宋体" w:hAnsi="宋体" w:eastAsia="宋体" w:cs="宋体"/>
          <w:sz w:val="21"/>
          <w:szCs w:val="21"/>
        </w:rPr>
        <w:t>年度的合并及母公司利润表、合并及母公司现金流量表、合并及母公司所有者权益变动表以及相关财务报表附注。</w:t>
      </w:r>
    </w:p>
    <w:p>
      <w:pPr>
        <w:pStyle w:val="4"/>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sz w:val="21"/>
          <w:szCs w:val="21"/>
        </w:rPr>
        <w:t>我们认为，后附的财务报表在所有重大方面按照企业会计准则的规定编制，公允反映了博云新材</w:t>
      </w:r>
      <w:r>
        <w:rPr>
          <w:rFonts w:hint="default" w:ascii="Times New Roman" w:hAnsi="Times New Roman" w:eastAsia="宋体" w:cs="Times New Roman"/>
          <w:sz w:val="21"/>
          <w:szCs w:val="21"/>
        </w:rPr>
        <w:t>2024</w:t>
      </w:r>
      <w:r>
        <w:rPr>
          <w:rFonts w:hint="eastAsia" w:ascii="宋体" w:hAnsi="宋体" w:eastAsia="宋体" w:cs="宋体"/>
          <w:sz w:val="21"/>
          <w:szCs w:val="21"/>
        </w:rPr>
        <w:t>年</w:t>
      </w:r>
      <w:r>
        <w:rPr>
          <w:rFonts w:hint="default" w:ascii="Times New Roman" w:hAnsi="Times New Roman" w:eastAsia="宋体" w:cs="Times New Roman"/>
          <w:sz w:val="21"/>
          <w:szCs w:val="21"/>
        </w:rPr>
        <w:t>12</w:t>
      </w:r>
      <w:r>
        <w:rPr>
          <w:rFonts w:hint="eastAsia" w:ascii="宋体" w:hAnsi="宋体" w:eastAsia="宋体" w:cs="宋体"/>
          <w:sz w:val="21"/>
          <w:szCs w:val="21"/>
        </w:rPr>
        <w:t>月</w:t>
      </w:r>
      <w:r>
        <w:rPr>
          <w:rFonts w:hint="default" w:ascii="Times New Roman" w:hAnsi="Times New Roman" w:eastAsia="宋体" w:cs="Times New Roman"/>
          <w:sz w:val="21"/>
          <w:szCs w:val="21"/>
        </w:rPr>
        <w:t>31</w:t>
      </w:r>
      <w:r>
        <w:rPr>
          <w:rFonts w:hint="eastAsia" w:ascii="宋体" w:hAnsi="宋体" w:eastAsia="宋体" w:cs="宋体"/>
          <w:sz w:val="21"/>
          <w:szCs w:val="21"/>
        </w:rPr>
        <w:t>日的合并及母公司财务状况以及</w:t>
      </w:r>
      <w:r>
        <w:rPr>
          <w:rFonts w:hint="default" w:ascii="Times New Roman" w:hAnsi="Times New Roman" w:eastAsia="宋体" w:cs="Times New Roman"/>
          <w:sz w:val="21"/>
          <w:szCs w:val="21"/>
        </w:rPr>
        <w:t>2024</w:t>
      </w:r>
      <w:r>
        <w:rPr>
          <w:rFonts w:hint="eastAsia" w:ascii="宋体" w:hAnsi="宋体" w:eastAsia="宋体" w:cs="宋体"/>
          <w:sz w:val="21"/>
          <w:szCs w:val="21"/>
        </w:rPr>
        <w:t>年度的合并及母公司经营成果和现金流量。</w:t>
      </w:r>
    </w:p>
    <w:p>
      <w:pPr>
        <w:keepNext/>
        <w:keepLines/>
        <w:pageBreakBefore w:val="0"/>
        <w:widowControl w:val="0"/>
        <w:kinsoku/>
        <w:wordWrap/>
        <w:overflowPunct/>
        <w:topLinePunct w:val="0"/>
        <w:autoSpaceDE/>
        <w:autoSpaceDN/>
        <w:bidi w:val="0"/>
        <w:adjustRightInd/>
        <w:snapToGrid/>
        <w:spacing w:before="157" w:beforeLines="50" w:after="157" w:afterLines="50" w:line="280" w:lineRule="exact"/>
        <w:jc w:val="left"/>
        <w:textAlignment w:val="auto"/>
        <w:outlineLvl w:val="2"/>
        <w:rPr>
          <w:rFonts w:hint="default" w:ascii="宋体" w:hAnsi="宋体" w:eastAsia="宋体" w:cs="宋体"/>
          <w:b/>
          <w:bCs/>
          <w:sz w:val="21"/>
          <w:szCs w:val="21"/>
          <w:lang w:eastAsia="zh-CN"/>
        </w:rPr>
      </w:pPr>
      <w:r>
        <w:rPr>
          <w:rFonts w:hint="eastAsia" w:ascii="宋体" w:hAnsi="宋体" w:eastAsia="宋体" w:cs="宋体"/>
          <w:b/>
          <w:bCs/>
          <w:sz w:val="21"/>
          <w:szCs w:val="21"/>
          <w:lang w:eastAsia="zh-CN"/>
        </w:rPr>
        <w:t>（二）形成审计意见的基础</w:t>
      </w:r>
    </w:p>
    <w:p>
      <w:pPr>
        <w:pStyle w:val="4"/>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sz w:val="21"/>
          <w:szCs w:val="21"/>
        </w:rPr>
        <w:t>我们按照中国注册会计师审计准则的规定执行了审计工作。审计报告的“注册会计师对财务报表审计的责任”部分进一步阐述了我们在这些准则下的责任。按照中国注册会计师职业道德守则，我们独立于博云新材，并履行了职业道德方面的其他责任。我们相信，我们获取的审计证据是充分、适当的，为发表审计意见提供了基础。</w:t>
      </w:r>
    </w:p>
    <w:p>
      <w:pPr>
        <w:keepNext/>
        <w:keepLines/>
        <w:pageBreakBefore w:val="0"/>
        <w:widowControl w:val="0"/>
        <w:kinsoku/>
        <w:wordWrap/>
        <w:overflowPunct/>
        <w:topLinePunct w:val="0"/>
        <w:autoSpaceDE/>
        <w:autoSpaceDN/>
        <w:bidi w:val="0"/>
        <w:adjustRightInd/>
        <w:snapToGrid/>
        <w:spacing w:before="157" w:beforeLines="50" w:after="157" w:afterLines="50" w:line="280" w:lineRule="exact"/>
        <w:jc w:val="left"/>
        <w:textAlignment w:val="auto"/>
        <w:outlineLvl w:val="2"/>
        <w:rPr>
          <w:rFonts w:hint="default" w:ascii="宋体" w:hAnsi="宋体" w:eastAsia="宋体" w:cs="宋体"/>
          <w:b/>
          <w:bCs/>
          <w:sz w:val="21"/>
          <w:szCs w:val="21"/>
          <w:lang w:eastAsia="zh-CN"/>
        </w:rPr>
      </w:pPr>
      <w:r>
        <w:rPr>
          <w:rFonts w:hint="eastAsia" w:ascii="宋体" w:hAnsi="宋体" w:eastAsia="宋体" w:cs="宋体"/>
          <w:b/>
          <w:bCs/>
          <w:sz w:val="21"/>
          <w:szCs w:val="21"/>
          <w:lang w:eastAsia="zh-CN"/>
        </w:rPr>
        <w:t>（三）关键审计事项</w:t>
      </w:r>
    </w:p>
    <w:p>
      <w:pPr>
        <w:pStyle w:val="4"/>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sz w:val="21"/>
          <w:szCs w:val="21"/>
        </w:rPr>
        <w:t>关键审计事项是我们根据职业判断，认为对本期财务报表审计最为重要的事项。这些事项的应对以对财务报表整体进行审计并形成审计意见为背景，我们不对这些事项单独发表意见。</w:t>
      </w:r>
    </w:p>
    <w:p>
      <w:pPr>
        <w:pStyle w:val="4"/>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sz w:val="21"/>
          <w:szCs w:val="21"/>
        </w:rPr>
        <w:t>我们在审计中识别出的关键审计事项汇总如下：</w:t>
      </w:r>
    </w:p>
    <w:tbl>
      <w:tblPr>
        <w:tblStyle w:val="5"/>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4334"/>
        <w:gridCol w:w="540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33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sz w:val="24"/>
                <w:szCs w:val="24"/>
              </w:rPr>
            </w:pPr>
            <w:r>
              <w:rPr>
                <w:rFonts w:hint="eastAsia" w:ascii="宋体" w:hAnsi="宋体" w:eastAsia="宋体" w:cs="宋体"/>
                <w:sz w:val="21"/>
                <w:szCs w:val="21"/>
              </w:rPr>
              <w:t>关键审计事项</w:t>
            </w:r>
          </w:p>
        </w:tc>
        <w:tc>
          <w:tcPr>
            <w:tcW w:w="540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sz w:val="24"/>
                <w:szCs w:val="24"/>
              </w:rPr>
            </w:pPr>
            <w:r>
              <w:rPr>
                <w:rFonts w:hint="eastAsia" w:ascii="宋体" w:hAnsi="宋体" w:eastAsia="宋体" w:cs="宋体"/>
                <w:sz w:val="21"/>
                <w:szCs w:val="21"/>
              </w:rPr>
              <w:t>该事项在审计中是如何应对的</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9734" w:type="dxa"/>
            <w:gridSpan w:val="2"/>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sz w:val="24"/>
                <w:szCs w:val="24"/>
              </w:rPr>
            </w:pPr>
            <w:r>
              <w:rPr>
                <w:rFonts w:hint="eastAsia" w:ascii="宋体" w:hAnsi="宋体" w:eastAsia="宋体" w:cs="宋体"/>
                <w:sz w:val="21"/>
                <w:szCs w:val="21"/>
                <w:highlight w:val="none"/>
              </w:rPr>
              <w:t>存货跌价准备计提</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433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spacing w:before="0" w:beforeAutospacing="0" w:after="0" w:afterAutospacing="0" w:line="400" w:lineRule="atLeast"/>
              <w:ind w:left="0" w:right="0"/>
              <w:jc w:val="left"/>
              <w:rPr>
                <w:rFonts w:hint="default" w:ascii="Times New Roman" w:hAnsi="Times New Roman" w:cs="Times New Roman"/>
                <w:sz w:val="24"/>
                <w:szCs w:val="24"/>
                <w:highlight w:val="none"/>
              </w:rPr>
            </w:pPr>
            <w:bookmarkStart w:id="162" w:name="OLE_LINK21"/>
            <w:r>
              <w:rPr>
                <w:rFonts w:hint="eastAsia" w:ascii="宋体" w:hAnsi="宋体" w:eastAsia="宋体" w:cs="宋体"/>
                <w:sz w:val="21"/>
                <w:szCs w:val="21"/>
                <w:highlight w:val="none"/>
              </w:rPr>
              <w:t>如后附合并财务报表附注</w:t>
            </w:r>
            <w:r>
              <w:rPr>
                <w:rFonts w:hint="eastAsia" w:ascii="宋体" w:hAnsi="宋体" w:cs="宋体"/>
                <w:sz w:val="21"/>
                <w:szCs w:val="21"/>
                <w:highlight w:val="none"/>
                <w:lang w:eastAsia="zh-CN"/>
              </w:rPr>
              <w:t>七</w:t>
            </w: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8.</w:t>
            </w:r>
            <w:r>
              <w:rPr>
                <w:rFonts w:hint="eastAsia" w:ascii="宋体" w:hAnsi="宋体" w:cs="宋体"/>
                <w:sz w:val="21"/>
                <w:szCs w:val="21"/>
                <w:highlight w:val="none"/>
                <w:lang w:eastAsia="zh-CN"/>
              </w:rPr>
              <w:t>存货</w:t>
            </w:r>
            <w:r>
              <w:rPr>
                <w:rFonts w:hint="eastAsia" w:ascii="宋体" w:hAnsi="宋体" w:eastAsia="宋体" w:cs="宋体"/>
                <w:sz w:val="21"/>
                <w:szCs w:val="21"/>
                <w:highlight w:val="none"/>
              </w:rPr>
              <w:t>所示，</w:t>
            </w:r>
            <w:bookmarkEnd w:id="162"/>
            <w:r>
              <w:rPr>
                <w:rFonts w:hint="eastAsia" w:ascii="宋体" w:hAnsi="宋体" w:eastAsia="宋体" w:cs="宋体"/>
                <w:sz w:val="21"/>
                <w:szCs w:val="21"/>
                <w:highlight w:val="none"/>
              </w:rPr>
              <w:t>截止</w:t>
            </w:r>
            <w:r>
              <w:rPr>
                <w:rFonts w:hint="default" w:ascii="Times New Roman" w:hAnsi="Times New Roman" w:cs="Times New Roman"/>
                <w:sz w:val="21"/>
                <w:szCs w:val="21"/>
                <w:highlight w:val="none"/>
              </w:rPr>
              <w:t>2024</w:t>
            </w:r>
            <w:r>
              <w:rPr>
                <w:rFonts w:hint="eastAsia" w:ascii="宋体" w:hAnsi="宋体" w:eastAsia="宋体" w:cs="宋体"/>
                <w:sz w:val="21"/>
                <w:szCs w:val="21"/>
                <w:highlight w:val="none"/>
              </w:rPr>
              <w:t>年</w:t>
            </w:r>
            <w:r>
              <w:rPr>
                <w:rFonts w:hint="default" w:ascii="Times New Roman" w:hAnsi="Times New Roman" w:cs="Times New Roman"/>
                <w:sz w:val="21"/>
                <w:szCs w:val="21"/>
                <w:highlight w:val="none"/>
              </w:rPr>
              <w:t>12</w:t>
            </w:r>
            <w:r>
              <w:rPr>
                <w:rFonts w:hint="eastAsia" w:ascii="宋体" w:hAnsi="宋体" w:eastAsia="宋体" w:cs="宋体"/>
                <w:sz w:val="21"/>
                <w:szCs w:val="21"/>
                <w:highlight w:val="none"/>
              </w:rPr>
              <w:t>月</w:t>
            </w:r>
            <w:r>
              <w:rPr>
                <w:rFonts w:hint="default" w:ascii="Times New Roman" w:hAnsi="Times New Roman" w:cs="Times New Roman"/>
                <w:sz w:val="21"/>
                <w:szCs w:val="21"/>
                <w:highlight w:val="none"/>
              </w:rPr>
              <w:t>31</w:t>
            </w:r>
            <w:r>
              <w:rPr>
                <w:rFonts w:hint="eastAsia" w:ascii="宋体" w:hAnsi="宋体" w:eastAsia="宋体" w:cs="宋体"/>
                <w:sz w:val="21"/>
                <w:szCs w:val="21"/>
                <w:highlight w:val="none"/>
              </w:rPr>
              <w:t>日，博云新材存货账面价值为</w:t>
            </w:r>
            <w:r>
              <w:rPr>
                <w:rFonts w:hint="default" w:ascii="Times New Roman" w:hAnsi="Times New Roman" w:cs="Times New Roman"/>
                <w:sz w:val="21"/>
                <w:szCs w:val="21"/>
                <w:highlight w:val="none"/>
              </w:rPr>
              <w:t>536,734,222.18</w:t>
            </w:r>
            <w:r>
              <w:rPr>
                <w:rFonts w:hint="eastAsia" w:ascii="宋体" w:hAnsi="宋体" w:eastAsia="宋体" w:cs="宋体"/>
                <w:sz w:val="21"/>
                <w:szCs w:val="21"/>
                <w:highlight w:val="none"/>
              </w:rPr>
              <w:t>元，占期末资产总额的</w:t>
            </w:r>
            <w:r>
              <w:rPr>
                <w:rFonts w:hint="default" w:ascii="Times New Roman" w:hAnsi="Times New Roman" w:cs="Times New Roman"/>
                <w:sz w:val="21"/>
                <w:szCs w:val="21"/>
                <w:highlight w:val="none"/>
              </w:rPr>
              <w:t>18.14%</w:t>
            </w:r>
            <w:r>
              <w:rPr>
                <w:rFonts w:hint="eastAsia" w:ascii="宋体" w:hAnsi="宋体" w:eastAsia="宋体" w:cs="宋体"/>
                <w:sz w:val="21"/>
                <w:szCs w:val="21"/>
                <w:highlight w:val="none"/>
              </w:rPr>
              <w:t>；存货跌价准备余额为</w:t>
            </w:r>
            <w:r>
              <w:rPr>
                <w:rFonts w:hint="default" w:ascii="Times New Roman" w:hAnsi="Times New Roman" w:cs="Times New Roman"/>
                <w:sz w:val="21"/>
                <w:szCs w:val="21"/>
                <w:highlight w:val="none"/>
              </w:rPr>
              <w:t>117,425,613.30</w:t>
            </w:r>
            <w:r>
              <w:rPr>
                <w:rFonts w:hint="eastAsia" w:ascii="宋体" w:hAnsi="宋体" w:eastAsia="宋体" w:cs="宋体"/>
                <w:sz w:val="21"/>
                <w:szCs w:val="21"/>
                <w:highlight w:val="none"/>
              </w:rPr>
              <w:t>元。存货跌价准备计提是否充分对财务报表影响重大且存货可变现净值的确定需要管理层做出会计估计，故我们将存货减值作为关键审计事项。</w:t>
            </w:r>
          </w:p>
        </w:tc>
        <w:tc>
          <w:tcPr>
            <w:tcW w:w="540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spacing w:before="0" w:beforeAutospacing="0" w:after="0" w:afterAutospacing="0" w:line="400" w:lineRule="atLeast"/>
              <w:ind w:left="0" w:right="0"/>
              <w:jc w:val="left"/>
              <w:rPr>
                <w:rFonts w:hint="default" w:ascii="Times New Roman" w:hAnsi="Times New Roman" w:cs="Times New Roman"/>
                <w:sz w:val="24"/>
                <w:szCs w:val="24"/>
                <w:highlight w:val="none"/>
              </w:rPr>
            </w:pPr>
            <w:r>
              <w:rPr>
                <w:rFonts w:hint="eastAsia" w:ascii="宋体" w:hAnsi="宋体" w:eastAsia="宋体" w:cs="宋体"/>
                <w:sz w:val="21"/>
                <w:szCs w:val="21"/>
                <w:highlight w:val="none"/>
              </w:rPr>
              <w:t>针对存货跌价准备计提，我们实施了以下主要审计程序：</w:t>
            </w:r>
          </w:p>
          <w:p>
            <w:pPr>
              <w:pStyle w:val="4"/>
              <w:keepNext w:val="0"/>
              <w:keepLines w:val="0"/>
              <w:widowControl/>
              <w:suppressLineNumbers w:val="0"/>
              <w:spacing w:before="0" w:beforeAutospacing="0" w:after="0" w:afterAutospacing="0" w:line="400" w:lineRule="atLeast"/>
              <w:ind w:left="0" w:right="0"/>
              <w:jc w:val="left"/>
              <w:rPr>
                <w:rFonts w:hint="default" w:ascii="Times New Roman" w:hAnsi="Times New Roman" w:cs="Times New Roman"/>
                <w:sz w:val="24"/>
                <w:szCs w:val="24"/>
                <w:highlight w:val="none"/>
              </w:rPr>
            </w:pPr>
            <w:r>
              <w:rPr>
                <w:rFonts w:hint="eastAsia" w:ascii="宋体" w:hAnsi="宋体" w:eastAsia="宋体" w:cs="宋体"/>
                <w:sz w:val="21"/>
                <w:szCs w:val="21"/>
                <w:highlight w:val="none"/>
              </w:rPr>
              <w:t>（</w:t>
            </w:r>
            <w:r>
              <w:rPr>
                <w:rFonts w:hint="default" w:ascii="Times New Roman" w:hAnsi="Times New Roman" w:cs="Times New Roman"/>
                <w:sz w:val="21"/>
                <w:szCs w:val="21"/>
                <w:highlight w:val="none"/>
              </w:rPr>
              <w:t>1</w:t>
            </w:r>
            <w:r>
              <w:rPr>
                <w:rFonts w:hint="eastAsia" w:ascii="宋体" w:hAnsi="宋体" w:eastAsia="宋体" w:cs="宋体"/>
                <w:sz w:val="21"/>
                <w:szCs w:val="21"/>
                <w:highlight w:val="none"/>
              </w:rPr>
              <w:t>）了解、测试与存货跌价准备计提相关内部控制的设计与执行的有效性；</w:t>
            </w:r>
          </w:p>
          <w:p>
            <w:pPr>
              <w:pStyle w:val="4"/>
              <w:keepNext w:val="0"/>
              <w:keepLines w:val="0"/>
              <w:widowControl/>
              <w:suppressLineNumbers w:val="0"/>
              <w:spacing w:before="0" w:beforeAutospacing="0" w:after="0" w:afterAutospacing="0" w:line="400" w:lineRule="atLeast"/>
              <w:ind w:left="0" w:right="0"/>
              <w:jc w:val="left"/>
              <w:rPr>
                <w:rFonts w:hint="default" w:ascii="Times New Roman" w:hAnsi="Times New Roman" w:cs="Times New Roman"/>
                <w:sz w:val="24"/>
                <w:szCs w:val="24"/>
                <w:highlight w:val="none"/>
              </w:rPr>
            </w:pPr>
            <w:r>
              <w:rPr>
                <w:rFonts w:hint="eastAsia" w:ascii="宋体" w:hAnsi="宋体" w:eastAsia="宋体" w:cs="宋体"/>
                <w:sz w:val="21"/>
                <w:szCs w:val="21"/>
                <w:highlight w:val="none"/>
              </w:rPr>
              <w:t>（</w:t>
            </w:r>
            <w:r>
              <w:rPr>
                <w:rFonts w:hint="default" w:ascii="Times New Roman" w:hAnsi="Times New Roman" w:cs="Times New Roman"/>
                <w:sz w:val="21"/>
                <w:szCs w:val="21"/>
                <w:highlight w:val="none"/>
              </w:rPr>
              <w:t>2</w:t>
            </w:r>
            <w:r>
              <w:rPr>
                <w:rFonts w:hint="eastAsia" w:ascii="宋体" w:hAnsi="宋体" w:eastAsia="宋体" w:cs="宋体"/>
                <w:sz w:val="21"/>
                <w:szCs w:val="21"/>
                <w:highlight w:val="none"/>
              </w:rPr>
              <w:t>）获取并评价管理层对于存货跌价准备的计提方法和相关假设，并考虑市场价格等因素对存货跌价准备可能的影响；</w:t>
            </w:r>
          </w:p>
          <w:p>
            <w:pPr>
              <w:pStyle w:val="4"/>
              <w:keepNext w:val="0"/>
              <w:keepLines w:val="0"/>
              <w:widowControl/>
              <w:suppressLineNumbers w:val="0"/>
              <w:spacing w:before="0" w:beforeAutospacing="0" w:after="0" w:afterAutospacing="0" w:line="400" w:lineRule="atLeast"/>
              <w:ind w:left="0" w:right="0"/>
              <w:jc w:val="left"/>
              <w:rPr>
                <w:rFonts w:hint="default" w:ascii="Times New Roman" w:hAnsi="Times New Roman" w:cs="Times New Roman"/>
                <w:sz w:val="24"/>
                <w:szCs w:val="24"/>
                <w:highlight w:val="none"/>
              </w:rPr>
            </w:pPr>
            <w:r>
              <w:rPr>
                <w:rFonts w:hint="eastAsia" w:ascii="宋体" w:hAnsi="宋体" w:eastAsia="宋体" w:cs="宋体"/>
                <w:sz w:val="21"/>
                <w:szCs w:val="21"/>
                <w:highlight w:val="none"/>
              </w:rPr>
              <w:t>（</w:t>
            </w:r>
            <w:r>
              <w:rPr>
                <w:rFonts w:hint="default" w:ascii="Times New Roman" w:hAnsi="Times New Roman" w:cs="Times New Roman"/>
                <w:sz w:val="21"/>
                <w:szCs w:val="21"/>
                <w:highlight w:val="none"/>
              </w:rPr>
              <w:t>3</w:t>
            </w:r>
            <w:r>
              <w:rPr>
                <w:rFonts w:hint="eastAsia" w:ascii="宋体" w:hAnsi="宋体" w:eastAsia="宋体" w:cs="宋体"/>
                <w:sz w:val="21"/>
                <w:szCs w:val="21"/>
                <w:highlight w:val="none"/>
              </w:rPr>
              <w:t>）对存货实施监盘，检查存货数量及状况。分析存货周转天数、存货库龄情况等；</w:t>
            </w:r>
          </w:p>
          <w:p>
            <w:pPr>
              <w:pStyle w:val="4"/>
              <w:keepNext w:val="0"/>
              <w:keepLines w:val="0"/>
              <w:widowControl/>
              <w:suppressLineNumbers w:val="0"/>
              <w:spacing w:before="0" w:beforeAutospacing="0" w:after="0" w:afterAutospacing="0" w:line="400" w:lineRule="atLeast"/>
              <w:ind w:left="0" w:right="0"/>
              <w:jc w:val="left"/>
              <w:rPr>
                <w:rFonts w:hint="default" w:ascii="Times New Roman" w:hAnsi="Times New Roman" w:cs="Times New Roman"/>
                <w:sz w:val="24"/>
                <w:szCs w:val="24"/>
                <w:highlight w:val="none"/>
              </w:rPr>
            </w:pPr>
            <w:r>
              <w:rPr>
                <w:rFonts w:hint="eastAsia" w:ascii="宋体" w:hAnsi="宋体" w:eastAsia="宋体" w:cs="宋体"/>
                <w:sz w:val="21"/>
                <w:szCs w:val="21"/>
                <w:highlight w:val="none"/>
              </w:rPr>
              <w:t>（</w:t>
            </w:r>
            <w:r>
              <w:rPr>
                <w:rFonts w:hint="default" w:ascii="Times New Roman" w:hAnsi="Times New Roman" w:cs="Times New Roman"/>
                <w:sz w:val="21"/>
                <w:szCs w:val="21"/>
                <w:highlight w:val="none"/>
              </w:rPr>
              <w:t>4</w:t>
            </w:r>
            <w:r>
              <w:rPr>
                <w:rFonts w:hint="eastAsia" w:ascii="宋体" w:hAnsi="宋体" w:eastAsia="宋体" w:cs="宋体"/>
                <w:sz w:val="21"/>
                <w:szCs w:val="21"/>
                <w:highlight w:val="none"/>
              </w:rPr>
              <w:t>）获取管理层编制的跌价准备计提表，对存货减值测试进行复核验算，分析存货跌价准备计提是否充分。</w:t>
            </w:r>
          </w:p>
        </w:tc>
      </w:tr>
    </w:tbl>
    <w:p>
      <w:pPr>
        <w:keepNext/>
        <w:keepLines/>
        <w:pageBreakBefore w:val="0"/>
        <w:widowControl w:val="0"/>
        <w:kinsoku/>
        <w:wordWrap/>
        <w:overflowPunct/>
        <w:topLinePunct w:val="0"/>
        <w:autoSpaceDE/>
        <w:autoSpaceDN/>
        <w:bidi w:val="0"/>
        <w:adjustRightInd/>
        <w:snapToGrid/>
        <w:spacing w:before="157" w:beforeLines="50" w:after="157" w:afterLines="50" w:line="280" w:lineRule="exact"/>
        <w:jc w:val="left"/>
        <w:textAlignment w:val="auto"/>
        <w:outlineLvl w:val="2"/>
        <w:rPr>
          <w:rFonts w:hint="default" w:ascii="宋体" w:hAnsi="宋体" w:eastAsia="宋体" w:cs="宋体"/>
          <w:b/>
          <w:bCs/>
          <w:sz w:val="21"/>
          <w:szCs w:val="21"/>
          <w:lang w:eastAsia="zh-CN"/>
        </w:rPr>
      </w:pPr>
      <w:r>
        <w:rPr>
          <w:rFonts w:hint="eastAsia" w:ascii="宋体" w:hAnsi="宋体" w:eastAsia="宋体" w:cs="宋体"/>
          <w:b/>
          <w:bCs/>
          <w:sz w:val="21"/>
          <w:szCs w:val="21"/>
          <w:lang w:eastAsia="zh-CN"/>
        </w:rPr>
        <w:t>（四）其他信息</w:t>
      </w:r>
    </w:p>
    <w:p>
      <w:pPr>
        <w:pStyle w:val="4"/>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sz w:val="21"/>
          <w:szCs w:val="21"/>
        </w:rPr>
        <w:t>博云新材管理层（以下简称管理层）对其他信息负责。其他信息包括博云新材2024年年度报告中涵盖的信息，但不包括财务报表和我们的审计报告。</w:t>
      </w:r>
    </w:p>
    <w:p>
      <w:pPr>
        <w:pStyle w:val="4"/>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sz w:val="21"/>
          <w:szCs w:val="21"/>
        </w:rPr>
        <w:t>我们对财务报表发表的审计意见不涵盖其他信息，我们也不对其他信息发表任何形式的鉴证结论。</w:t>
      </w:r>
    </w:p>
    <w:p>
      <w:pPr>
        <w:pStyle w:val="4"/>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sz w:val="21"/>
          <w:szCs w:val="21"/>
        </w:rPr>
        <w:t>结合我们对财务报表的审计，我们的责任是阅读其他信息，在此过程中，考虑其他信息是否与财务报表或我们在审计过程中了解到的情况存在重大不一致或者似乎存在重大错报。</w:t>
      </w:r>
    </w:p>
    <w:p>
      <w:pPr>
        <w:pStyle w:val="4"/>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sz w:val="21"/>
          <w:szCs w:val="21"/>
        </w:rPr>
        <w:t>基于我们已执行的工作，如果我们确定其他信息存在重大错报，我们应当报告该事实。在这方面，我们无任何事项需要报告。</w:t>
      </w:r>
    </w:p>
    <w:p>
      <w:pPr>
        <w:keepNext/>
        <w:keepLines/>
        <w:pageBreakBefore w:val="0"/>
        <w:widowControl w:val="0"/>
        <w:kinsoku/>
        <w:wordWrap/>
        <w:overflowPunct/>
        <w:topLinePunct w:val="0"/>
        <w:autoSpaceDE/>
        <w:autoSpaceDN/>
        <w:bidi w:val="0"/>
        <w:adjustRightInd/>
        <w:snapToGrid/>
        <w:spacing w:before="157" w:beforeLines="50" w:after="157" w:afterLines="50" w:line="280" w:lineRule="exact"/>
        <w:jc w:val="left"/>
        <w:textAlignment w:val="auto"/>
        <w:outlineLvl w:val="2"/>
        <w:rPr>
          <w:rFonts w:hint="default" w:ascii="宋体" w:hAnsi="宋体" w:eastAsia="宋体" w:cs="宋体"/>
          <w:b/>
          <w:bCs/>
          <w:sz w:val="21"/>
          <w:szCs w:val="21"/>
          <w:lang w:eastAsia="zh-CN"/>
        </w:rPr>
      </w:pPr>
      <w:r>
        <w:rPr>
          <w:rFonts w:hint="eastAsia" w:ascii="宋体" w:hAnsi="宋体" w:eastAsia="宋体" w:cs="宋体"/>
          <w:b/>
          <w:bCs/>
          <w:sz w:val="21"/>
          <w:szCs w:val="21"/>
          <w:lang w:eastAsia="zh-CN"/>
        </w:rPr>
        <w:t>（五）管理层和治理层对财务报表的责任 </w:t>
      </w:r>
    </w:p>
    <w:p>
      <w:pPr>
        <w:pStyle w:val="4"/>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sz w:val="21"/>
          <w:szCs w:val="21"/>
        </w:rPr>
        <w:t>管理层负责按照企业会计准则的规定编制财务报表，使其实现公允反映，并设计、执行和维护必要的内部控制，以使财务报表不存在由于舞弊或错误导致的重大错报。</w:t>
      </w:r>
    </w:p>
    <w:p>
      <w:pPr>
        <w:pStyle w:val="4"/>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sz w:val="21"/>
          <w:szCs w:val="21"/>
        </w:rPr>
        <w:t>在编制财务报表时，管理层负责评估博云新材的持续经营能力，披露与持续经营相关的事项（如适用），并运用持续经营假设，除非计划进行清算、终止运营或别无其他现实的选择。</w:t>
      </w:r>
    </w:p>
    <w:p>
      <w:pPr>
        <w:pStyle w:val="4"/>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sz w:val="21"/>
          <w:szCs w:val="21"/>
        </w:rPr>
        <w:t>治理层负责监督博云新材的财务报告过程。</w:t>
      </w:r>
    </w:p>
    <w:p>
      <w:pPr>
        <w:keepNext/>
        <w:keepLines/>
        <w:pageBreakBefore w:val="0"/>
        <w:widowControl w:val="0"/>
        <w:kinsoku/>
        <w:wordWrap/>
        <w:overflowPunct/>
        <w:topLinePunct w:val="0"/>
        <w:autoSpaceDE/>
        <w:autoSpaceDN/>
        <w:bidi w:val="0"/>
        <w:adjustRightInd/>
        <w:snapToGrid/>
        <w:spacing w:before="157" w:beforeLines="50" w:after="157" w:afterLines="50" w:line="280" w:lineRule="exact"/>
        <w:jc w:val="left"/>
        <w:textAlignment w:val="auto"/>
        <w:outlineLvl w:val="2"/>
        <w:rPr>
          <w:rFonts w:hint="default" w:ascii="宋体" w:hAnsi="宋体" w:eastAsia="宋体" w:cs="宋体"/>
          <w:b/>
          <w:bCs/>
          <w:sz w:val="21"/>
          <w:szCs w:val="21"/>
          <w:lang w:eastAsia="zh-CN"/>
        </w:rPr>
      </w:pPr>
      <w:r>
        <w:rPr>
          <w:rFonts w:hint="eastAsia" w:ascii="宋体" w:hAnsi="宋体" w:eastAsia="宋体" w:cs="宋体"/>
          <w:b/>
          <w:bCs/>
          <w:sz w:val="21"/>
          <w:szCs w:val="21"/>
          <w:lang w:eastAsia="zh-CN"/>
        </w:rPr>
        <w:t>（六）注册会计师对财务报表审计的责任 </w:t>
      </w:r>
    </w:p>
    <w:p>
      <w:pPr>
        <w:pStyle w:val="4"/>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sz w:val="21"/>
          <w:szCs w:val="21"/>
        </w:rPr>
        <w:t>我们的目标是对财务报表整体是否不存在由于舞弊或错误导致的重大错报获取合理保证，并出具包含审计意见的审计报告。合理保证是高水平的保证，但并不能保证按照审计准则执行的审计在某一重大错报存在时总能发现。错报可能由于舞弊或错误导致，如果合理预期错报单独或汇总起来可能影响财务报表使用者依据财务报表作出的经济决策，则通常认为错报是重大的。</w:t>
      </w:r>
    </w:p>
    <w:p>
      <w:pPr>
        <w:pStyle w:val="4"/>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sz w:val="21"/>
          <w:szCs w:val="21"/>
        </w:rPr>
        <w:t>在按照审计准则执行审计工作的过程中，我们运用职业判断，并保持职业怀疑。同时，我们也执行以下工作：</w:t>
      </w:r>
    </w:p>
    <w:p>
      <w:pPr>
        <w:pStyle w:val="4"/>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default" w:ascii="Times New Roman" w:hAnsi="Times New Roman" w:eastAsia="宋体" w:cs="Times New Roman"/>
          <w:sz w:val="24"/>
          <w:szCs w:val="24"/>
        </w:rPr>
        <w:t>①</w:t>
      </w:r>
      <w:r>
        <w:rPr>
          <w:rFonts w:hint="eastAsia" w:ascii="宋体" w:hAnsi="宋体" w:eastAsia="宋体" w:cs="宋体"/>
          <w:sz w:val="21"/>
          <w:szCs w:val="21"/>
        </w:rPr>
        <w:t>识别和评估由于舞弊或错误导致的财务报表重大错报风险，设计和实施审计程序以应对这些风险，并获取充分、适当的审计证据，作为发表审计意见的基础。由于舞弊可能涉及串通、伪造、故意遗漏、虚假陈述或凌驾于内部控制之上，未能发现由于舞弊导致的重大错报的风险高于未能发现由于错误导致的重大错报的风险。</w:t>
      </w:r>
    </w:p>
    <w:p>
      <w:pPr>
        <w:pStyle w:val="4"/>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default" w:ascii="Times New Roman" w:hAnsi="Times New Roman" w:eastAsia="宋体" w:cs="Times New Roman"/>
          <w:sz w:val="24"/>
          <w:szCs w:val="24"/>
        </w:rPr>
        <w:t>②</w:t>
      </w:r>
      <w:r>
        <w:rPr>
          <w:rFonts w:hint="eastAsia" w:ascii="宋体" w:hAnsi="宋体" w:eastAsia="宋体" w:cs="宋体"/>
          <w:sz w:val="21"/>
          <w:szCs w:val="21"/>
        </w:rPr>
        <w:t>了解与审计相关的内部控制，以设计恰当的审计程序。</w:t>
      </w:r>
    </w:p>
    <w:p>
      <w:pPr>
        <w:pStyle w:val="4"/>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default" w:ascii="Times New Roman" w:hAnsi="Times New Roman" w:eastAsia="宋体" w:cs="Times New Roman"/>
          <w:sz w:val="24"/>
          <w:szCs w:val="24"/>
        </w:rPr>
        <w:t>③</w:t>
      </w:r>
      <w:r>
        <w:rPr>
          <w:rFonts w:hint="eastAsia" w:ascii="宋体" w:hAnsi="宋体" w:eastAsia="宋体" w:cs="宋体"/>
          <w:sz w:val="21"/>
          <w:szCs w:val="21"/>
        </w:rPr>
        <w:t>评价管理层选用会计政策的恰当性和作出会计估计及相关披露的合理性。</w:t>
      </w:r>
    </w:p>
    <w:p>
      <w:pPr>
        <w:pStyle w:val="4"/>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default" w:ascii="Times New Roman" w:hAnsi="Times New Roman" w:eastAsia="宋体" w:cs="Times New Roman"/>
          <w:sz w:val="24"/>
          <w:szCs w:val="24"/>
        </w:rPr>
        <w:t>④</w:t>
      </w:r>
      <w:r>
        <w:rPr>
          <w:rFonts w:hint="eastAsia" w:ascii="宋体" w:hAnsi="宋体" w:eastAsia="宋体" w:cs="宋体"/>
          <w:sz w:val="21"/>
          <w:szCs w:val="21"/>
        </w:rPr>
        <w:t>对管理层使用持续经营假设的恰当性得出结论。同时，根据获取的审计证据，就可能导致对博云新材持续经营能力产生重大疑虑的事项或情况是否存在重大不确定性得出结论。如果我们得出结论认为存在重大不确定性，审计准则要求我们在审计报告中提请报表使用者注意财务报表中的相关披露；如果披露不充分，我们应当发表非无保留意见。我们的结论基于截至审计报告日可获得的信息。然而，未来的事项或情况可能导致博云新材不能持续经营。</w:t>
      </w:r>
    </w:p>
    <w:p>
      <w:pPr>
        <w:pStyle w:val="4"/>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default" w:ascii="Times New Roman" w:hAnsi="Times New Roman" w:eastAsia="宋体" w:cs="Times New Roman"/>
          <w:sz w:val="24"/>
          <w:szCs w:val="24"/>
        </w:rPr>
        <w:t>⑤</w:t>
      </w:r>
      <w:r>
        <w:rPr>
          <w:rFonts w:hint="eastAsia" w:ascii="宋体" w:hAnsi="宋体" w:eastAsia="宋体" w:cs="宋体"/>
          <w:sz w:val="21"/>
          <w:szCs w:val="21"/>
        </w:rPr>
        <w:t>评价财务报表的总体列报（包括披露）、结构和内容，并评价财务报表是否公允反映相关交易和事项。</w:t>
      </w:r>
    </w:p>
    <w:p>
      <w:pPr>
        <w:pStyle w:val="4"/>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default" w:ascii="Times New Roman" w:hAnsi="Times New Roman" w:eastAsia="宋体" w:cs="Times New Roman"/>
          <w:sz w:val="24"/>
          <w:szCs w:val="24"/>
        </w:rPr>
        <w:t>⑥</w:t>
      </w:r>
      <w:r>
        <w:rPr>
          <w:rFonts w:hint="eastAsia" w:ascii="宋体" w:hAnsi="宋体" w:eastAsia="宋体" w:cs="宋体"/>
          <w:sz w:val="21"/>
          <w:szCs w:val="21"/>
        </w:rPr>
        <w:t>就博云新材中实体或业务活动的财务信息获取充分、适当的审计证据，以对合并财务报表发表审计意见。我们负责指导、监督和执行集团审计，并对审计意见承担全部责任。</w:t>
      </w:r>
    </w:p>
    <w:p>
      <w:pPr>
        <w:pStyle w:val="4"/>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sz w:val="21"/>
          <w:szCs w:val="21"/>
        </w:rPr>
        <w:t>我们与治理层就计划的审计范围、时间安排和重大审计发现等事项进行沟通，包括沟通我们在审计中识别出的值得关注的内部控制缺陷。</w:t>
      </w:r>
    </w:p>
    <w:p>
      <w:pPr>
        <w:pStyle w:val="4"/>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sz w:val="21"/>
          <w:szCs w:val="21"/>
        </w:rPr>
        <w:t>我们还就已遵守与独立性相关的职业道德要求向治理层提供声明，并与治理层沟通可能被合理认为影响我们独立性的所有关系和其他事项，以及相关的防范措施（如适用）。</w:t>
      </w:r>
    </w:p>
    <w:p>
      <w:pPr>
        <w:pStyle w:val="4"/>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sz w:val="21"/>
          <w:szCs w:val="21"/>
        </w:rPr>
        <w:t>从与治理层沟通过的事项中，我们确定哪些事项对本期财务报表审计最为重要，因而构成关键审计事项。我们在审计报告中描述这些事项，除非法律法规禁止公开披露这些事项，或在极少数情形下，如果合理预期在审计报告中沟通某事项造成的负面后果超过在公众利益方面产生的益处，我们确定不应在审计报告中沟通该事项。</w:t>
      </w:r>
    </w:p>
    <w:p>
      <w:pPr>
        <w:keepNext/>
        <w:keepLines/>
        <w:spacing w:before="300" w:after="300" w:line="320" w:lineRule="exact"/>
        <w:jc w:val="left"/>
        <w:outlineLvl w:val="1"/>
        <w:rPr>
          <w:rFonts w:ascii="宋体" w:hAnsi="宋体" w:eastAsia="宋体" w:cs="宋体"/>
          <w:b/>
          <w:bCs/>
          <w:sz w:val="24"/>
          <w:szCs w:val="24"/>
        </w:rPr>
      </w:pPr>
      <w:bookmarkStart w:id="163" w:name="_Toc989038"/>
      <w:r>
        <w:rPr>
          <w:rFonts w:ascii="宋体" w:hAnsi="宋体" w:eastAsia="宋体" w:cs="宋体"/>
          <w:b/>
          <w:bCs/>
          <w:sz w:val="24"/>
          <w:szCs w:val="24"/>
        </w:rPr>
        <w:t>二、财务报表</w:t>
      </w:r>
      <w:bookmarkEnd w:id="163"/>
    </w:p>
    <w:p>
      <w:pPr>
        <w:spacing w:before="40" w:after="40" w:line="240" w:lineRule="exact"/>
        <w:jc w:val="left"/>
        <w:rPr>
          <w:rFonts w:ascii="宋体" w:hAnsi="宋体" w:eastAsia="宋体" w:cs="宋体"/>
          <w:sz w:val="18"/>
          <w:szCs w:val="18"/>
        </w:rPr>
      </w:pPr>
      <w:r>
        <w:rPr>
          <w:rFonts w:ascii="宋体" w:hAnsi="宋体" w:eastAsia="宋体" w:cs="宋体"/>
          <w:sz w:val="18"/>
          <w:szCs w:val="18"/>
        </w:rPr>
        <w:t>财务附注中报表的单位为：元</w:t>
      </w:r>
    </w:p>
    <w:p>
      <w:pPr>
        <w:keepNext/>
        <w:keepLines/>
        <w:spacing w:before="300" w:after="300" w:line="280" w:lineRule="exact"/>
        <w:jc w:val="left"/>
        <w:outlineLvl w:val="2"/>
        <w:rPr>
          <w:rFonts w:ascii="宋体" w:hAnsi="宋体" w:eastAsia="宋体" w:cs="宋体"/>
          <w:b/>
          <w:bCs/>
          <w:sz w:val="21"/>
          <w:szCs w:val="21"/>
        </w:rPr>
      </w:pPr>
      <w:bookmarkStart w:id="164" w:name="_Toc989039"/>
      <w:r>
        <w:rPr>
          <w:rFonts w:hint="eastAsia" w:ascii="宋体" w:hAnsi="宋体" w:cs="宋体"/>
          <w:b/>
          <w:bCs/>
          <w:sz w:val="21"/>
          <w:szCs w:val="21"/>
          <w:lang w:eastAsia="zh-CN"/>
        </w:rPr>
        <w:t>（</w:t>
      </w:r>
      <w:r>
        <w:rPr>
          <w:rFonts w:hint="eastAsia" w:ascii="宋体" w:hAnsi="宋体" w:cs="宋体"/>
          <w:b/>
          <w:bCs/>
          <w:sz w:val="21"/>
          <w:szCs w:val="21"/>
          <w:lang w:val="en-US" w:eastAsia="zh-CN"/>
        </w:rPr>
        <w:t>一</w:t>
      </w:r>
      <w:r>
        <w:rPr>
          <w:rFonts w:hint="eastAsia" w:ascii="宋体" w:hAnsi="宋体" w:cs="宋体"/>
          <w:b/>
          <w:bCs/>
          <w:sz w:val="21"/>
          <w:szCs w:val="21"/>
          <w:lang w:eastAsia="zh-CN"/>
        </w:rPr>
        <w:t>）</w:t>
      </w:r>
      <w:r>
        <w:rPr>
          <w:rFonts w:ascii="宋体" w:hAnsi="宋体" w:eastAsia="宋体" w:cs="宋体"/>
          <w:b/>
          <w:bCs/>
          <w:sz w:val="21"/>
          <w:szCs w:val="21"/>
        </w:rPr>
        <w:t>合并资产负债表</w:t>
      </w:r>
      <w:bookmarkEnd w:id="164"/>
    </w:p>
    <w:p>
      <w:pPr>
        <w:spacing w:before="0" w:after="0" w:line="240" w:lineRule="exact"/>
        <w:jc w:val="left"/>
        <w:rPr>
          <w:rFonts w:ascii="宋体" w:hAnsi="宋体" w:eastAsia="宋体" w:cs="宋体"/>
          <w:sz w:val="18"/>
          <w:szCs w:val="18"/>
        </w:rPr>
      </w:pPr>
      <w:r>
        <w:rPr>
          <w:rFonts w:ascii="宋体" w:hAnsi="宋体" w:eastAsia="宋体" w:cs="宋体"/>
          <w:sz w:val="18"/>
          <w:szCs w:val="18"/>
        </w:rPr>
        <w:t>编制单位：湖南博云新材料股份有限公司</w:t>
      </w:r>
      <w:r>
        <w:rPr>
          <w:rFonts w:hint="eastAsia" w:ascii="宋体" w:hAnsi="宋体" w:eastAsia="宋体" w:cs="宋体"/>
          <w:sz w:val="18"/>
          <w:szCs w:val="18"/>
          <w:lang w:val="en-US" w:eastAsia="zh-CN"/>
        </w:rPr>
        <w:t xml:space="preserve">                                                            </w:t>
      </w: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流动资产：</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货币资金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560,769,511.15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512,127,325.16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结算备付金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拆出资金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交易性金融资产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衍生金融资产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应收票据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55,114,644.89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90,189,966.95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406,996,000.12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298,416,660.42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应收款项融资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4,488,656.99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14,258,718.27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预付款项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12,176,444.23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10,577,938.67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应收保费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应收分保账款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应收分保合同准备金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其他应收款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2,592,082.96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1,047,840.56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其中：应收利息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ascii="宋体" w:hAnsi="宋体" w:eastAsia="宋体" w:cs="宋体"/>
                <w:sz w:val="18"/>
                <w:szCs w:val="18"/>
              </w:rPr>
            </w:pPr>
            <w:r>
              <w:rPr>
                <w:rFonts w:ascii="宋体" w:hAnsi="宋体" w:eastAsia="宋体" w:cs="宋体"/>
                <w:sz w:val="18"/>
                <w:szCs w:val="18"/>
              </w:rPr>
              <w:t>应收股利</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买入返售金融资产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存货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536,734,222.18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544,930,137.33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其中：数据资源</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合同资产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3,353,380.24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2,353,671.63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持有待售资产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一年内到期的非流动资产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6,769,136.01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9,083,307.57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流动资产合计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1,588,994,078.77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1,482,985,566.56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非流动资产：</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发放贷款和垫款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债权投资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其他债权投资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长期应收款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长期股权投资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14,910,414.73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其他权益工具投资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89,111,401.05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105,034,123.55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其他非流动金融资产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投资性房地产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固定资产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922,527,643.47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711,815,784.08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在建工程</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16,311,417.71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183,036,596.42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生产性生物资产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油气资产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使用权资产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无形资产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255,470,959.01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258,988,825.00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其中：数据资源</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开发支出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36,855,666.49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51,426,029.78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其中：数据资源</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商誉</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长期待摊费用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5,699,759.90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6,309,922.00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递延所得税资产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39,786,877.06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26,758,292.71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其他非流动资产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4,335,996.94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17,499,706.11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非流动资产合计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1,370,099,721.63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1,375,779,694.38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资产总计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2,959,093,800.40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2,858,765,260.94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流动负债：</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短期借款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320,257,847.26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230,175,000.00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向中央银行借款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拆入资金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交易性金融负债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衍生金融负债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应付票据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113,510,103.41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125,433,836.83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182,117,635.81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103,189,502.92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预收款项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693,680.95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454,539.34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合同负债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12,685,882.34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12,716,588.45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卖出回购金融资产款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吸收存款及同业存放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代理买卖证券款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代理承销证券款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应付职工薪酬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34,513,117.28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28,682,378.77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应交税费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10,179,415.04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4,450,508.09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其他应付款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6,379,893.48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38,693,823.73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其中：应付利息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ascii="宋体" w:hAnsi="宋体" w:eastAsia="宋体" w:cs="宋体"/>
                <w:sz w:val="18"/>
                <w:szCs w:val="18"/>
              </w:rPr>
            </w:pPr>
            <w:r>
              <w:rPr>
                <w:rFonts w:ascii="宋体" w:hAnsi="宋体" w:eastAsia="宋体" w:cs="宋体"/>
                <w:sz w:val="18"/>
                <w:szCs w:val="18"/>
              </w:rPr>
              <w:t>应付股利</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应付手续费及佣金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应付分保账款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持有待售负债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一年内到期的非流动负债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30,024,166.67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49,490,019.02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48,637,053.78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流动负债合计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759,851,761.26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592,433,231.91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非流动负债：</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保险合同准备金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应付债券</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其中：优先股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ascii="宋体" w:hAnsi="宋体" w:eastAsia="宋体" w:cs="宋体"/>
                <w:sz w:val="18"/>
                <w:szCs w:val="18"/>
              </w:rPr>
            </w:pPr>
            <w:r>
              <w:rPr>
                <w:rFonts w:ascii="宋体" w:hAnsi="宋体" w:eastAsia="宋体" w:cs="宋体"/>
                <w:sz w:val="18"/>
                <w:szCs w:val="18"/>
              </w:rPr>
              <w:t>永续债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租赁负债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长期应付款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54,310,000.00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长期应付职工薪酬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预计负债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递延收益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67,049,213.96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116,243,705.52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递延所得税负债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4,519,925.02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5,359,003.78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其他非流动负债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非流动负债合计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125,879,138.98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121,602,709.30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885,730,900.24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714,035,941.21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所有者权益：</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股本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573,104,819.00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573,104,819.00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其他权益工具</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其中：优先股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900" w:firstLineChars="500"/>
              <w:jc w:val="left"/>
              <w:rPr>
                <w:rFonts w:ascii="宋体" w:hAnsi="宋体" w:eastAsia="宋体" w:cs="宋体"/>
                <w:sz w:val="18"/>
                <w:szCs w:val="18"/>
              </w:rPr>
            </w:pPr>
            <w:r>
              <w:rPr>
                <w:rFonts w:ascii="宋体" w:hAnsi="宋体" w:eastAsia="宋体" w:cs="宋体"/>
                <w:sz w:val="18"/>
                <w:szCs w:val="18"/>
              </w:rPr>
              <w:t>永续债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资本公积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1,678,361,693.07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1,678,361,693.07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减：库存股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4,961,525.86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14,318,722.83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专项储备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盈余公积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19,940,955.96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19,940,955.96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一般风险准备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未分配利润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-224,818,029.68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-164,015,929.50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归属于母公司所有者权益合计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2,051,550,964.21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2,121,710,261.36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少数股东权益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21,811,935.95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23,019,058.37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所有者权益合计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2,073,362,900.16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2,144,729,319.73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负债和所有者权益总计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2,959,093,800.40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2,858,765,260.94</w:t>
            </w:r>
          </w:p>
        </w:tc>
      </w:tr>
    </w:tbl>
    <w:p>
      <w:pPr>
        <w:spacing w:before="0" w:after="0" w:line="240" w:lineRule="exact"/>
        <w:jc w:val="left"/>
        <w:rPr>
          <w:rFonts w:ascii="宋体" w:hAnsi="宋体" w:eastAsia="宋体" w:cs="宋体"/>
          <w:sz w:val="18"/>
          <w:szCs w:val="18"/>
        </w:rPr>
      </w:pPr>
      <w:r>
        <w:rPr>
          <w:rFonts w:ascii="宋体" w:hAnsi="宋体" w:eastAsia="宋体" w:cs="宋体"/>
          <w:sz w:val="18"/>
          <w:szCs w:val="18"/>
        </w:rPr>
        <w:t xml:space="preserve">法定代表人：戴志利    </w:t>
      </w:r>
      <w:r>
        <w:rPr>
          <w:rFonts w:hint="eastAsia" w:ascii="宋体" w:hAnsi="宋体" w:eastAsia="宋体" w:cs="宋体"/>
          <w:sz w:val="18"/>
          <w:szCs w:val="18"/>
          <w:lang w:val="en-US" w:eastAsia="zh-CN"/>
        </w:rPr>
        <w:t xml:space="preserve">                  </w:t>
      </w:r>
      <w:r>
        <w:rPr>
          <w:rFonts w:ascii="宋体" w:hAnsi="宋体" w:eastAsia="宋体" w:cs="宋体"/>
          <w:sz w:val="18"/>
          <w:szCs w:val="18"/>
        </w:rPr>
        <w:t>主管会计工作负责人：</w:t>
      </w:r>
      <w:bookmarkStart w:id="165" w:name="OLE_LINK7"/>
      <w:r>
        <w:rPr>
          <w:rFonts w:ascii="宋体" w:hAnsi="宋体" w:eastAsia="宋体" w:cs="宋体"/>
          <w:sz w:val="18"/>
          <w:szCs w:val="18"/>
        </w:rPr>
        <w:t xml:space="preserve">严琦 </w:t>
      </w:r>
      <w:bookmarkEnd w:id="165"/>
      <w:r>
        <w:rPr>
          <w:rFonts w:hint="eastAsia" w:ascii="宋体" w:hAnsi="宋体" w:eastAsia="宋体" w:cs="宋体"/>
          <w:sz w:val="18"/>
          <w:szCs w:val="18"/>
          <w:lang w:val="en-US" w:eastAsia="zh-CN"/>
        </w:rPr>
        <w:t xml:space="preserve">             </w:t>
      </w:r>
      <w:r>
        <w:rPr>
          <w:rFonts w:ascii="宋体" w:hAnsi="宋体" w:eastAsia="宋体" w:cs="宋体"/>
          <w:sz w:val="18"/>
          <w:szCs w:val="18"/>
        </w:rPr>
        <w:t xml:space="preserve">     会计机构负责人：严琦 </w:t>
      </w:r>
    </w:p>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2"/>
        <w:rPr>
          <w:rFonts w:ascii="宋体" w:hAnsi="宋体" w:eastAsia="宋体" w:cs="宋体"/>
          <w:sz w:val="18"/>
          <w:szCs w:val="18"/>
        </w:rPr>
      </w:pPr>
      <w:bookmarkStart w:id="166" w:name="_Toc989040"/>
      <w:r>
        <w:rPr>
          <w:rFonts w:hint="eastAsia" w:ascii="宋体" w:hAnsi="宋体" w:cs="宋体"/>
          <w:b/>
          <w:bCs/>
          <w:sz w:val="21"/>
          <w:szCs w:val="21"/>
          <w:lang w:eastAsia="zh-CN"/>
        </w:rPr>
        <w:t>（</w:t>
      </w:r>
      <w:r>
        <w:rPr>
          <w:rFonts w:hint="eastAsia" w:ascii="宋体" w:hAnsi="宋体" w:cs="宋体"/>
          <w:b/>
          <w:bCs/>
          <w:sz w:val="21"/>
          <w:szCs w:val="21"/>
          <w:lang w:val="en-US" w:eastAsia="zh-CN"/>
        </w:rPr>
        <w:t>二</w:t>
      </w:r>
      <w:r>
        <w:rPr>
          <w:rFonts w:hint="eastAsia" w:ascii="宋体" w:hAnsi="宋体" w:cs="宋体"/>
          <w:b/>
          <w:bCs/>
          <w:sz w:val="21"/>
          <w:szCs w:val="21"/>
          <w:lang w:eastAsia="zh-CN"/>
        </w:rPr>
        <w:t>）</w:t>
      </w:r>
      <w:r>
        <w:rPr>
          <w:rFonts w:ascii="宋体" w:hAnsi="宋体" w:eastAsia="宋体" w:cs="宋体"/>
          <w:b/>
          <w:bCs/>
          <w:sz w:val="21"/>
          <w:szCs w:val="21"/>
        </w:rPr>
        <w:t>母公司资产负债表</w:t>
      </w:r>
      <w:bookmarkEnd w:id="166"/>
    </w:p>
    <w:p>
      <w:pPr>
        <w:spacing w:before="0" w:after="0" w:line="240" w:lineRule="exact"/>
        <w:jc w:val="right"/>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流动资产：</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货币资金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324,998,936.56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249,884,065.75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交易性金融资产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衍生金融资产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应收票据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460,968.00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38,901,366.68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186,331,834.08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213,671,137.32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应收款项融资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29,500.00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397,047.84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预付款项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2,030,129.99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2,064,594.07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其他应收款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352,548.63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115,041.28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其中：应收利息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ascii="宋体" w:hAnsi="宋体" w:eastAsia="宋体" w:cs="宋体"/>
                <w:sz w:val="18"/>
                <w:szCs w:val="18"/>
              </w:rPr>
            </w:pPr>
            <w:r>
              <w:rPr>
                <w:rFonts w:ascii="宋体" w:hAnsi="宋体" w:eastAsia="宋体" w:cs="宋体"/>
                <w:sz w:val="18"/>
                <w:szCs w:val="18"/>
              </w:rPr>
              <w:t>应收股利</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存货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111,535,856.02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120,358,863.34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其中：数据资源</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合同资产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持有待售资产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一年内到期的非流动资产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160,342,272.03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156,885,653.09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流动资产合计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786,082,045.31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782,277,769.37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非流动资产：</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债权投资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其他债权投资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长期应收款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长期股权投资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1,204,768,505.99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1,219,678,920.72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其他权益工具投资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30,051,200.00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其他非流动金融资产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投资性房地产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固定资产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194,104,603.94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200,081,493.54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在建工程</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2,158,397.72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44,716.98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生产性生物资产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油气资产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使用权资产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无形资产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18,264,898.49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20,390,164.33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其中：数据资源</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开发支出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其中：数据资源</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商誉</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长期待摊费用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971,248.73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1,313,149.73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递延所得税资产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25,494,316.45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23,749,527.70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其他非流动资产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1,689,741.15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1,349,142.95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非流动资产合计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1,447,451,712.47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1,496,658,315.95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资产总计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2,233,533,757.78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2,278,936,085.32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流动负债：</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短期借款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交易性金融负债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衍生金融负债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应付票据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14,161,628.00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12,318,491.00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32,806,208.36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46,454,802.95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预收款项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合同负债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5,330,778.91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9,577,015.35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应付职工薪酬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19,715,010.10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18,640,846.33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应交税费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7,832,280.70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3,612,098.69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其他应付款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1,776,318.42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36,343,229.98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其中：应付利息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ascii="宋体" w:hAnsi="宋体" w:eastAsia="宋体" w:cs="宋体"/>
                <w:sz w:val="18"/>
                <w:szCs w:val="18"/>
              </w:rPr>
            </w:pPr>
            <w:r>
              <w:rPr>
                <w:rFonts w:ascii="宋体" w:hAnsi="宋体" w:eastAsia="宋体" w:cs="宋体"/>
                <w:sz w:val="18"/>
                <w:szCs w:val="18"/>
              </w:rPr>
              <w:t>应付股利</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持有待售负债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一年内到期的非流动负债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91,255.59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13,578,547.87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流动负债合计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81,713,480.08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140,525,032.17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非流动负债：</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应付债券</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其中：优先股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ascii="宋体" w:hAnsi="宋体" w:eastAsia="宋体" w:cs="宋体"/>
                <w:sz w:val="18"/>
                <w:szCs w:val="18"/>
              </w:rPr>
            </w:pPr>
            <w:r>
              <w:rPr>
                <w:rFonts w:ascii="宋体" w:hAnsi="宋体" w:eastAsia="宋体" w:cs="宋体"/>
                <w:sz w:val="18"/>
                <w:szCs w:val="18"/>
              </w:rPr>
              <w:t>永续债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租赁负债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长期应付款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长期应付职工薪酬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预计负债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递延收益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22,261,257.12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26,406,787.79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递延所得税负债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2,291,125.65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其他非流动负债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非流动负债合计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22,261,257.12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28,697,913.44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103,974,737.20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169,222,945.61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所有者权益：</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股本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573,104,819.00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573,104,819.00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其他权益工具</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其中：优先股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900" w:firstLineChars="500"/>
              <w:jc w:val="left"/>
              <w:rPr>
                <w:rFonts w:ascii="宋体" w:hAnsi="宋体" w:eastAsia="宋体" w:cs="宋体"/>
                <w:sz w:val="18"/>
                <w:szCs w:val="18"/>
              </w:rPr>
            </w:pPr>
            <w:r>
              <w:rPr>
                <w:rFonts w:ascii="宋体" w:hAnsi="宋体" w:eastAsia="宋体" w:cs="宋体"/>
                <w:sz w:val="18"/>
                <w:szCs w:val="18"/>
              </w:rPr>
              <w:t>永续债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资本公积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1,668,928,880.35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1,668,928,880.35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减：库存股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-7,252,842.53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13,881,088.72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专项储备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盈余公积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19,940,955.96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19,940,955.96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未分配利润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-125,162,792.20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-166,142,604.32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所有者权益合计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2,129,559,020.58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2,109,713,139.71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负债和所有者权益总计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2,233,533,757.78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2,278,936,085.32</w:t>
            </w:r>
          </w:p>
        </w:tc>
      </w:tr>
    </w:tbl>
    <w:p>
      <w:pPr>
        <w:keepNext/>
        <w:keepLines/>
        <w:pageBreakBefore w:val="0"/>
        <w:widowControl w:val="0"/>
        <w:kinsoku/>
        <w:wordWrap/>
        <w:overflowPunct/>
        <w:topLinePunct w:val="0"/>
        <w:autoSpaceDE/>
        <w:autoSpaceDN/>
        <w:bidi w:val="0"/>
        <w:adjustRightInd/>
        <w:snapToGrid/>
        <w:spacing w:line="280" w:lineRule="exact"/>
        <w:jc w:val="left"/>
        <w:textAlignment w:val="auto"/>
        <w:outlineLvl w:val="2"/>
        <w:rPr>
          <w:rFonts w:ascii="宋体" w:hAnsi="宋体" w:eastAsia="宋体" w:cs="宋体"/>
          <w:b/>
          <w:bCs/>
          <w:sz w:val="21"/>
          <w:szCs w:val="21"/>
        </w:rPr>
      </w:pPr>
      <w:bookmarkStart w:id="167" w:name="_Toc989041"/>
      <w:r>
        <w:rPr>
          <w:rFonts w:hint="eastAsia" w:ascii="宋体" w:hAnsi="宋体" w:cs="宋体"/>
          <w:b/>
          <w:bCs/>
          <w:sz w:val="21"/>
          <w:szCs w:val="21"/>
          <w:lang w:eastAsia="zh-CN"/>
        </w:rPr>
        <w:t>（</w:t>
      </w:r>
      <w:r>
        <w:rPr>
          <w:rFonts w:hint="eastAsia" w:ascii="宋体" w:hAnsi="宋体" w:cs="宋体"/>
          <w:b/>
          <w:bCs/>
          <w:sz w:val="21"/>
          <w:szCs w:val="21"/>
          <w:lang w:val="en-US" w:eastAsia="zh-CN"/>
        </w:rPr>
        <w:t>三</w:t>
      </w:r>
      <w:r>
        <w:rPr>
          <w:rFonts w:hint="eastAsia" w:ascii="宋体" w:hAnsi="宋体" w:cs="宋体"/>
          <w:b/>
          <w:bCs/>
          <w:sz w:val="21"/>
          <w:szCs w:val="21"/>
          <w:lang w:eastAsia="zh-CN"/>
        </w:rPr>
        <w:t>）</w:t>
      </w:r>
      <w:r>
        <w:rPr>
          <w:rFonts w:ascii="宋体" w:hAnsi="宋体" w:eastAsia="宋体" w:cs="宋体"/>
          <w:b/>
          <w:bCs/>
          <w:sz w:val="21"/>
          <w:szCs w:val="21"/>
        </w:rPr>
        <w:t>合并利润表</w:t>
      </w:r>
      <w:bookmarkEnd w:id="167"/>
    </w:p>
    <w:p>
      <w:pPr>
        <w:pageBreakBefore w:val="0"/>
        <w:widowControl w:val="0"/>
        <w:kinsoku/>
        <w:wordWrap/>
        <w:overflowPunct/>
        <w:topLinePunct w:val="0"/>
        <w:autoSpaceDE/>
        <w:autoSpaceDN/>
        <w:bidi w:val="0"/>
        <w:adjustRightInd/>
        <w:snapToGrid/>
        <w:spacing w:line="240" w:lineRule="exact"/>
        <w:jc w:val="right"/>
        <w:textAlignment w:val="auto"/>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2024年度</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2023年度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一、营业总收入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712,569,387.28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591,057,966.96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其中：营业收入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712,569,387.28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591,057,966.96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利息收入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已赚保费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手续费及佣金收入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二、营业总成本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713,576,629.73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567,600,837.26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其中：营业成本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560,754,111.62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440,393,307.99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利息支出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手续费及佣金支出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退保金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赔付支出净额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提取保险责任合同准备金净额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保单红利支出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分保费用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税金及附加</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10,022,005.54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8,516,760.48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销售费用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22,981,042.04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21,417,156.09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管理费用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66,752,715.23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53,276,527.65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研发费用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49,252,117.42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47,089,215.76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财务费用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3,814,637.88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-3,092,130.71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ascii="宋体" w:hAnsi="宋体" w:eastAsia="宋体" w:cs="宋体"/>
                <w:sz w:val="18"/>
                <w:szCs w:val="18"/>
              </w:rPr>
            </w:pPr>
            <w:r>
              <w:rPr>
                <w:rFonts w:ascii="宋体" w:hAnsi="宋体" w:eastAsia="宋体" w:cs="宋体"/>
                <w:sz w:val="18"/>
                <w:szCs w:val="18"/>
              </w:rPr>
              <w:t>其中：利息费用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10,084,657.37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4,966,180.60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440" w:firstLineChars="800"/>
              <w:jc w:val="left"/>
              <w:rPr>
                <w:rFonts w:ascii="宋体" w:hAnsi="宋体" w:eastAsia="宋体" w:cs="宋体"/>
                <w:sz w:val="18"/>
                <w:szCs w:val="18"/>
              </w:rPr>
            </w:pPr>
            <w:r>
              <w:rPr>
                <w:rFonts w:ascii="宋体" w:hAnsi="宋体" w:eastAsia="宋体" w:cs="宋体"/>
                <w:sz w:val="18"/>
                <w:szCs w:val="18"/>
              </w:rPr>
              <w:t>利息收入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7,265,908.07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8,149,667.84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加：其他收益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22,771,642.54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26,894,587.98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投资收益（损失以“－”号填列）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-13,065,193.18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-14,325,170.45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ascii="宋体" w:hAnsi="宋体" w:eastAsia="宋体" w:cs="宋体"/>
                <w:sz w:val="18"/>
                <w:szCs w:val="18"/>
              </w:rPr>
            </w:pPr>
            <w:r>
              <w:rPr>
                <w:rFonts w:ascii="宋体" w:hAnsi="宋体" w:eastAsia="宋体" w:cs="宋体"/>
                <w:sz w:val="18"/>
                <w:szCs w:val="18"/>
              </w:rPr>
              <w:t>其中：对联营企业和合营企业的投资收益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-14,893,685.18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-16,005,867.45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440" w:firstLineChars="800"/>
              <w:jc w:val="left"/>
              <w:rPr>
                <w:rFonts w:ascii="宋体" w:hAnsi="宋体" w:eastAsia="宋体" w:cs="宋体"/>
                <w:sz w:val="18"/>
                <w:szCs w:val="18"/>
              </w:rPr>
            </w:pPr>
            <w:r>
              <w:rPr>
                <w:rFonts w:ascii="宋体" w:hAnsi="宋体" w:eastAsia="宋体" w:cs="宋体"/>
                <w:sz w:val="18"/>
                <w:szCs w:val="18"/>
              </w:rPr>
              <w:t>以摊余成本计量的金融资产终止确认收益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汇兑收益（损失以“-”号填列）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净敞口套期收益（损失以“－”号填列）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公允价值变动收益（损失以“－”号填列）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信用减值损失（损失以“-”号填列）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-5,369,973.46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3,181,955.30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资产减值损失（损失以“-”号填列）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-57,654,674.16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-6,696,228.45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资产处置收益（损失以“-”号填列）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-4,980,796.94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1,464,385.62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三、营业利润（亏损以“－”号填列）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-59,306,237.65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33,976,659.70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加：营业外收入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760,128.22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693,850.35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减：营业外支出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17,388,971.92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31,220.69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四、利润总额（亏损总额以“－”号填列）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-75,935,081.35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34,639,289.36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减：所得税费用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-7,265,701.18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5,342,243.59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五、净利润（净亏损以“－”号填列）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-68,669,380.17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29,297,045.77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（一）按经营持续性分类</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1.持续经营净利润（净亏损以“－”号填列）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-68,669,380.17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29,297,045.77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2.终止经营净利润（净亏损以“－”号填列）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（二）按所有权归属分类</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1.归属于母公司股东的净利润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-67,229,786.16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29,275,440.07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2.少数股东损益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-1,439,594.01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21,605.70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六、其他综合收益的税后净额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-2,697,039.40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3,235,885.90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归属母公司所有者的其他综合收益的税后净额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-2,929,510.99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3,233,682.17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（一）不能重分类进损益的其他综合收益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-2,929,510.99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3,233,682.17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1.重新计量设定受益计划变动额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2.权益法下不能转损益的其他综合收益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3.其他权益工具投资公允价值变动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-2,929,510.99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3,233,682.17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4.企业自身信用风险公允价值变动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5.其他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（二）将重分类进损益的其他综合收益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1.权益法下可转损益的其他综合收益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2.其他债权投资公允价值变动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3.金融资产重分类计入其他综合收益的金额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3"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4.其他债权投资信用减值准备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3"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5.现金流量套期储备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3"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6.外币财务报表折算差额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3"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7.其他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归属于少数股东的其他综合收益的税后净额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232,471.59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2,203.73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3"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七、综合收益总额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-71,366,419.57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32,532,931.67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归属于母公司所有者的综合收益总额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-70,159,297.15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32,509,122.24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3"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归属于少数股东的综合收益总额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-1,207,122.42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23,809.43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3"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八、每股收益</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（一）基本每股收益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-0.1173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0.0511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（二）稀释每股收益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-0.1173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0.0511</w:t>
            </w:r>
          </w:p>
        </w:tc>
      </w:tr>
    </w:tbl>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法定代表人：戴志利    </w:t>
      </w:r>
      <w:r>
        <w:rPr>
          <w:rFonts w:hint="eastAsia" w:ascii="宋体" w:hAnsi="宋体" w:eastAsia="宋体" w:cs="宋体"/>
          <w:sz w:val="18"/>
          <w:szCs w:val="18"/>
          <w:lang w:val="en-US" w:eastAsia="zh-CN"/>
        </w:rPr>
        <w:t xml:space="preserve">                 </w:t>
      </w:r>
      <w:r>
        <w:rPr>
          <w:rFonts w:ascii="宋体" w:hAnsi="宋体" w:eastAsia="宋体" w:cs="宋体"/>
          <w:sz w:val="18"/>
          <w:szCs w:val="18"/>
        </w:rPr>
        <w:t xml:space="preserve">主管会计工作负责人：严琦    </w:t>
      </w:r>
      <w:r>
        <w:rPr>
          <w:rFonts w:hint="eastAsia" w:ascii="宋体" w:hAnsi="宋体" w:eastAsia="宋体" w:cs="宋体"/>
          <w:sz w:val="18"/>
          <w:szCs w:val="18"/>
          <w:lang w:val="en-US" w:eastAsia="zh-CN"/>
        </w:rPr>
        <w:t xml:space="preserve">               </w:t>
      </w:r>
      <w:r>
        <w:rPr>
          <w:rFonts w:ascii="宋体" w:hAnsi="宋体" w:eastAsia="宋体" w:cs="宋体"/>
          <w:sz w:val="18"/>
          <w:szCs w:val="18"/>
        </w:rPr>
        <w:t xml:space="preserve">会计机构负责人：严琦 </w:t>
      </w:r>
    </w:p>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2"/>
        <w:rPr>
          <w:rFonts w:ascii="宋体" w:hAnsi="宋体" w:eastAsia="宋体" w:cs="宋体"/>
          <w:b/>
          <w:bCs/>
          <w:sz w:val="21"/>
          <w:szCs w:val="21"/>
        </w:rPr>
      </w:pPr>
      <w:bookmarkStart w:id="168" w:name="_Toc989042"/>
      <w:r>
        <w:rPr>
          <w:rFonts w:hint="eastAsia" w:ascii="宋体" w:hAnsi="宋体" w:cs="宋体"/>
          <w:b/>
          <w:bCs/>
          <w:sz w:val="21"/>
          <w:szCs w:val="21"/>
          <w:lang w:eastAsia="zh-CN"/>
        </w:rPr>
        <w:t>（</w:t>
      </w:r>
      <w:r>
        <w:rPr>
          <w:rFonts w:hint="eastAsia" w:ascii="宋体" w:hAnsi="宋体" w:cs="宋体"/>
          <w:b/>
          <w:bCs/>
          <w:sz w:val="21"/>
          <w:szCs w:val="21"/>
          <w:lang w:val="en-US" w:eastAsia="zh-CN"/>
        </w:rPr>
        <w:t>四</w:t>
      </w:r>
      <w:r>
        <w:rPr>
          <w:rFonts w:hint="eastAsia" w:ascii="宋体" w:hAnsi="宋体" w:cs="宋体"/>
          <w:b/>
          <w:bCs/>
          <w:sz w:val="21"/>
          <w:szCs w:val="21"/>
          <w:lang w:eastAsia="zh-CN"/>
        </w:rPr>
        <w:t>）</w:t>
      </w:r>
      <w:r>
        <w:rPr>
          <w:rFonts w:ascii="宋体" w:hAnsi="宋体" w:eastAsia="宋体" w:cs="宋体"/>
          <w:b/>
          <w:bCs/>
          <w:sz w:val="21"/>
          <w:szCs w:val="21"/>
        </w:rPr>
        <w:t>母公司利润表</w:t>
      </w:r>
      <w:bookmarkEnd w:id="168"/>
    </w:p>
    <w:p>
      <w:pPr>
        <w:pageBreakBefore w:val="0"/>
        <w:widowControl w:val="0"/>
        <w:kinsoku/>
        <w:wordWrap/>
        <w:overflowPunct/>
        <w:topLinePunct w:val="0"/>
        <w:autoSpaceDE/>
        <w:autoSpaceDN/>
        <w:bidi w:val="0"/>
        <w:adjustRightInd/>
        <w:snapToGrid/>
        <w:spacing w:before="40" w:line="240" w:lineRule="exact"/>
        <w:jc w:val="right"/>
        <w:textAlignment w:val="auto"/>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2024年度</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2023年度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一、营业收入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202,831,698.77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206,722,512.66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减：营业成本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89,620,659.48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101,496,435.52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税金及附加</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3,082,928.99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3,178,402.57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销售费用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6,744,507.49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6,354,026.80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管理费用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26,863,909.20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24,088,693.06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研发费用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23,326,589.55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27,269,203.14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财务费用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-7,771,781.06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-8,722,820.94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其中：利息费用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1,728,378.17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925,527.78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260" w:firstLineChars="700"/>
              <w:jc w:val="left"/>
              <w:rPr>
                <w:rFonts w:ascii="宋体" w:hAnsi="宋体" w:eastAsia="宋体" w:cs="宋体"/>
                <w:sz w:val="18"/>
                <w:szCs w:val="18"/>
              </w:rPr>
            </w:pPr>
            <w:r>
              <w:rPr>
                <w:rFonts w:ascii="宋体" w:hAnsi="宋体" w:eastAsia="宋体" w:cs="宋体"/>
                <w:sz w:val="18"/>
                <w:szCs w:val="18"/>
              </w:rPr>
              <w:t>利息收入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9,451,483.77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9,648,577.61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加：其他收益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7,846,016.62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6,188,172.09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投资收益（损失以“－”号填列）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-13,081,922.73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-16,612,713.48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其中：对联营企业和合营企业的投资收益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-14,910,414.73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-18,293,410.48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260" w:firstLineChars="700"/>
              <w:jc w:val="left"/>
              <w:rPr>
                <w:rFonts w:ascii="宋体" w:hAnsi="宋体" w:eastAsia="宋体" w:cs="宋体"/>
                <w:sz w:val="18"/>
                <w:szCs w:val="18"/>
              </w:rPr>
            </w:pPr>
            <w:r>
              <w:rPr>
                <w:rFonts w:ascii="宋体" w:hAnsi="宋体" w:eastAsia="宋体" w:cs="宋体"/>
                <w:sz w:val="18"/>
                <w:szCs w:val="18"/>
              </w:rPr>
              <w:t>以摊余成本计量的金融资产终止确认收益（损失以“-”号填列）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净敞口套期收益（损失以“－”号填列）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公允价值变动收益（损失以“－”号填列）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信用减值损失（损失以“-”号填列）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-883,181.57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124,173.68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资产减值损失（损失以“-”号填列）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-12,691,910.65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-1,995,012.44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资产处置收益（损失以“-”号填列）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-2,706,500.57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1,475,192.89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二、营业利润（亏损以“－”号填列）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39,447,386.22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42,238,385.25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加：营业外收入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59,312.15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67,219.47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减：营业外支出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269,253.07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18,865.96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三、利润总额（亏损总额以“－”号填列）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39,237,445.30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42,286,738.76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减：所得税费用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4,685,319.16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5,190,319.71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四、净利润（净亏损以“－”号填列）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34,552,126.14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37,096,419.05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（一）持续经营净利润（净亏损以“－”号填列）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34,552,126.14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37,096,419.05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（二）终止经营净利润（净亏损以“－”号填列）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五、其他综合收益的税后净额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-14,706,245.27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3,160,640.00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（一）不能重分类进损益的其他综合收益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-14,706,245.27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3,160,640.00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1.重新计量设定受益计划变动额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2.权益法下不能转损益的其他综合收益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3.其他权益工具投资公允价值变动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-14,706,245.27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3,160,640.00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4.企业自身信用风险公允价值变动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5.其他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（二）将重分类进损益的其他综合收益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1.权益法下可转损益的其他综合收益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2.其他债权投资公允价值变动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3.金融资产重分类计入其他综合收益的金额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4.其他债权投资信用减值准备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5.现金流量套期储备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6.外币财务报表折算差额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7.其他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六、综合收益总额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19,845,880.87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40,257,059.05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七、每股收益</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（一）基本每股收益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0.0603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0.0647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（二）稀释每股收益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0.0603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0.0647</w:t>
            </w:r>
          </w:p>
        </w:tc>
      </w:tr>
    </w:tbl>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2"/>
        <w:rPr>
          <w:rFonts w:ascii="宋体" w:hAnsi="宋体" w:eastAsia="宋体" w:cs="宋体"/>
          <w:b/>
          <w:bCs/>
          <w:sz w:val="21"/>
          <w:szCs w:val="21"/>
        </w:rPr>
      </w:pPr>
      <w:bookmarkStart w:id="169" w:name="_Toc989043"/>
      <w:r>
        <w:rPr>
          <w:rFonts w:hint="eastAsia" w:ascii="宋体" w:hAnsi="宋体" w:cs="宋体"/>
          <w:b/>
          <w:bCs/>
          <w:sz w:val="21"/>
          <w:szCs w:val="21"/>
          <w:lang w:eastAsia="zh-CN"/>
        </w:rPr>
        <w:t>（</w:t>
      </w:r>
      <w:r>
        <w:rPr>
          <w:rFonts w:hint="eastAsia" w:ascii="宋体" w:hAnsi="宋体" w:cs="宋体"/>
          <w:b/>
          <w:bCs/>
          <w:sz w:val="21"/>
          <w:szCs w:val="21"/>
          <w:lang w:val="en-US" w:eastAsia="zh-CN"/>
        </w:rPr>
        <w:t>五</w:t>
      </w:r>
      <w:r>
        <w:rPr>
          <w:rFonts w:hint="eastAsia" w:ascii="宋体" w:hAnsi="宋体" w:cs="宋体"/>
          <w:b/>
          <w:bCs/>
          <w:sz w:val="21"/>
          <w:szCs w:val="21"/>
          <w:lang w:eastAsia="zh-CN"/>
        </w:rPr>
        <w:t>）</w:t>
      </w:r>
      <w:r>
        <w:rPr>
          <w:rFonts w:ascii="宋体" w:hAnsi="宋体" w:eastAsia="宋体" w:cs="宋体"/>
          <w:b/>
          <w:bCs/>
          <w:sz w:val="21"/>
          <w:szCs w:val="21"/>
        </w:rPr>
        <w:t>合并现金流量表</w:t>
      </w:r>
      <w:bookmarkEnd w:id="169"/>
    </w:p>
    <w:p>
      <w:pPr>
        <w:keepNext w:val="0"/>
        <w:keepLines w:val="0"/>
        <w:pageBreakBefore w:val="0"/>
        <w:widowControl w:val="0"/>
        <w:kinsoku/>
        <w:wordWrap/>
        <w:overflowPunct/>
        <w:topLinePunct w:val="0"/>
        <w:autoSpaceDE/>
        <w:autoSpaceDN/>
        <w:bidi w:val="0"/>
        <w:adjustRightInd/>
        <w:snapToGrid/>
        <w:spacing w:line="240" w:lineRule="exact"/>
        <w:jc w:val="right"/>
        <w:textAlignment w:val="auto"/>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2024年度</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2023年度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一、经营活动产生的现金流量：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销售商品、提供劳务收到的现金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599,121,214.69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377,139,850.75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客户存款和同业存放款项净增加额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向中央银行借款净增加额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向其他金融机构拆入资金净增加额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收到原保险合同保费取得的现金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收到再保业务现金净额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保户储金及投资款净增加额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收取利息、手续费及佣金的现金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拆入资金净增加额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回购业务资金净增加额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代理买卖证券收到的现金净额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收到的税费返还</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11,610,030.25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21,985,010.69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收到其他与经营活动有关的现金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51,862,151.42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98,950,407.08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经营活动现金流入小计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662,593,396.36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498,075,268.52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购买商品、接受劳务支付的现金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361,741,155.81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229,136,582.42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客户贷款及垫款净增加额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存放中央银行和同业款项净增加额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支付原保险合同赔付款项的现金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拆出资金净增加额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支付利息、手续费及佣金的现金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支付保单红利的现金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支付给职工以及为职工支付的现金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141,679,244.97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145,473,507.67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支付的各项税费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29,556,822.93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36,092,759.42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支付其他与经营活动有关的现金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70,630,491.03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73,047,519.47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经营活动现金流出小计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603,607,714.74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483,750,368.98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经营活动产生的现金流量净额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58,985,681.62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14,324,899.54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二、投资活动产生的现金流量：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收回投资收到的现金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14,147,108.04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取得投资收益收到的现金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1,828,492.00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1,680,697.00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处置固定资产、无形资产和其他长期资产收回的现金净额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28,513,901.44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3,039,247.15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处置子公司及其他营业单位收到的现金净额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收到其他与投资活动有关的现金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20,960,036.85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28,244,162.19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投资活动现金流入小计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65,449,538.33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32,964,106.34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购建固定资产、无形资产和其他长期资产支付的现金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120,498,312.20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193,630,693.64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投资支付的现金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13,630,000.00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质押贷款净增加额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取得子公司及其他营业单位支付的现金净额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支付其他与投资活动有关的现金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39,835,801.85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20,200,191.78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投资活动现金流出小计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160,334,114.05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227,460,885.42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投资活动产生的现金流量净额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-94,884,575.72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-194,496,779.08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三、筹资活动产生的现金流量：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吸收投资收到的现金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其中：子公司吸收少数股东投资收到的现金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取得借款收到的现金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380,000,000.00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230,000,000.00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收到其他与筹资活动有关的现金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469,050.00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筹资活动现金流入小计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380,000,000.00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230,469,050.00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偿还债务支付的现金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260,000,000.00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128,000,000.00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分配股利、利润或偿付利息支付的现金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8,249,265.27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5,551,786.14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其中：子公司支付给少数股东的股利、利润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支付其他与筹资活动有关的现金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筹资活动现金流出小计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268,249,265.27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133,551,786.14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筹资活动产生的现金流量净额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111,750,734.73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96,917,263.86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四、汇率变动对现金及现金等价物的影响</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-834,426.27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137,635.78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五、现金及现金等价物净增加额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75,017,414.36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-83,116,979.90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加：期初现金及现金等价物余额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464,550,942.21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547,667,922.11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六、期末现金及现金等价物余额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539,568,356.57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464,550,942.21</w:t>
            </w:r>
          </w:p>
        </w:tc>
      </w:tr>
    </w:tbl>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2"/>
        <w:rPr>
          <w:rFonts w:ascii="宋体" w:hAnsi="宋体" w:eastAsia="宋体" w:cs="宋体"/>
          <w:b/>
          <w:bCs/>
          <w:sz w:val="21"/>
          <w:szCs w:val="21"/>
        </w:rPr>
      </w:pPr>
      <w:bookmarkStart w:id="170" w:name="_Toc989044"/>
      <w:r>
        <w:rPr>
          <w:rFonts w:hint="eastAsia" w:ascii="宋体" w:hAnsi="宋体" w:cs="宋体"/>
          <w:b/>
          <w:bCs/>
          <w:sz w:val="21"/>
          <w:szCs w:val="21"/>
          <w:lang w:eastAsia="zh-CN"/>
        </w:rPr>
        <w:t>（</w:t>
      </w:r>
      <w:r>
        <w:rPr>
          <w:rFonts w:hint="eastAsia" w:ascii="宋体" w:hAnsi="宋体" w:cs="宋体"/>
          <w:b/>
          <w:bCs/>
          <w:sz w:val="21"/>
          <w:szCs w:val="21"/>
          <w:lang w:val="en-US" w:eastAsia="zh-CN"/>
        </w:rPr>
        <w:t>六</w:t>
      </w:r>
      <w:r>
        <w:rPr>
          <w:rFonts w:hint="eastAsia" w:ascii="宋体" w:hAnsi="宋体" w:cs="宋体"/>
          <w:b/>
          <w:bCs/>
          <w:sz w:val="21"/>
          <w:szCs w:val="21"/>
          <w:lang w:eastAsia="zh-CN"/>
        </w:rPr>
        <w:t>）</w:t>
      </w:r>
      <w:r>
        <w:rPr>
          <w:rFonts w:ascii="宋体" w:hAnsi="宋体" w:eastAsia="宋体" w:cs="宋体"/>
          <w:b/>
          <w:bCs/>
          <w:sz w:val="21"/>
          <w:szCs w:val="21"/>
        </w:rPr>
        <w:t>母公司现金流量表</w:t>
      </w:r>
      <w:bookmarkEnd w:id="170"/>
    </w:p>
    <w:p>
      <w:pPr>
        <w:pageBreakBefore w:val="0"/>
        <w:widowControl w:val="0"/>
        <w:kinsoku/>
        <w:wordWrap/>
        <w:overflowPunct/>
        <w:topLinePunct w:val="0"/>
        <w:autoSpaceDE/>
        <w:autoSpaceDN/>
        <w:bidi w:val="0"/>
        <w:adjustRightInd/>
        <w:snapToGrid/>
        <w:spacing w:before="0" w:line="240" w:lineRule="exact"/>
        <w:jc w:val="right"/>
        <w:textAlignment w:val="auto"/>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2024年度</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2023年度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一、经营活动产生的现金流量：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销售商品、提供劳务收到的现金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258,351,155.78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178,434,765.15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收到的税费返还</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1,552,803.41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收到其他与经营活动有关的现金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13,529,180.96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14,723,001.57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经营活动现金流入小计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273,433,140.15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193,157,766.72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购买商品、接受劳务支付的现金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54,771,695.20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50,809,699.23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支付给职工以及为职工支付的现金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59,483,377.60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60,681,592.15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支付的各项税费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20,399,921.79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23,452,367.01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支付其他与经营活动有关的现金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24,207,515.99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24,912,267.87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经营活动现金流出小计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158,862,510.58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159,855,926.26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经营活动产生的现金流量净额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114,570,629.57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33,301,840.46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二、投资活动产生的现金流量：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收回投资收到的现金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14,147,108.04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取得投资收益收到的现金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1,828,492.00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1,680,697.00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处置固定资产、无形资产和其他长期资产收回的现金净额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310,675.68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3,001,247.15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处置子公司及其他营业单位收到的现金净额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收到其他与投资活动有关的现金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1,334,114.12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投资活动现金流入小计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16,286,275.72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6,016,058.27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购建固定资产、无形资产和其他长期资产支付的现金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18,989,974.92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22,204,436.54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投资支付的现金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取得子公司及其他营业单位支付的现金净额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支付其他与投资活动有关的现金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36,588,378.17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投资活动现金流出小计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55,578,353.09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22,204,436.54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投资活动产生的现金流量净额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-39,292,077.37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-16,188,378.27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三、筹资活动产生的现金流量：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吸收投资收到的现金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取得借款收到的现金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收到其他与筹资活动有关的现金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469,050.00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筹资活动现金流入小计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469,050.00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偿还债务支付的现金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78,000,000.00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分配股利、利润或偿付利息支付的现金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1,463,911.11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支付其他与筹资活动有关的现金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筹资活动现金流出小计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79,463,911.11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筹资活动产生的现金流量净额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-78,994,861.11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四、汇率变动对现金及现金等价物的影响</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69,161.76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25,278.13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五、现金及现金等价物净增加额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75,347,713.96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-61,856,120.79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加：期初现金及现金等价物余额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248,943,141.20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310,799,261.99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六、期末现金及现金等价物余额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324,290,855.16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248,943,141.20</w:t>
            </w:r>
          </w:p>
        </w:tc>
      </w:tr>
    </w:tbl>
    <w:p>
      <w:pPr>
        <w:keepNext/>
        <w:keepLines/>
        <w:spacing w:before="300" w:after="300" w:line="280" w:lineRule="exact"/>
        <w:jc w:val="left"/>
        <w:outlineLvl w:val="2"/>
        <w:rPr>
          <w:rFonts w:ascii="宋体" w:hAnsi="宋体" w:eastAsia="宋体" w:cs="宋体"/>
          <w:b/>
          <w:bCs/>
          <w:sz w:val="21"/>
          <w:szCs w:val="21"/>
        </w:rPr>
      </w:pPr>
      <w:bookmarkStart w:id="171" w:name="_Toc989045"/>
      <w:r>
        <w:rPr>
          <w:rFonts w:hint="eastAsia" w:ascii="宋体" w:hAnsi="宋体" w:cs="宋体"/>
          <w:b/>
          <w:bCs/>
          <w:sz w:val="21"/>
          <w:szCs w:val="21"/>
          <w:lang w:eastAsia="zh-CN"/>
        </w:rPr>
        <w:t>（</w:t>
      </w:r>
      <w:r>
        <w:rPr>
          <w:rFonts w:hint="eastAsia" w:ascii="宋体" w:hAnsi="宋体" w:cs="宋体"/>
          <w:b/>
          <w:bCs/>
          <w:sz w:val="21"/>
          <w:szCs w:val="21"/>
          <w:lang w:val="en-US" w:eastAsia="zh-CN"/>
        </w:rPr>
        <w:t>七</w:t>
      </w:r>
      <w:r>
        <w:rPr>
          <w:rFonts w:hint="eastAsia" w:ascii="宋体" w:hAnsi="宋体" w:cs="宋体"/>
          <w:b/>
          <w:bCs/>
          <w:sz w:val="21"/>
          <w:szCs w:val="21"/>
          <w:lang w:eastAsia="zh-CN"/>
        </w:rPr>
        <w:t>）</w:t>
      </w:r>
      <w:r>
        <w:rPr>
          <w:rFonts w:ascii="宋体" w:hAnsi="宋体" w:eastAsia="宋体" w:cs="宋体"/>
          <w:b/>
          <w:bCs/>
          <w:sz w:val="21"/>
          <w:szCs w:val="21"/>
        </w:rPr>
        <w:t>合并所有者权益变动表</w:t>
      </w:r>
      <w:bookmarkEnd w:id="171"/>
    </w:p>
    <w:p>
      <w:pPr>
        <w:spacing w:before="0" w:after="0" w:line="240" w:lineRule="exact"/>
        <w:jc w:val="left"/>
        <w:rPr>
          <w:rFonts w:ascii="宋体" w:hAnsi="宋体" w:eastAsia="宋体" w:cs="宋体"/>
          <w:sz w:val="18"/>
          <w:szCs w:val="18"/>
        </w:rPr>
      </w:pPr>
      <w:r>
        <w:rPr>
          <w:rFonts w:ascii="宋体" w:hAnsi="宋体" w:eastAsia="宋体" w:cs="宋体"/>
          <w:sz w:val="18"/>
          <w:szCs w:val="18"/>
        </w:rPr>
        <w:t>本期金额</w:t>
      </w:r>
      <w:r>
        <w:rPr>
          <w:rFonts w:hint="eastAsia" w:ascii="宋体" w:hAnsi="宋体" w:cs="宋体"/>
          <w:sz w:val="18"/>
          <w:szCs w:val="18"/>
          <w:lang w:val="en-US" w:eastAsia="zh-CN"/>
        </w:rPr>
        <w:t xml:space="preserve">                                                                                         </w:t>
      </w: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02"/>
        <w:gridCol w:w="602"/>
        <w:gridCol w:w="602"/>
        <w:gridCol w:w="602"/>
        <w:gridCol w:w="602"/>
        <w:gridCol w:w="602"/>
        <w:gridCol w:w="602"/>
        <w:gridCol w:w="602"/>
        <w:gridCol w:w="602"/>
        <w:gridCol w:w="602"/>
        <w:gridCol w:w="602"/>
        <w:gridCol w:w="602"/>
        <w:gridCol w:w="602"/>
        <w:gridCol w:w="602"/>
        <w:gridCol w:w="602"/>
        <w:gridCol w:w="60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9037" w:type="dxa"/>
            <w:gridSpan w:val="1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2024年度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832" w:type="dxa"/>
            <w:gridSpan w:val="1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归属于母公司所有者权益</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0" w:lineRule="exact"/>
              <w:jc w:val="center"/>
              <w:rPr>
                <w:rFonts w:ascii="宋体" w:hAnsi="宋体" w:eastAsia="宋体" w:cs="宋体"/>
                <w:sz w:val="18"/>
                <w:szCs w:val="18"/>
              </w:rPr>
            </w:pPr>
            <w:r>
              <w:rPr>
                <w:rFonts w:ascii="宋体" w:hAnsi="宋体" w:eastAsia="宋体" w:cs="宋体"/>
                <w:sz w:val="18"/>
                <w:szCs w:val="18"/>
              </w:rPr>
              <w:t>少数股东权益</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所有者权益合计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股本</w:t>
            </w:r>
          </w:p>
        </w:tc>
        <w:tc>
          <w:tcPr>
            <w:tcW w:w="1807"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其他权益工具</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资本公积</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减：库存股</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其他综合收益</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专项储备</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盈余公积</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一般风险准备</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未分配利润</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小计</w:t>
            </w: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优先股</w:t>
            </w:r>
          </w:p>
        </w:tc>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永续债</w:t>
            </w:r>
          </w:p>
        </w:tc>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602" w:type="dxa"/>
            <w:vMerge w:val="continue"/>
            <w:tcBorders>
              <w:top w:val="single" w:color="auto" w:sz="2" w:space="0"/>
              <w:left w:val="single" w:color="auto" w:sz="2" w:space="0"/>
              <w:bottom w:val="single" w:color="auto" w:sz="2" w:space="0"/>
              <w:right w:val="single" w:color="auto" w:sz="2" w:space="0"/>
            </w:tcBorders>
            <w:vAlign w:val="center"/>
          </w:tc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一、上年期末余额</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573,104,819.00</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1,678,361,693.07</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14,318,722.83</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19,940,955.96</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-164,015,929.50</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2,121,710,261.36</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23,019,058.37</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2,144,729,319.73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加：会计政策变更</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前期差错更正</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其他</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二、本年期初余额</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573,104,819.00</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1,678,361,693.07</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14,318,722.83</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19,940,955.96</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-164,015,929.50</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2,121,710,261.36</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23,019,058.37</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2,144,729,319.73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三、本期增减变动金额（减少以“－”号填列）</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-9,357,196.97</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-60,802,100.18</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-70,159,297.15</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-1,207,122.42</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-71,366,419.57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（一）综合收益总额</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-2,929,510.99</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-67,229,786.16</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-70,159,297.15</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-1,207,122.42</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-71,366,419.57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（二）所有者投入和减少资本</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1．所有者投入的普通股</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2．其他权益工具持有者投入资本</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3．股份支付计入所有者权益的金额</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4．其他</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（三）利润分配</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1．提取盈余公积</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2．提取一般风险准备</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3．对所有者（或股东）的分配</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4．其他</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（四）所有者权益内部结转</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-6,427,685.98</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6,427,685.98</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1．资本公积转增资本（或股本）</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2．盈余公积转增资本（或股本）</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3．盈余公积弥补亏损</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4．设定受益计划变动额结转留存收益</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5．其他综合收益结转留存收益</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-6,427,685.98</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6,427,685.98</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6．其他</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（五）专项储备</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1．本期提取</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2．本期使用</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（六）其他</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四、本期期末余额</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573,104,819.00</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1,678,361,693.07</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4,961,525.86</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19,940,955.96</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-224,818,029.68</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2,051,550,964.21</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21,811,935.95</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2,073,362,900.16</w:t>
            </w:r>
          </w:p>
        </w:tc>
      </w:tr>
    </w:tbl>
    <w:p>
      <w:pPr>
        <w:keepNext w:val="0"/>
        <w:keepLines w:val="0"/>
        <w:pageBreakBefore w:val="0"/>
        <w:widowControl w:val="0"/>
        <w:kinsoku/>
        <w:wordWrap/>
        <w:overflowPunct/>
        <w:topLinePunct w:val="0"/>
        <w:autoSpaceDE/>
        <w:autoSpaceDN/>
        <w:bidi w:val="0"/>
        <w:adjustRightInd/>
        <w:snapToGrid/>
        <w:spacing w:before="313" w:beforeLines="100" w:after="0" w:line="240" w:lineRule="exact"/>
        <w:jc w:val="left"/>
        <w:textAlignment w:val="auto"/>
        <w:rPr>
          <w:rFonts w:ascii="宋体" w:hAnsi="宋体" w:eastAsia="宋体" w:cs="宋体"/>
          <w:sz w:val="18"/>
          <w:szCs w:val="18"/>
        </w:rPr>
      </w:pPr>
      <w:r>
        <w:rPr>
          <w:rFonts w:ascii="宋体" w:hAnsi="宋体" w:eastAsia="宋体" w:cs="宋体"/>
          <w:sz w:val="18"/>
          <w:szCs w:val="18"/>
        </w:rPr>
        <w:t>上期金额</w:t>
      </w:r>
      <w:r>
        <w:rPr>
          <w:rFonts w:hint="eastAsia" w:ascii="宋体" w:hAnsi="宋体" w:cs="宋体"/>
          <w:sz w:val="18"/>
          <w:szCs w:val="18"/>
          <w:lang w:val="en-US" w:eastAsia="zh-CN"/>
        </w:rPr>
        <w:t xml:space="preserve">                                                                                         </w:t>
      </w: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02"/>
        <w:gridCol w:w="602"/>
        <w:gridCol w:w="602"/>
        <w:gridCol w:w="602"/>
        <w:gridCol w:w="602"/>
        <w:gridCol w:w="602"/>
        <w:gridCol w:w="602"/>
        <w:gridCol w:w="602"/>
        <w:gridCol w:w="602"/>
        <w:gridCol w:w="602"/>
        <w:gridCol w:w="602"/>
        <w:gridCol w:w="602"/>
        <w:gridCol w:w="602"/>
        <w:gridCol w:w="602"/>
        <w:gridCol w:w="602"/>
        <w:gridCol w:w="60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9037" w:type="dxa"/>
            <w:gridSpan w:val="1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2023年度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832" w:type="dxa"/>
            <w:gridSpan w:val="1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归属于母公司所有者权益</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少数股东权益</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所有者权益合计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股本</w:t>
            </w:r>
          </w:p>
        </w:tc>
        <w:tc>
          <w:tcPr>
            <w:tcW w:w="1807"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其他权益工具</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资本公积</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减：库存股</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其他综合收益</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专项储备</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盈余公积</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一般风险准备</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未分配利润</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小计</w:t>
            </w: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优先股</w:t>
            </w:r>
          </w:p>
        </w:tc>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永续债</w:t>
            </w:r>
          </w:p>
        </w:tc>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602" w:type="dxa"/>
            <w:vMerge w:val="continue"/>
            <w:tcBorders>
              <w:top w:val="single" w:color="auto" w:sz="2" w:space="0"/>
              <w:left w:val="single" w:color="auto" w:sz="2" w:space="0"/>
              <w:bottom w:val="single" w:color="auto" w:sz="2" w:space="0"/>
              <w:right w:val="single" w:color="auto" w:sz="2" w:space="0"/>
            </w:tcBorders>
            <w:vAlign w:val="center"/>
          </w:tc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602" w:type="dxa"/>
            <w:vMerge w:val="continue"/>
            <w:tcBorders>
              <w:top w:val="single" w:color="auto" w:sz="2" w:space="0"/>
              <w:left w:val="single" w:color="auto" w:sz="2" w:space="0"/>
              <w:bottom w:val="single" w:color="auto" w:sz="2" w:space="0"/>
              <w:right w:val="single" w:color="auto" w:sz="2" w:space="0"/>
            </w:tcBorders>
            <w:vAlign w:val="center"/>
          </w:tcPr>
          <w:p/>
        </w:tc>
        <w:tc>
          <w:tcPr>
            <w:tcW w:w="602" w:type="dxa"/>
            <w:vMerge w:val="continue"/>
            <w:tcBorders>
              <w:top w:val="single" w:color="auto" w:sz="2" w:space="0"/>
              <w:left w:val="single" w:color="auto" w:sz="2" w:space="0"/>
              <w:bottom w:val="single" w:color="auto" w:sz="2" w:space="0"/>
              <w:right w:val="single" w:color="auto" w:sz="2" w:space="0"/>
            </w:tcBorders>
            <w:vAlign w:val="center"/>
          </w:tc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一、上年期末余额</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573,104,819.00</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1,678,361,693.07</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11,085,040.66</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19,940,955.96</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-193,291,369.57</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2,089,201,139.12</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22,995,248.94</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2,112,196,388.06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加：会计政策变更</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前期差错更正</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其他</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二、本年期初余额</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573,104,819.00</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1,678,361,693.07</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11,085,040.66</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19,940,955.96</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-193,291,369.57</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2,089,201,139.12</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22,995,248.94</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2,112,196,388.06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三、本期增减变动金额（减少以“－”号填列）</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3,233,682.17</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29,275,440.07</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32,509,122.24</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23,809.43</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32,532,931.67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（一）综合收益总额</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3,233,682.17</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29,275,440.07</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32,509,122.24</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23,809.43</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32,532,931.67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（二）所有者投入和减少资本</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1．所有者投入的普通股</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2．其他权益工具持有者投入资本</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3．股份支付计入所有者权益的金额</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4．其他</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（三）利润分配</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1．提取盈余公积</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2．提取一般风险准备</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3．对所有者（或股东）的分配</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4．其他</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（四）所有者权益内部结转</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1．资本公积转增资本（或股本）</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2．盈余公积转增资本（或股本）</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3．盈余公积弥补亏损</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4．设定受益计划变动额结转留存收益</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5．其他综合收益结转留存收益</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6．其他</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（五）专项储备</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1．本期提取</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2．本期使用</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（六）其他</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四、本期期末余额</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573,104,819.00</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1,678,361,693.07</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14,318,722.83</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19,940,955.96</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-164,015,929.50</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2,121,710,261.36</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23,019,058.37</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2,144,729,319.73</w:t>
            </w:r>
          </w:p>
        </w:tc>
      </w:tr>
    </w:tbl>
    <w:p>
      <w:pPr>
        <w:keepNext/>
        <w:keepLines/>
        <w:spacing w:before="300" w:after="300" w:line="280" w:lineRule="exact"/>
        <w:jc w:val="left"/>
        <w:outlineLvl w:val="2"/>
        <w:rPr>
          <w:rFonts w:ascii="宋体" w:hAnsi="宋体" w:eastAsia="宋体" w:cs="宋体"/>
          <w:b/>
          <w:bCs/>
          <w:sz w:val="21"/>
          <w:szCs w:val="21"/>
        </w:rPr>
      </w:pPr>
      <w:bookmarkStart w:id="172" w:name="_Toc989046"/>
      <w:r>
        <w:rPr>
          <w:rFonts w:hint="eastAsia" w:ascii="宋体" w:hAnsi="宋体" w:cs="宋体"/>
          <w:b/>
          <w:bCs/>
          <w:sz w:val="21"/>
          <w:szCs w:val="21"/>
          <w:lang w:eastAsia="zh-CN"/>
        </w:rPr>
        <w:t>（</w:t>
      </w:r>
      <w:r>
        <w:rPr>
          <w:rFonts w:hint="eastAsia" w:ascii="宋体" w:hAnsi="宋体" w:cs="宋体"/>
          <w:b/>
          <w:bCs/>
          <w:sz w:val="21"/>
          <w:szCs w:val="21"/>
          <w:lang w:val="en-US" w:eastAsia="zh-CN"/>
        </w:rPr>
        <w:t>八</w:t>
      </w:r>
      <w:r>
        <w:rPr>
          <w:rFonts w:hint="eastAsia" w:ascii="宋体" w:hAnsi="宋体" w:cs="宋体"/>
          <w:b/>
          <w:bCs/>
          <w:sz w:val="21"/>
          <w:szCs w:val="21"/>
          <w:lang w:eastAsia="zh-CN"/>
        </w:rPr>
        <w:t>）</w:t>
      </w:r>
      <w:r>
        <w:rPr>
          <w:rFonts w:ascii="宋体" w:hAnsi="宋体" w:eastAsia="宋体" w:cs="宋体"/>
          <w:b/>
          <w:bCs/>
          <w:sz w:val="21"/>
          <w:szCs w:val="21"/>
        </w:rPr>
        <w:t>母公司所有者权益变动表</w:t>
      </w:r>
      <w:bookmarkEnd w:id="172"/>
    </w:p>
    <w:p>
      <w:pPr>
        <w:spacing w:before="40" w:after="40" w:line="240" w:lineRule="exact"/>
        <w:jc w:val="left"/>
        <w:rPr>
          <w:rFonts w:ascii="宋体" w:hAnsi="宋体" w:eastAsia="宋体" w:cs="宋体"/>
          <w:sz w:val="18"/>
          <w:szCs w:val="18"/>
        </w:rPr>
      </w:pPr>
      <w:r>
        <w:rPr>
          <w:rFonts w:ascii="宋体" w:hAnsi="宋体" w:eastAsia="宋体" w:cs="宋体"/>
          <w:sz w:val="18"/>
          <w:szCs w:val="18"/>
        </w:rPr>
        <w:t>本期金额</w:t>
      </w:r>
      <w:r>
        <w:rPr>
          <w:rFonts w:hint="eastAsia" w:ascii="宋体" w:hAnsi="宋体" w:cs="宋体"/>
          <w:sz w:val="18"/>
          <w:szCs w:val="18"/>
          <w:lang w:val="en-US" w:eastAsia="zh-CN"/>
        </w:rPr>
        <w:t xml:space="preserve">                                                                                         </w:t>
      </w: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41"/>
        <w:gridCol w:w="741"/>
        <w:gridCol w:w="741"/>
        <w:gridCol w:w="741"/>
        <w:gridCol w:w="741"/>
        <w:gridCol w:w="741"/>
        <w:gridCol w:w="741"/>
        <w:gridCol w:w="741"/>
        <w:gridCol w:w="741"/>
        <w:gridCol w:w="741"/>
        <w:gridCol w:w="741"/>
        <w:gridCol w:w="741"/>
        <w:gridCol w:w="74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8898" w:type="dxa"/>
            <w:gridSpan w:val="1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2024年度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股本</w:t>
            </w:r>
          </w:p>
        </w:tc>
        <w:tc>
          <w:tcPr>
            <w:tcW w:w="2224"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其他权益工具</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资本公积</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减：库存股</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其他综合收益</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专项储备</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盈余公积</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未分配利润</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所有者权益合计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优先股</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永续债</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41" w:type="dxa"/>
            <w:vMerge w:val="continue"/>
            <w:tcBorders>
              <w:top w:val="single" w:color="auto" w:sz="2" w:space="0"/>
              <w:left w:val="single" w:color="auto" w:sz="2" w:space="0"/>
              <w:bottom w:val="single" w:color="auto" w:sz="2" w:space="0"/>
              <w:right w:val="single" w:color="auto" w:sz="2" w:space="0"/>
            </w:tcBorders>
            <w:vAlign w:val="center"/>
          </w:tcP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41" w:type="dxa"/>
            <w:vMerge w:val="continue"/>
            <w:tcBorders>
              <w:top w:val="single" w:color="auto" w:sz="2" w:space="0"/>
              <w:left w:val="single" w:color="auto" w:sz="2" w:space="0"/>
              <w:bottom w:val="single" w:color="auto" w:sz="2" w:space="0"/>
              <w:right w:val="single" w:color="auto" w:sz="2" w:space="0"/>
            </w:tcBorders>
            <w:vAlign w:val="center"/>
          </w:tcP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一、上年期末余额</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573,104,819.00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1,668,928,880.35</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13,881,088.72</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19,940,955.96</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-166,142,604.32</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2,109,713,139.71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加：会计政策变更</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前期差错更正</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其他</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二、本年期初余额</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573,104,819.00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1,668,928,880.35</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13,881,088.72</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19,940,955.96</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-166,142,604.32</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2,109,713,139.71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三、本期增减变动金额（减少以“－”号填列）</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-21,133,931.25</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40,979,812.12</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19,845,880.87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（一）综合收益总额</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-14,706,245.27</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34,552,126.14</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19,845,880.87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（二）所有者投入和减少资本</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1．所有者投入的普通股</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2．其他权益工具持有者投入资本</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3．股份支付计入所有者权益的金额</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4．其他</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（三）利润分配</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1．提取盈余公积</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2．对所有者（或股东）的分配</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3．其他</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（四）所有者权益内部结转</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-6,427,685.98</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6,427,685.98</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1．资本公积转增资本（或股本）</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2．盈余公积转增资本（或股本）</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3．盈余公积弥补亏损</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4．设定受益计划变动额结转留存收益</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5．其他综合收益结转留存收益</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-6,427,685.98</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6,427,685.98</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6．其他</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（五）专项储备</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1．本期提取</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2．本期使用</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（六）其他</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四、本期期末余额</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573,104,819.00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1,668,928,880.35</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-7,252,842.53</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19,940,955.96</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-125,162,792.20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2,129,559,020.58</w:t>
            </w:r>
          </w:p>
        </w:tc>
      </w:tr>
    </w:tbl>
    <w:p>
      <w:pPr>
        <w:keepNext w:val="0"/>
        <w:keepLines w:val="0"/>
        <w:pageBreakBefore w:val="0"/>
        <w:widowControl w:val="0"/>
        <w:kinsoku/>
        <w:wordWrap/>
        <w:overflowPunct/>
        <w:topLinePunct w:val="0"/>
        <w:autoSpaceDE/>
        <w:autoSpaceDN/>
        <w:bidi w:val="0"/>
        <w:adjustRightInd/>
        <w:snapToGrid/>
        <w:spacing w:before="313" w:beforeLines="100" w:after="40" w:line="240" w:lineRule="exact"/>
        <w:jc w:val="left"/>
        <w:textAlignment w:val="auto"/>
        <w:rPr>
          <w:rFonts w:ascii="宋体" w:hAnsi="宋体" w:eastAsia="宋体" w:cs="宋体"/>
          <w:sz w:val="18"/>
          <w:szCs w:val="18"/>
        </w:rPr>
      </w:pPr>
      <w:r>
        <w:rPr>
          <w:rFonts w:ascii="宋体" w:hAnsi="宋体" w:eastAsia="宋体" w:cs="宋体"/>
          <w:sz w:val="18"/>
          <w:szCs w:val="18"/>
        </w:rPr>
        <w:t>上期金额</w:t>
      </w:r>
      <w:r>
        <w:rPr>
          <w:rFonts w:hint="eastAsia" w:ascii="宋体" w:hAnsi="宋体" w:cs="宋体"/>
          <w:sz w:val="18"/>
          <w:szCs w:val="18"/>
          <w:lang w:val="en-US" w:eastAsia="zh-CN"/>
        </w:rPr>
        <w:t xml:space="preserve">                                                                                        </w:t>
      </w: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41"/>
        <w:gridCol w:w="741"/>
        <w:gridCol w:w="741"/>
        <w:gridCol w:w="741"/>
        <w:gridCol w:w="741"/>
        <w:gridCol w:w="741"/>
        <w:gridCol w:w="741"/>
        <w:gridCol w:w="741"/>
        <w:gridCol w:w="741"/>
        <w:gridCol w:w="741"/>
        <w:gridCol w:w="741"/>
        <w:gridCol w:w="741"/>
        <w:gridCol w:w="74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8898" w:type="dxa"/>
            <w:gridSpan w:val="1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2023年度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股本</w:t>
            </w:r>
          </w:p>
        </w:tc>
        <w:tc>
          <w:tcPr>
            <w:tcW w:w="2224"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其他权益工具</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资本公积</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减：库存股</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其他综合收益</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专项储备</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盈余公积</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未分配利润</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所有者权益合计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优先股</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永续债</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41" w:type="dxa"/>
            <w:vMerge w:val="continue"/>
            <w:tcBorders>
              <w:top w:val="single" w:color="auto" w:sz="2" w:space="0"/>
              <w:left w:val="single" w:color="auto" w:sz="2" w:space="0"/>
              <w:bottom w:val="single" w:color="auto" w:sz="2" w:space="0"/>
              <w:right w:val="single" w:color="auto" w:sz="2" w:space="0"/>
            </w:tcBorders>
            <w:vAlign w:val="center"/>
          </w:tcP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41" w:type="dxa"/>
            <w:vMerge w:val="continue"/>
            <w:tcBorders>
              <w:top w:val="single" w:color="auto" w:sz="2" w:space="0"/>
              <w:left w:val="single" w:color="auto" w:sz="2" w:space="0"/>
              <w:bottom w:val="single" w:color="auto" w:sz="2" w:space="0"/>
              <w:right w:val="single" w:color="auto" w:sz="2" w:space="0"/>
            </w:tcBorders>
            <w:vAlign w:val="center"/>
          </w:tcP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一、上年期末余额</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573,104,819.00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1,668,928,880.35</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10,720,448.72</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19,940,955.96</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-203,239,023.37</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2,069,456,080.66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加：会计政策变更</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前期差错更正</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其他</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二、本年期初余额</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573,104,819.00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1,668,928,880.35</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10,720,448.72</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19,940,955.96</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-203,239,023.37</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2,069,456,080.66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三、本期增减变动金额（减少以“－”号填列）</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3,160,640.00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37,096,419.05</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40,257,059.05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（一）综合收益总额</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3,160,640.00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37,096,419.05</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40,257,059.05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（二）所有者投入和减少资本</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1．所有者投入的普通股</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2．其他权益工具持有者投入资本</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3．股份支付计入所有者权益的金额</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4．其他</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（三）利润分配</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1．提取盈余公积</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2．对所有者（或股东）的分配</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3．其他</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（四）所有者权益内部结转</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1．资本公积转增资本（或股本）</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2．盈余公积转增资本（或股本）</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3．盈余公积弥补亏损</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4．设定受益计划变动额结转留存收益</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5．其他综合收益结转留存收益</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6．其他</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（五）专项储备</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1．本期提取</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2．本期使用</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（六）其他</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四、本期期末余额</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573,104,819.00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1,668,928,880.35</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13,881,088.72</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19,940,955.96</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-166,142,604.32</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2,109,713,139.71</w:t>
            </w:r>
          </w:p>
        </w:tc>
      </w:tr>
    </w:tbl>
    <w:p>
      <w:pPr>
        <w:keepNext/>
        <w:keepLines/>
        <w:spacing w:before="300" w:after="300" w:line="320" w:lineRule="exact"/>
        <w:jc w:val="left"/>
        <w:outlineLvl w:val="1"/>
        <w:rPr>
          <w:rFonts w:ascii="宋体" w:hAnsi="宋体" w:eastAsia="宋体" w:cs="宋体"/>
          <w:b/>
          <w:bCs/>
          <w:sz w:val="24"/>
          <w:szCs w:val="24"/>
        </w:rPr>
      </w:pPr>
      <w:bookmarkStart w:id="173" w:name="_Toc989047"/>
      <w:r>
        <w:rPr>
          <w:rFonts w:ascii="宋体" w:hAnsi="宋体" w:eastAsia="宋体" w:cs="宋体"/>
          <w:b/>
          <w:bCs/>
          <w:sz w:val="24"/>
          <w:szCs w:val="24"/>
        </w:rPr>
        <w:t>三、公司基本情况</w:t>
      </w:r>
      <w:bookmarkEnd w:id="173"/>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tLeast"/>
        <w:ind w:left="0" w:firstLine="42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湖南博云新材料股份有限公司（以下简称“公司”或“本公司”）住所及注册地址：长沙市岳麓区高新技术产业开发区麓松路</w:t>
      </w:r>
      <w:r>
        <w:rPr>
          <w:rFonts w:hint="default" w:ascii="Times New Roman" w:hAnsi="Times New Roman" w:eastAsia="宋体" w:cs="Times New Roman"/>
          <w:color w:val="000000"/>
          <w:sz w:val="21"/>
          <w:szCs w:val="21"/>
        </w:rPr>
        <w:t>500</w:t>
      </w:r>
      <w:r>
        <w:rPr>
          <w:rFonts w:hint="eastAsia" w:ascii="宋体" w:hAnsi="宋体" w:eastAsia="宋体" w:cs="宋体"/>
          <w:color w:val="000000"/>
          <w:sz w:val="21"/>
          <w:szCs w:val="21"/>
        </w:rPr>
        <w:t>号；统一社会信用代码：</w:t>
      </w:r>
      <w:r>
        <w:rPr>
          <w:rFonts w:hint="default" w:ascii="Times New Roman" w:hAnsi="Times New Roman" w:eastAsia="宋体" w:cs="Times New Roman"/>
          <w:color w:val="000000"/>
          <w:sz w:val="21"/>
          <w:szCs w:val="21"/>
        </w:rPr>
        <w:t>91430000183898967C</w:t>
      </w:r>
      <w:r>
        <w:rPr>
          <w:rFonts w:hint="eastAsia" w:ascii="宋体" w:hAnsi="宋体" w:eastAsia="宋体" w:cs="宋体"/>
          <w:color w:val="000000"/>
          <w:sz w:val="21"/>
          <w:szCs w:val="21"/>
        </w:rPr>
        <w:t>；公司组织形式：其他股份有限公司</w:t>
      </w:r>
      <w:r>
        <w:rPr>
          <w:rFonts w:hint="default" w:ascii="Times New Roman" w:hAnsi="Times New Roman" w:eastAsia="宋体" w:cs="Times New Roman"/>
          <w:color w:val="000000"/>
          <w:sz w:val="21"/>
          <w:szCs w:val="21"/>
        </w:rPr>
        <w:t>(</w:t>
      </w:r>
      <w:r>
        <w:rPr>
          <w:rFonts w:hint="eastAsia" w:ascii="宋体" w:hAnsi="宋体" w:eastAsia="宋体" w:cs="宋体"/>
          <w:color w:val="000000"/>
          <w:sz w:val="21"/>
          <w:szCs w:val="21"/>
        </w:rPr>
        <w:t>上市</w:t>
      </w:r>
      <w:r>
        <w:rPr>
          <w:rFonts w:hint="default" w:ascii="Times New Roman" w:hAnsi="Times New Roman" w:eastAsia="宋体" w:cs="Times New Roman"/>
          <w:color w:val="000000"/>
          <w:sz w:val="21"/>
          <w:szCs w:val="21"/>
        </w:rPr>
        <w:t>)</w:t>
      </w:r>
      <w:r>
        <w:rPr>
          <w:rFonts w:hint="eastAsia" w:ascii="宋体" w:hAnsi="宋体" w:eastAsia="宋体" w:cs="宋体"/>
          <w:color w:val="000000"/>
          <w:sz w:val="21"/>
          <w:szCs w:val="21"/>
        </w:rPr>
        <w:t>；现任法定代表人：戴志利。</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tLeast"/>
        <w:ind w:left="0" w:firstLine="420"/>
        <w:jc w:val="left"/>
        <w:textAlignment w:val="auto"/>
        <w:rPr>
          <w:rFonts w:hint="default" w:ascii="Times New Roman" w:hAnsi="Times New Roman" w:cs="Times New Roman"/>
          <w:sz w:val="24"/>
          <w:szCs w:val="24"/>
        </w:rPr>
      </w:pPr>
      <w:r>
        <w:rPr>
          <w:rFonts w:hint="eastAsia" w:ascii="宋体" w:hAnsi="宋体" w:eastAsia="宋体" w:cs="宋体"/>
          <w:color w:val="000000"/>
          <w:sz w:val="21"/>
          <w:szCs w:val="21"/>
        </w:rPr>
        <w:t>截至</w:t>
      </w:r>
      <w:r>
        <w:rPr>
          <w:rFonts w:hint="default" w:ascii="Times New Roman" w:hAnsi="Times New Roman" w:eastAsia="宋体" w:cs="Times New Roman"/>
          <w:color w:val="000000"/>
          <w:sz w:val="21"/>
          <w:szCs w:val="21"/>
        </w:rPr>
        <w:t>2024</w:t>
      </w:r>
      <w:r>
        <w:rPr>
          <w:rFonts w:hint="eastAsia" w:ascii="宋体" w:hAnsi="宋体" w:eastAsia="宋体" w:cs="宋体"/>
          <w:color w:val="000000"/>
          <w:sz w:val="21"/>
          <w:szCs w:val="21"/>
        </w:rPr>
        <w:t>年</w:t>
      </w:r>
      <w:r>
        <w:rPr>
          <w:rFonts w:hint="default" w:ascii="Times New Roman" w:hAnsi="Times New Roman" w:eastAsia="宋体" w:cs="Times New Roman"/>
          <w:color w:val="000000"/>
          <w:sz w:val="21"/>
          <w:szCs w:val="21"/>
        </w:rPr>
        <w:t>12</w:t>
      </w:r>
      <w:r>
        <w:rPr>
          <w:rFonts w:hint="eastAsia" w:ascii="宋体" w:hAnsi="宋体" w:eastAsia="宋体" w:cs="宋体"/>
          <w:color w:val="000000"/>
          <w:sz w:val="21"/>
          <w:szCs w:val="21"/>
        </w:rPr>
        <w:t>月</w:t>
      </w:r>
      <w:r>
        <w:rPr>
          <w:rFonts w:hint="default" w:ascii="Times New Roman" w:hAnsi="Times New Roman" w:eastAsia="宋体" w:cs="Times New Roman"/>
          <w:color w:val="000000"/>
          <w:sz w:val="21"/>
          <w:szCs w:val="21"/>
        </w:rPr>
        <w:t>31</w:t>
      </w:r>
      <w:r>
        <w:rPr>
          <w:rFonts w:hint="eastAsia" w:ascii="宋体" w:hAnsi="宋体" w:eastAsia="宋体" w:cs="宋体"/>
          <w:color w:val="000000"/>
          <w:sz w:val="21"/>
          <w:szCs w:val="21"/>
        </w:rPr>
        <w:t>日止，本公司累计发行股本总数</w:t>
      </w:r>
      <w:r>
        <w:rPr>
          <w:rFonts w:hint="default" w:ascii="Times New Roman" w:hAnsi="Times New Roman" w:eastAsia="宋体" w:cs="Times New Roman"/>
          <w:color w:val="000000"/>
          <w:sz w:val="21"/>
          <w:szCs w:val="21"/>
        </w:rPr>
        <w:t>573,104,819.00</w:t>
      </w:r>
      <w:r>
        <w:rPr>
          <w:rFonts w:hint="eastAsia" w:ascii="宋体" w:hAnsi="宋体" w:eastAsia="宋体" w:cs="宋体"/>
          <w:color w:val="000000"/>
          <w:sz w:val="21"/>
          <w:szCs w:val="21"/>
        </w:rPr>
        <w:t>股，注册资本为</w:t>
      </w:r>
      <w:r>
        <w:rPr>
          <w:rFonts w:hint="default" w:ascii="Times New Roman" w:hAnsi="Times New Roman" w:eastAsia="宋体" w:cs="Times New Roman"/>
          <w:color w:val="000000"/>
          <w:sz w:val="21"/>
          <w:szCs w:val="21"/>
        </w:rPr>
        <w:t>573,104,819.00</w:t>
      </w:r>
      <w:r>
        <w:rPr>
          <w:rFonts w:hint="eastAsia" w:ascii="宋体" w:hAnsi="宋体" w:eastAsia="宋体" w:cs="宋体"/>
          <w:color w:val="000000"/>
          <w:sz w:val="21"/>
          <w:szCs w:val="21"/>
        </w:rPr>
        <w:t>元。本公司主要经营活动为：许可项目：民用航空器零部件设计和生产；民用航空器维修；火箭发动机研发与制造；检验检测服务（依法须经批准的项目，经相关部门批准后方可开展经营活动，具体经营项目以相关部门批准文件或许可证件为准）一般项目：高性能纤维及复合材料制造；高性能纤维及复合材料销售；锻件及粉末冶金制品制造；锻件及粉末冶金制品销售；民用航空材料销售；货物进出口；技术进出口；新材料技术研发；新材料技术推广服务；技术服务、技术开发、技术咨询、技术交流、技术转让、技术推广；非居住房地产租赁；住房租赁（除依法须经批准的项目外，凭营业执照依法自主开展经营活动）。公司的母公司为中南大学粉末冶金工程研究中心有限公司，实际控制人为湖南省人民政府国有资产监督管理委员会。</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tLeast"/>
        <w:ind w:left="0" w:firstLine="420"/>
        <w:jc w:val="left"/>
        <w:textAlignment w:val="auto"/>
        <w:rPr>
          <w:rFonts w:hint="default" w:ascii="Times New Roman" w:hAnsi="Times New Roman" w:cs="Times New Roman"/>
          <w:sz w:val="24"/>
          <w:szCs w:val="24"/>
        </w:rPr>
      </w:pPr>
      <w:r>
        <w:rPr>
          <w:rFonts w:hint="eastAsia" w:ascii="宋体" w:hAnsi="宋体" w:eastAsia="宋体" w:cs="宋体"/>
          <w:color w:val="000000"/>
          <w:sz w:val="21"/>
          <w:szCs w:val="21"/>
        </w:rPr>
        <w:t>本财务报表业经公司董事会于2025年4月7日批准报出。</w:t>
      </w:r>
    </w:p>
    <w:p>
      <w:pPr>
        <w:keepNext/>
        <w:keepLines/>
        <w:spacing w:before="300" w:after="300" w:line="320" w:lineRule="exact"/>
        <w:jc w:val="left"/>
        <w:outlineLvl w:val="1"/>
        <w:rPr>
          <w:rFonts w:ascii="宋体" w:hAnsi="宋体" w:eastAsia="宋体" w:cs="宋体"/>
          <w:b/>
          <w:bCs/>
          <w:sz w:val="24"/>
          <w:szCs w:val="24"/>
        </w:rPr>
      </w:pPr>
      <w:bookmarkStart w:id="174" w:name="_Toc989048"/>
      <w:r>
        <w:rPr>
          <w:rFonts w:ascii="宋体" w:hAnsi="宋体" w:eastAsia="宋体" w:cs="宋体"/>
          <w:b/>
          <w:bCs/>
          <w:sz w:val="24"/>
          <w:szCs w:val="24"/>
        </w:rPr>
        <w:t>四、财务报表的编制基础</w:t>
      </w:r>
      <w:bookmarkEnd w:id="174"/>
    </w:p>
    <w:p>
      <w:pPr>
        <w:keepNext/>
        <w:keepLines/>
        <w:pageBreakBefore w:val="0"/>
        <w:kinsoku/>
        <w:wordWrap/>
        <w:overflowPunct/>
        <w:topLinePunct w:val="0"/>
        <w:autoSpaceDE/>
        <w:autoSpaceDN/>
        <w:bidi w:val="0"/>
        <w:adjustRightInd/>
        <w:snapToGrid/>
        <w:spacing w:before="240" w:beforeAutospacing="0" w:after="120" w:afterAutospacing="0" w:line="280" w:lineRule="exact"/>
        <w:jc w:val="left"/>
        <w:textAlignment w:val="auto"/>
        <w:outlineLvl w:val="2"/>
        <w:rPr>
          <w:rFonts w:ascii="宋体" w:hAnsi="宋体" w:eastAsia="宋体" w:cs="宋体"/>
          <w:b/>
          <w:bCs/>
          <w:sz w:val="21"/>
          <w:szCs w:val="21"/>
        </w:rPr>
      </w:pPr>
      <w:bookmarkStart w:id="175" w:name="_Toc989049"/>
      <w:bookmarkStart w:id="176" w:name="_Toc989098"/>
      <w:r>
        <w:rPr>
          <w:rFonts w:hint="eastAsia" w:ascii="宋体" w:hAnsi="宋体" w:cs="宋体"/>
          <w:b/>
          <w:bCs/>
          <w:sz w:val="21"/>
          <w:szCs w:val="21"/>
          <w:lang w:eastAsia="zh-CN"/>
        </w:rPr>
        <w:t>（一）</w:t>
      </w:r>
      <w:r>
        <w:rPr>
          <w:rFonts w:ascii="宋体" w:hAnsi="宋体" w:eastAsia="宋体" w:cs="宋体"/>
          <w:b/>
          <w:bCs/>
          <w:sz w:val="21"/>
          <w:szCs w:val="21"/>
        </w:rPr>
        <w:t>编制基础</w:t>
      </w:r>
      <w:bookmarkEnd w:id="175"/>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120" w:afterAutospacing="0" w:line="360" w:lineRule="exact"/>
        <w:ind w:left="0" w:righ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本财务报表按照财政部颁布的《企业会计准则</w:t>
      </w:r>
      <w:r>
        <w:rPr>
          <w:rFonts w:hint="default" w:ascii="宋体" w:hAnsi="宋体" w:eastAsia="宋体" w:cs="宋体"/>
          <w:color w:val="000000"/>
          <w:sz w:val="21"/>
          <w:szCs w:val="21"/>
        </w:rPr>
        <w:t>——</w:t>
      </w:r>
      <w:r>
        <w:rPr>
          <w:rFonts w:hint="eastAsia" w:ascii="宋体" w:hAnsi="宋体" w:eastAsia="宋体" w:cs="宋体"/>
          <w:color w:val="000000"/>
          <w:sz w:val="21"/>
          <w:szCs w:val="21"/>
        </w:rPr>
        <w:t>基本准则》和各项具体会计准则、企业会计准则应用指南、企业会计准则解释及其他相关规定（以下合称“企业会计准则”），以及中国证券监督管理委员会《公开发行证券的公司信息披露编报规则第</w:t>
      </w:r>
      <w:r>
        <w:rPr>
          <w:rFonts w:hint="default" w:ascii="宋体" w:hAnsi="宋体" w:eastAsia="宋体" w:cs="宋体"/>
          <w:color w:val="000000"/>
          <w:sz w:val="21"/>
          <w:szCs w:val="21"/>
        </w:rPr>
        <w:t xml:space="preserve">15 </w:t>
      </w:r>
      <w:r>
        <w:rPr>
          <w:rFonts w:hint="eastAsia" w:ascii="宋体" w:hAnsi="宋体" w:eastAsia="宋体" w:cs="宋体"/>
          <w:color w:val="000000"/>
          <w:sz w:val="21"/>
          <w:szCs w:val="21"/>
        </w:rPr>
        <w:t>号</w:t>
      </w:r>
      <w:r>
        <w:rPr>
          <w:rFonts w:hint="default" w:ascii="宋体" w:hAnsi="宋体" w:eastAsia="宋体" w:cs="宋体"/>
          <w:color w:val="000000"/>
          <w:sz w:val="21"/>
          <w:szCs w:val="21"/>
        </w:rPr>
        <w:t>——</w:t>
      </w:r>
      <w:r>
        <w:rPr>
          <w:rFonts w:hint="eastAsia" w:ascii="宋体" w:hAnsi="宋体" w:eastAsia="宋体" w:cs="宋体"/>
          <w:color w:val="000000"/>
          <w:sz w:val="21"/>
          <w:szCs w:val="21"/>
        </w:rPr>
        <w:t>财务报告的一般规定》的相关规定编制。</w:t>
      </w:r>
    </w:p>
    <w:p>
      <w:pPr>
        <w:keepNext/>
        <w:keepLines/>
        <w:pageBreakBefore w:val="0"/>
        <w:kinsoku/>
        <w:wordWrap/>
        <w:overflowPunct/>
        <w:topLinePunct w:val="0"/>
        <w:autoSpaceDE/>
        <w:autoSpaceDN/>
        <w:bidi w:val="0"/>
        <w:adjustRightInd/>
        <w:snapToGrid/>
        <w:spacing w:before="240" w:beforeAutospacing="0" w:after="120" w:afterAutospacing="0" w:line="280" w:lineRule="exact"/>
        <w:jc w:val="left"/>
        <w:textAlignment w:val="auto"/>
        <w:outlineLvl w:val="2"/>
        <w:rPr>
          <w:rFonts w:ascii="宋体" w:hAnsi="宋体" w:eastAsia="宋体" w:cs="宋体"/>
          <w:b/>
          <w:bCs/>
          <w:sz w:val="21"/>
          <w:szCs w:val="21"/>
        </w:rPr>
      </w:pPr>
      <w:bookmarkStart w:id="177" w:name="_Toc989050"/>
      <w:r>
        <w:rPr>
          <w:rFonts w:hint="eastAsia" w:ascii="宋体" w:hAnsi="宋体" w:cs="宋体"/>
          <w:b/>
          <w:bCs/>
          <w:sz w:val="21"/>
          <w:szCs w:val="21"/>
          <w:lang w:eastAsia="zh-CN"/>
        </w:rPr>
        <w:t>（二）</w:t>
      </w:r>
      <w:r>
        <w:rPr>
          <w:rFonts w:ascii="宋体" w:hAnsi="宋体" w:eastAsia="宋体" w:cs="宋体"/>
          <w:b/>
          <w:bCs/>
          <w:sz w:val="21"/>
          <w:szCs w:val="21"/>
        </w:rPr>
        <w:t>持续经营</w:t>
      </w:r>
      <w:bookmarkEnd w:id="177"/>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120" w:afterAutospacing="0"/>
        <w:ind w:left="0" w:right="0" w:firstLine="420" w:firstLineChars="200"/>
        <w:textAlignment w:val="auto"/>
      </w:pPr>
      <w:r>
        <w:rPr>
          <w:rFonts w:hint="eastAsia" w:ascii="宋体" w:hAnsi="宋体" w:eastAsia="宋体" w:cs="宋体"/>
          <w:color w:val="000000"/>
          <w:sz w:val="21"/>
          <w:szCs w:val="21"/>
        </w:rPr>
        <w:t>本财务报表以持续经营为基础编制。</w:t>
      </w:r>
    </w:p>
    <w:p>
      <w:pPr>
        <w:keepNext/>
        <w:keepLines/>
        <w:spacing w:before="300" w:after="300" w:line="560" w:lineRule="exact"/>
        <w:jc w:val="left"/>
        <w:outlineLvl w:val="1"/>
        <w:rPr>
          <w:rFonts w:ascii="宋体" w:hAnsi="宋体" w:eastAsia="宋体" w:cs="宋体"/>
          <w:b/>
          <w:bCs/>
          <w:sz w:val="24"/>
          <w:szCs w:val="24"/>
        </w:rPr>
      </w:pPr>
      <w:bookmarkStart w:id="178" w:name="_Toc989051"/>
      <w:r>
        <w:rPr>
          <w:rFonts w:ascii="宋体" w:hAnsi="宋体" w:eastAsia="宋体" w:cs="宋体"/>
          <w:b/>
          <w:bCs/>
          <w:sz w:val="24"/>
          <w:szCs w:val="24"/>
        </w:rPr>
        <w:t>五、重要会计政策及会计估计</w:t>
      </w:r>
      <w:bookmarkEnd w:id="178"/>
    </w:p>
    <w:p>
      <w:pPr>
        <w:spacing w:before="100" w:after="100" w:line="240" w:lineRule="exact"/>
        <w:jc w:val="left"/>
        <w:rPr>
          <w:rFonts w:ascii="宋体" w:hAnsi="宋体" w:eastAsia="宋体" w:cs="宋体"/>
          <w:sz w:val="18"/>
          <w:szCs w:val="18"/>
        </w:rPr>
      </w:pPr>
      <w:r>
        <w:rPr>
          <w:rFonts w:ascii="宋体" w:hAnsi="宋体" w:eastAsia="宋体" w:cs="宋体"/>
          <w:sz w:val="18"/>
          <w:szCs w:val="18"/>
        </w:rPr>
        <w:t>具体会计政策和会计估计提示：</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sz w:val="21"/>
          <w:szCs w:val="21"/>
        </w:rPr>
        <w:t>本公司根据实际生产经营特点制定了应收款项、固定资产、无形资产、收入确认等具体会计政策和会计估计。</w:t>
      </w:r>
    </w:p>
    <w:p>
      <w:pPr>
        <w:keepNext/>
        <w:keepLines/>
        <w:spacing w:before="300" w:after="300" w:line="280" w:lineRule="exact"/>
        <w:jc w:val="left"/>
        <w:outlineLvl w:val="2"/>
        <w:rPr>
          <w:rFonts w:ascii="宋体" w:hAnsi="宋体" w:eastAsia="宋体" w:cs="宋体"/>
          <w:b/>
          <w:bCs/>
          <w:sz w:val="21"/>
          <w:szCs w:val="21"/>
        </w:rPr>
      </w:pPr>
      <w:bookmarkStart w:id="179" w:name="_Toc989052"/>
      <w:r>
        <w:rPr>
          <w:rFonts w:hint="eastAsia" w:ascii="宋体" w:hAnsi="宋体" w:cs="宋体"/>
          <w:b/>
          <w:bCs/>
          <w:sz w:val="21"/>
          <w:szCs w:val="21"/>
          <w:lang w:eastAsia="zh-CN"/>
        </w:rPr>
        <w:t>（一）</w:t>
      </w:r>
      <w:r>
        <w:rPr>
          <w:rFonts w:ascii="宋体" w:hAnsi="宋体" w:eastAsia="宋体" w:cs="宋体"/>
          <w:b/>
          <w:bCs/>
          <w:sz w:val="21"/>
          <w:szCs w:val="21"/>
        </w:rPr>
        <w:t>遵循企业会计准则的声明</w:t>
      </w:r>
      <w:bookmarkEnd w:id="179"/>
    </w:p>
    <w:p>
      <w:pPr>
        <w:pStyle w:val="4"/>
        <w:keepNext w:val="0"/>
        <w:keepLines w:val="0"/>
        <w:widowControl/>
        <w:suppressLineNumbers w:val="0"/>
        <w:spacing w:before="0" w:beforeAutospacing="1" w:after="0" w:afterAutospacing="1"/>
        <w:ind w:left="0" w:right="0" w:firstLine="420" w:firstLineChars="200"/>
      </w:pPr>
      <w:r>
        <w:rPr>
          <w:rFonts w:hint="eastAsia" w:ascii="宋体" w:hAnsi="宋体" w:eastAsia="宋体" w:cs="宋体"/>
          <w:color w:val="000000"/>
          <w:sz w:val="21"/>
          <w:szCs w:val="21"/>
        </w:rPr>
        <w:t>本财务报表符合财政部颁布的企业会计准则的要求，真实、完整地反映了本公司</w:t>
      </w:r>
      <w:r>
        <w:rPr>
          <w:rFonts w:hint="default" w:ascii="Times New Roman" w:hAnsi="Times New Roman" w:eastAsia="宋体" w:cs="Times New Roman"/>
          <w:color w:val="000000"/>
          <w:sz w:val="21"/>
          <w:szCs w:val="21"/>
        </w:rPr>
        <w:t>2024</w:t>
      </w:r>
      <w:r>
        <w:rPr>
          <w:rFonts w:hint="eastAsia" w:ascii="宋体" w:hAnsi="宋体" w:eastAsia="宋体" w:cs="宋体"/>
          <w:color w:val="000000"/>
          <w:sz w:val="21"/>
          <w:szCs w:val="21"/>
        </w:rPr>
        <w:t>年</w:t>
      </w:r>
      <w:r>
        <w:rPr>
          <w:rFonts w:hint="default" w:ascii="Times New Roman" w:hAnsi="Times New Roman" w:eastAsia="宋体" w:cs="Times New Roman"/>
          <w:color w:val="000000"/>
          <w:sz w:val="21"/>
          <w:szCs w:val="21"/>
        </w:rPr>
        <w:t>12</w:t>
      </w:r>
      <w:r>
        <w:rPr>
          <w:rFonts w:hint="eastAsia" w:ascii="宋体" w:hAnsi="宋体" w:eastAsia="宋体" w:cs="宋体"/>
          <w:color w:val="000000"/>
          <w:sz w:val="21"/>
          <w:szCs w:val="21"/>
        </w:rPr>
        <w:t>月</w:t>
      </w:r>
      <w:r>
        <w:rPr>
          <w:rFonts w:hint="default" w:ascii="Times New Roman" w:hAnsi="Times New Roman" w:eastAsia="宋体" w:cs="Times New Roman"/>
          <w:color w:val="000000"/>
          <w:sz w:val="21"/>
          <w:szCs w:val="21"/>
        </w:rPr>
        <w:t>31</w:t>
      </w:r>
      <w:r>
        <w:rPr>
          <w:rFonts w:hint="eastAsia" w:ascii="宋体" w:hAnsi="宋体" w:eastAsia="宋体" w:cs="宋体"/>
          <w:color w:val="000000"/>
          <w:sz w:val="21"/>
          <w:szCs w:val="21"/>
        </w:rPr>
        <w:t>日的合并及母公司财务状况以及</w:t>
      </w:r>
      <w:r>
        <w:rPr>
          <w:rFonts w:hint="default" w:ascii="Times New Roman" w:hAnsi="Times New Roman" w:eastAsia="宋体" w:cs="Times New Roman"/>
          <w:color w:val="000000"/>
          <w:sz w:val="21"/>
          <w:szCs w:val="21"/>
        </w:rPr>
        <w:t>2024</w:t>
      </w:r>
      <w:r>
        <w:rPr>
          <w:rFonts w:hint="eastAsia" w:ascii="宋体" w:hAnsi="宋体" w:eastAsia="宋体" w:cs="宋体"/>
          <w:color w:val="000000"/>
          <w:sz w:val="21"/>
          <w:szCs w:val="21"/>
        </w:rPr>
        <w:t>年度的合并及母公司经营成果和现金流量。</w:t>
      </w:r>
    </w:p>
    <w:p>
      <w:pPr>
        <w:keepNext/>
        <w:keepLines/>
        <w:spacing w:before="300" w:after="300" w:line="280" w:lineRule="exact"/>
        <w:jc w:val="left"/>
        <w:outlineLvl w:val="2"/>
        <w:rPr>
          <w:rFonts w:ascii="宋体" w:hAnsi="宋体" w:eastAsia="宋体" w:cs="宋体"/>
          <w:b/>
          <w:bCs/>
          <w:sz w:val="21"/>
          <w:szCs w:val="21"/>
        </w:rPr>
      </w:pPr>
      <w:bookmarkStart w:id="180" w:name="_Toc989053"/>
      <w:r>
        <w:rPr>
          <w:rFonts w:hint="eastAsia" w:ascii="宋体" w:hAnsi="宋体" w:cs="宋体"/>
          <w:b/>
          <w:bCs/>
          <w:sz w:val="21"/>
          <w:szCs w:val="21"/>
          <w:lang w:eastAsia="zh-CN"/>
        </w:rPr>
        <w:t>（二）</w:t>
      </w:r>
      <w:r>
        <w:rPr>
          <w:rFonts w:ascii="宋体" w:hAnsi="宋体" w:eastAsia="宋体" w:cs="宋体"/>
          <w:b/>
          <w:bCs/>
          <w:sz w:val="21"/>
          <w:szCs w:val="21"/>
        </w:rPr>
        <w:t>会计期间</w:t>
      </w:r>
      <w:bookmarkEnd w:id="180"/>
    </w:p>
    <w:p>
      <w:pPr>
        <w:pStyle w:val="4"/>
        <w:keepNext w:val="0"/>
        <w:keepLines w:val="0"/>
        <w:widowControl/>
        <w:suppressLineNumbers w:val="0"/>
        <w:spacing w:before="0" w:beforeAutospacing="1" w:after="0" w:afterAutospacing="1"/>
        <w:ind w:left="0" w:right="0" w:firstLine="420" w:firstLineChars="200"/>
      </w:pPr>
      <w:r>
        <w:rPr>
          <w:rFonts w:hint="eastAsia" w:ascii="宋体" w:hAnsi="宋体" w:eastAsia="宋体" w:cs="宋体"/>
          <w:color w:val="000000"/>
          <w:sz w:val="21"/>
          <w:szCs w:val="21"/>
        </w:rPr>
        <w:t>自公历</w:t>
      </w:r>
      <w:r>
        <w:rPr>
          <w:rFonts w:hint="default" w:ascii="Times New Roman" w:hAnsi="Times New Roman" w:eastAsia="宋体" w:cs="Times New Roman"/>
          <w:color w:val="000000"/>
          <w:sz w:val="21"/>
          <w:szCs w:val="21"/>
        </w:rPr>
        <w:t>1</w:t>
      </w:r>
      <w:r>
        <w:rPr>
          <w:rFonts w:hint="eastAsia" w:ascii="宋体" w:hAnsi="宋体" w:eastAsia="宋体" w:cs="宋体"/>
          <w:color w:val="000000"/>
          <w:sz w:val="21"/>
          <w:szCs w:val="21"/>
        </w:rPr>
        <w:t>月</w:t>
      </w:r>
      <w:r>
        <w:rPr>
          <w:rFonts w:hint="default" w:ascii="Times New Roman" w:hAnsi="Times New Roman" w:eastAsia="宋体" w:cs="Times New Roman"/>
          <w:color w:val="000000"/>
          <w:sz w:val="21"/>
          <w:szCs w:val="21"/>
        </w:rPr>
        <w:t>1</w:t>
      </w:r>
      <w:r>
        <w:rPr>
          <w:rFonts w:hint="eastAsia" w:ascii="宋体" w:hAnsi="宋体" w:eastAsia="宋体" w:cs="宋体"/>
          <w:color w:val="000000"/>
          <w:sz w:val="21"/>
          <w:szCs w:val="21"/>
        </w:rPr>
        <w:t>日起至</w:t>
      </w:r>
      <w:r>
        <w:rPr>
          <w:rFonts w:hint="default" w:ascii="Times New Roman" w:hAnsi="Times New Roman" w:eastAsia="宋体" w:cs="Times New Roman"/>
          <w:color w:val="000000"/>
          <w:sz w:val="21"/>
          <w:szCs w:val="21"/>
        </w:rPr>
        <w:t>12</w:t>
      </w:r>
      <w:r>
        <w:rPr>
          <w:rFonts w:hint="eastAsia" w:ascii="宋体" w:hAnsi="宋体" w:eastAsia="宋体" w:cs="宋体"/>
          <w:color w:val="000000"/>
          <w:sz w:val="21"/>
          <w:szCs w:val="21"/>
        </w:rPr>
        <w:t>月</w:t>
      </w:r>
      <w:r>
        <w:rPr>
          <w:rFonts w:hint="default" w:ascii="Times New Roman" w:hAnsi="Times New Roman" w:eastAsia="宋体" w:cs="Times New Roman"/>
          <w:color w:val="000000"/>
          <w:sz w:val="21"/>
          <w:szCs w:val="21"/>
        </w:rPr>
        <w:t>31</w:t>
      </w:r>
      <w:r>
        <w:rPr>
          <w:rFonts w:hint="eastAsia" w:ascii="宋体" w:hAnsi="宋体" w:eastAsia="宋体" w:cs="宋体"/>
          <w:color w:val="000000"/>
          <w:sz w:val="21"/>
          <w:szCs w:val="21"/>
        </w:rPr>
        <w:t>日止为一个会计年度。</w:t>
      </w:r>
    </w:p>
    <w:p>
      <w:pPr>
        <w:keepNext/>
        <w:keepLines/>
        <w:spacing w:before="300" w:after="300" w:line="280" w:lineRule="exact"/>
        <w:jc w:val="left"/>
        <w:outlineLvl w:val="2"/>
        <w:rPr>
          <w:rFonts w:ascii="宋体" w:hAnsi="宋体" w:eastAsia="宋体" w:cs="宋体"/>
          <w:b/>
          <w:bCs/>
          <w:sz w:val="21"/>
          <w:szCs w:val="21"/>
        </w:rPr>
      </w:pPr>
      <w:bookmarkStart w:id="181" w:name="_Toc989054"/>
      <w:r>
        <w:rPr>
          <w:rFonts w:hint="eastAsia" w:ascii="宋体" w:hAnsi="宋体" w:cs="宋体"/>
          <w:b/>
          <w:bCs/>
          <w:sz w:val="21"/>
          <w:szCs w:val="21"/>
          <w:lang w:eastAsia="zh-CN"/>
        </w:rPr>
        <w:t>（三）</w:t>
      </w:r>
      <w:r>
        <w:rPr>
          <w:rFonts w:ascii="宋体" w:hAnsi="宋体" w:eastAsia="宋体" w:cs="宋体"/>
          <w:b/>
          <w:bCs/>
          <w:sz w:val="21"/>
          <w:szCs w:val="21"/>
        </w:rPr>
        <w:t>营业周期</w:t>
      </w:r>
      <w:bookmarkEnd w:id="181"/>
    </w:p>
    <w:p>
      <w:pPr>
        <w:pStyle w:val="4"/>
        <w:keepNext w:val="0"/>
        <w:keepLines w:val="0"/>
        <w:widowControl/>
        <w:suppressLineNumbers w:val="0"/>
        <w:spacing w:before="0" w:beforeAutospacing="1" w:after="0" w:afterAutospacing="1"/>
        <w:ind w:left="0" w:right="0" w:firstLine="420" w:firstLineChars="200"/>
      </w:pPr>
      <w:r>
        <w:rPr>
          <w:rFonts w:hint="eastAsia" w:ascii="宋体" w:hAnsi="宋体" w:eastAsia="宋体" w:cs="宋体"/>
          <w:color w:val="000000"/>
          <w:sz w:val="21"/>
          <w:szCs w:val="21"/>
        </w:rPr>
        <w:t>本公司营业周期为</w:t>
      </w:r>
      <w:r>
        <w:rPr>
          <w:rFonts w:hint="default" w:ascii="Times New Roman" w:hAnsi="Times New Roman" w:eastAsia="宋体" w:cs="Times New Roman"/>
          <w:color w:val="000000"/>
          <w:sz w:val="21"/>
          <w:szCs w:val="21"/>
        </w:rPr>
        <w:t>12</w:t>
      </w:r>
      <w:r>
        <w:rPr>
          <w:rFonts w:hint="eastAsia" w:ascii="宋体" w:hAnsi="宋体" w:eastAsia="宋体" w:cs="宋体"/>
          <w:color w:val="000000"/>
          <w:sz w:val="21"/>
          <w:szCs w:val="21"/>
        </w:rPr>
        <w:t>个月。</w:t>
      </w:r>
    </w:p>
    <w:p>
      <w:pPr>
        <w:keepNext/>
        <w:keepLines/>
        <w:spacing w:before="300" w:after="300" w:line="280" w:lineRule="exact"/>
        <w:jc w:val="left"/>
        <w:outlineLvl w:val="2"/>
        <w:rPr>
          <w:rFonts w:ascii="宋体" w:hAnsi="宋体" w:eastAsia="宋体" w:cs="宋体"/>
          <w:b/>
          <w:bCs/>
          <w:sz w:val="21"/>
          <w:szCs w:val="21"/>
        </w:rPr>
      </w:pPr>
      <w:bookmarkStart w:id="182" w:name="_Toc989055"/>
      <w:r>
        <w:rPr>
          <w:rFonts w:hint="eastAsia" w:ascii="宋体" w:hAnsi="宋体" w:cs="宋体"/>
          <w:b/>
          <w:bCs/>
          <w:sz w:val="21"/>
          <w:szCs w:val="21"/>
          <w:lang w:eastAsia="zh-CN"/>
        </w:rPr>
        <w:t>（四）</w:t>
      </w:r>
      <w:r>
        <w:rPr>
          <w:rFonts w:ascii="宋体" w:hAnsi="宋体" w:eastAsia="宋体" w:cs="宋体"/>
          <w:b/>
          <w:bCs/>
          <w:sz w:val="21"/>
          <w:szCs w:val="21"/>
        </w:rPr>
        <w:t>记账本位币</w:t>
      </w:r>
      <w:bookmarkEnd w:id="182"/>
    </w:p>
    <w:p>
      <w:pPr>
        <w:pStyle w:val="4"/>
        <w:keepNext w:val="0"/>
        <w:keepLines w:val="0"/>
        <w:widowControl/>
        <w:suppressLineNumbers w:val="0"/>
        <w:spacing w:before="0" w:beforeAutospacing="1" w:after="0" w:afterAutospacing="1"/>
        <w:ind w:left="0" w:right="0" w:firstLine="420" w:firstLineChars="200"/>
      </w:pPr>
      <w:r>
        <w:rPr>
          <w:rFonts w:hint="eastAsia" w:ascii="宋体" w:hAnsi="宋体" w:eastAsia="宋体" w:cs="宋体"/>
          <w:color w:val="000000"/>
          <w:sz w:val="21"/>
          <w:szCs w:val="21"/>
        </w:rPr>
        <w:t>本公司采用人民币为记账本位币。</w:t>
      </w:r>
    </w:p>
    <w:p>
      <w:pPr>
        <w:keepNext/>
        <w:keepLines/>
        <w:spacing w:before="300" w:after="300" w:line="280" w:lineRule="exact"/>
        <w:jc w:val="left"/>
        <w:outlineLvl w:val="2"/>
        <w:rPr>
          <w:rFonts w:ascii="宋体" w:hAnsi="宋体" w:eastAsia="宋体" w:cs="宋体"/>
          <w:b/>
          <w:bCs/>
          <w:sz w:val="21"/>
          <w:szCs w:val="21"/>
        </w:rPr>
      </w:pPr>
      <w:bookmarkStart w:id="183" w:name="_Toc989056"/>
      <w:r>
        <w:rPr>
          <w:rFonts w:hint="eastAsia" w:ascii="宋体" w:hAnsi="宋体" w:cs="宋体"/>
          <w:b/>
          <w:bCs/>
          <w:sz w:val="21"/>
          <w:szCs w:val="21"/>
          <w:lang w:eastAsia="zh-CN"/>
        </w:rPr>
        <w:t>（五）</w:t>
      </w:r>
      <w:r>
        <w:rPr>
          <w:rFonts w:ascii="宋体" w:hAnsi="宋体" w:eastAsia="宋体" w:cs="宋体"/>
          <w:b/>
          <w:bCs/>
          <w:sz w:val="21"/>
          <w:szCs w:val="21"/>
        </w:rPr>
        <w:t>重要性标准确定方法和选择依据</w:t>
      </w:r>
      <w:bookmarkEnd w:id="183"/>
    </w:p>
    <w:p>
      <w:pPr>
        <w:spacing w:before="100" w:after="100" w:line="240" w:lineRule="exact"/>
        <w:ind w:firstLine="360" w:firstLineChars="200"/>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2"/>
        <w:rPr>
          <w:rFonts w:ascii="宋体" w:hAnsi="宋体" w:eastAsia="宋体" w:cs="宋体"/>
          <w:b/>
          <w:bCs/>
          <w:sz w:val="21"/>
          <w:szCs w:val="21"/>
        </w:rPr>
      </w:pPr>
      <w:bookmarkStart w:id="184" w:name="_Toc989057"/>
      <w:r>
        <w:rPr>
          <w:rFonts w:hint="eastAsia" w:ascii="宋体" w:hAnsi="宋体" w:cs="宋体"/>
          <w:b/>
          <w:bCs/>
          <w:sz w:val="21"/>
          <w:szCs w:val="21"/>
          <w:lang w:eastAsia="zh-CN"/>
        </w:rPr>
        <w:t>（六）</w:t>
      </w:r>
      <w:r>
        <w:rPr>
          <w:rFonts w:ascii="宋体" w:hAnsi="宋体" w:eastAsia="宋体" w:cs="宋体"/>
          <w:b/>
          <w:bCs/>
          <w:sz w:val="21"/>
          <w:szCs w:val="21"/>
        </w:rPr>
        <w:t>同一控制下和非同一控制下企业合并的会计处理方法</w:t>
      </w:r>
      <w:bookmarkEnd w:id="184"/>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default" w:ascii="Times New Roman" w:hAnsi="Times New Roman" w:eastAsia="宋体" w:cs="Times New Roman"/>
          <w:color w:val="000000"/>
          <w:sz w:val="21"/>
          <w:szCs w:val="21"/>
        </w:rPr>
      </w:pPr>
      <w:bookmarkStart w:id="185" w:name="OLE_LINK28"/>
      <w:r>
        <w:rPr>
          <w:rFonts w:hint="eastAsia" w:ascii="Times New Roman" w:hAnsi="Times New Roman" w:eastAsia="宋体" w:cs="Times New Roman"/>
          <w:color w:val="000000"/>
          <w:sz w:val="21"/>
          <w:szCs w:val="21"/>
        </w:rPr>
        <w:t>同一控制下企业合并：合并方在企业合并中取得的资产和负债（包括最终控制方收购被合并方而形成的商誉），按照合并日被合并方资产、负债在最终控制方合并财务报表中的账面价值为基础计量。在合并中取得的净资产账面价值与支付的合并对价账面价值（或发行股份面值总额）的差额，调整资本公积中的股本溢价，资本公积中的股本溢价不足冲减的，调整留存收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default"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非同一控制下企业合并：合并成本为购买方在购买日为取得被购买方的控制权而付出的资产、发生或承担的负债以及发行的权益性证券的公允价值。合并成本大于合并中取得的被购买方可辨认净资产公允价值份额的差额，确认为商誉；合并成本小于合并中取得的被购买方可辨认净资产公允价值份额的差额，计入当期损益。在合并中取得的被购买方符合确认条件的各项可辨认资产、负债及或有负债在购买日按公允价值计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default"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为企业合并发生的直接相关费用于发生时计入当期损益；为企业合并而发行权益性证券或债务性证券的交易费用，计入权益性证券或债务性证券的初始确认金额。</w:t>
      </w:r>
      <w:bookmarkEnd w:id="185"/>
      <w:r>
        <w:rPr>
          <w:rFonts w:hint="default" w:ascii="Times New Roman" w:hAnsi="Times New Roman" w:eastAsia="宋体" w:cs="Times New Roman"/>
          <w:color w:val="000000"/>
          <w:sz w:val="21"/>
          <w:szCs w:val="21"/>
        </w:rPr>
        <w:t> </w:t>
      </w:r>
    </w:p>
    <w:p>
      <w:pPr>
        <w:keepNext/>
        <w:keepLines/>
        <w:spacing w:before="300" w:after="300" w:line="280" w:lineRule="exact"/>
        <w:jc w:val="left"/>
        <w:outlineLvl w:val="2"/>
        <w:rPr>
          <w:rFonts w:ascii="宋体" w:hAnsi="宋体" w:eastAsia="宋体" w:cs="宋体"/>
          <w:b/>
          <w:bCs/>
          <w:sz w:val="21"/>
          <w:szCs w:val="21"/>
        </w:rPr>
      </w:pPr>
      <w:bookmarkStart w:id="186" w:name="_Toc989058"/>
      <w:r>
        <w:rPr>
          <w:rFonts w:hint="eastAsia" w:ascii="宋体" w:hAnsi="宋体" w:cs="宋体"/>
          <w:b/>
          <w:bCs/>
          <w:sz w:val="21"/>
          <w:szCs w:val="21"/>
          <w:lang w:eastAsia="zh-CN"/>
        </w:rPr>
        <w:t>（七）</w:t>
      </w:r>
      <w:r>
        <w:rPr>
          <w:rFonts w:ascii="宋体" w:hAnsi="宋体" w:eastAsia="宋体" w:cs="宋体"/>
          <w:b/>
          <w:bCs/>
          <w:sz w:val="21"/>
          <w:szCs w:val="21"/>
        </w:rPr>
        <w:t>控制的判断标准和合并财务报表的编制方法</w:t>
      </w:r>
      <w:bookmarkEnd w:id="186"/>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outlineLvl w:val="3"/>
        <w:rPr>
          <w:rFonts w:hint="eastAsia" w:ascii="Times New Roman" w:hAnsi="Times New Roman" w:eastAsia="宋体" w:cs="Times New Roman"/>
          <w:color w:val="000000"/>
          <w:sz w:val="21"/>
          <w:szCs w:val="21"/>
        </w:rPr>
      </w:pPr>
      <w:bookmarkStart w:id="187" w:name="OLE_LINK27"/>
      <w:r>
        <w:rPr>
          <w:rFonts w:hint="eastAsia" w:ascii="Times New Roman" w:hAnsi="Times New Roman" w:eastAsia="宋体" w:cs="Times New Roman"/>
          <w:color w:val="000000"/>
          <w:sz w:val="21"/>
          <w:szCs w:val="21"/>
          <w:lang w:val="en-US" w:eastAsia="zh-CN"/>
        </w:rPr>
        <w:t>1.</w:t>
      </w:r>
      <w:r>
        <w:rPr>
          <w:rFonts w:hint="eastAsia" w:ascii="Times New Roman" w:hAnsi="Times New Roman" w:eastAsia="宋体" w:cs="Times New Roman"/>
          <w:color w:val="000000"/>
          <w:sz w:val="21"/>
          <w:szCs w:val="21"/>
        </w:rPr>
        <w:t>控制的判断标准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合并财务报表的合并范围以控制为基础确定，合并范围包括本公司及全部子公司。控制，是指公司拥有对被投资方的权力，通过参与被投资方的相关活动而享有可变回报，并且有能力运用对被投资方的权力影响其回报金额。</w:t>
      </w:r>
      <w:r>
        <w:rPr>
          <w:rFonts w:hint="default" w:ascii="Times New Roman" w:hAnsi="Times New Roman" w:eastAsia="宋体" w:cs="Times New Roman"/>
          <w:color w:val="000000"/>
          <w:sz w:val="21"/>
          <w:szCs w:val="21"/>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outlineLvl w:val="3"/>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2. 合并程序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本公司将整个企业集团视为一个会计主体，按照统一的会计政策编制合并财务报表，反映本企业集团整体财务状况、经营成果和现金流量。本公司与子公司、子公司相互之间发生的内部交易的影响予以抵销。内部交易表明相关资产发生减值损失的，全额确认该部分损失。如子公司采用的会计政策、会计期间与本公司不一致的，在编制合并财务报表时，按本公司的会计政策、会计期间进行必要的调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子公司所有者权益、当期净损益和当期综合收益中属于少数股东的份额分别在合并资产负债表中所有者权益项目下、合并利润表中净利润项目下和综合收益总额项目下单独列示。子公司少数股东分担的当期亏损超过了少数股东在该子公司期初所有者权益中所享有份额而形成的余额，冲减少数股东权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w:t>
      </w:r>
      <w:r>
        <w:rPr>
          <w:rFonts w:hint="default" w:ascii="Times New Roman" w:hAnsi="Times New Roman" w:eastAsia="宋体" w:cs="Times New Roman"/>
          <w:color w:val="000000"/>
          <w:sz w:val="21"/>
          <w:szCs w:val="21"/>
        </w:rPr>
        <w:t>1</w:t>
      </w:r>
      <w:r>
        <w:rPr>
          <w:rFonts w:hint="eastAsia" w:ascii="Times New Roman" w:hAnsi="Times New Roman" w:eastAsia="宋体" w:cs="Times New Roman"/>
          <w:color w:val="000000"/>
          <w:sz w:val="21"/>
          <w:szCs w:val="21"/>
        </w:rPr>
        <w:t>）增加子公司或业务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在报告期内，因同一控制下企业合并增加子公司或业务的，将子公司或业务合并当期期初至报告期末的经营成果和现金流量纳入合并财务报表，同时对合并财务报表的期初数和比较报表的相关项目进行调整，视同合并后的报告主体自最终控制方开始控制时点起一直存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因追加投资等原因能够对同一控制下的被投资方实施控制的，在取得被合并方控制权之前持有的股权投资，在取得原股权之日与合并方和被合并方同处于同一控制之日孰晚日起至合并日之间已确认有关损益、其他综合收益以及其他净资产变动，分别冲减比较报表期间的期初留存收益或当期损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在报告期内，因非同一控制下企业合并增加子公司或业务的，以购买日确定的各项可辨认资产、负债及或有负债的公允价值为基础自购买日起纳入合并财务报表。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因追加投资等原因能够对非同一控制下的被投资方实施控制的，对于购买日之前持有的被购买方的股权，按照该股权在购买日的公允价值进行重新计量，公允价值与其账面价值的差额计入当期投资收益。购买日之前持有的被购买方的股权涉及的以后可重分类进损益的其他综合收益、权益法核算下的其他所有者权益变动转为购买日所属当期投资收益。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w:t>
      </w:r>
      <w:r>
        <w:rPr>
          <w:rFonts w:hint="default" w:ascii="Times New Roman" w:hAnsi="Times New Roman" w:eastAsia="宋体" w:cs="Times New Roman"/>
          <w:color w:val="000000"/>
          <w:sz w:val="21"/>
          <w:szCs w:val="21"/>
        </w:rPr>
        <w:t>2</w:t>
      </w:r>
      <w:r>
        <w:rPr>
          <w:rFonts w:hint="eastAsia" w:ascii="Times New Roman" w:hAnsi="Times New Roman" w:eastAsia="宋体" w:cs="Times New Roman"/>
          <w:color w:val="000000"/>
          <w:sz w:val="21"/>
          <w:szCs w:val="21"/>
        </w:rPr>
        <w:t>）处置子公司</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outlineLvl w:val="9"/>
        <w:rPr>
          <w:rFonts w:hint="eastAsia" w:ascii="Times New Roman" w:hAnsi="Times New Roman" w:eastAsia="宋体" w:cs="Times New Roman"/>
          <w:color w:val="000000"/>
          <w:sz w:val="21"/>
          <w:szCs w:val="21"/>
        </w:rPr>
      </w:pPr>
      <w:r>
        <w:rPr>
          <w:rFonts w:hint="eastAsia" w:cs="Times New Roman"/>
          <w:color w:val="000000"/>
          <w:sz w:val="21"/>
          <w:szCs w:val="21"/>
          <w:lang w:val="en-US" w:eastAsia="zh-CN"/>
        </w:rPr>
        <w:t>1）</w:t>
      </w:r>
      <w:r>
        <w:rPr>
          <w:rFonts w:hint="eastAsia" w:ascii="Times New Roman" w:hAnsi="Times New Roman" w:eastAsia="宋体" w:cs="Times New Roman"/>
          <w:color w:val="000000"/>
          <w:sz w:val="21"/>
          <w:szCs w:val="21"/>
        </w:rPr>
        <w:t>一般处理方法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因处置部分股权投资或其他原因丧失了对被投资方控制权时，对于处置后的剩余股权投资，按照其在丧失控制权日的公允价值进行重新计量。处置股权取得的对价与剩余股权公允价值之和，减去按原持股比例计算应享有原有子公司自购买日或合并日开始持续计算的净资产的份额与商誉之和的差额，计入丧失控制权当期的投资收益。与原有子公司股权投资相关的以后可重分类进损益的其他综合收益、权益法核算下的其他所有者权益变动，在丧失控制权时转为当期投资收益。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Times New Roman" w:hAnsi="Times New Roman" w:eastAsia="宋体" w:cs="Times New Roman"/>
          <w:color w:val="000000"/>
          <w:sz w:val="21"/>
          <w:szCs w:val="21"/>
        </w:rPr>
      </w:pPr>
      <w:r>
        <w:rPr>
          <w:rFonts w:hint="eastAsia" w:cs="Times New Roman"/>
          <w:color w:val="000000"/>
          <w:sz w:val="21"/>
          <w:szCs w:val="21"/>
          <w:lang w:val="en-US" w:eastAsia="zh-CN"/>
        </w:rPr>
        <w:t>2）</w:t>
      </w:r>
      <w:r>
        <w:rPr>
          <w:rFonts w:hint="eastAsia" w:ascii="Times New Roman" w:hAnsi="Times New Roman" w:eastAsia="宋体" w:cs="Times New Roman"/>
          <w:color w:val="000000"/>
          <w:sz w:val="21"/>
          <w:szCs w:val="21"/>
        </w:rPr>
        <w:t>分步处置子公司</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通过多次交易分步处置对子公司股权投资直至丧失控制权的，处置对子公司股权投资的各项交易的条款、条件以及经济影响符合以下一种或多种情况，通常表明该多次交易事项为一揽子交易：</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ⅰ．这些交易是同时或者在考虑了彼此影响的情况下订立的；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ⅱ．这些交易整体才能达成一项完整的商业结果；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ⅲ．一项交易的发生取决于其他至少一项交易的发生；</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ⅳ．一项交易单独看是不经济的，但是和其他交易一并考虑时是经济的。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各项交易属于一揽子交易的，将各项交易作为一项处置子公司并丧失控制权的交易进行会计处理；在丧失控制权之前每一次处置价款与处置投资对应的享有该子公司净资产份额的差额，在合并财务报表中确认为其他综合收益，在丧失控制权时一并转入丧失控制权当期的损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各项交易不属于一揽子交易的，在丧失控制权之前，按不丧失控制权的情况下部分处置对子公司的股权投资进行会计处理；在丧失控制权时，按处置子公司一般处理方法进行会计处理。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w:t>
      </w:r>
      <w:r>
        <w:rPr>
          <w:rFonts w:hint="default" w:ascii="Times New Roman" w:hAnsi="Times New Roman" w:eastAsia="宋体" w:cs="Times New Roman"/>
          <w:color w:val="000000"/>
          <w:sz w:val="21"/>
          <w:szCs w:val="21"/>
        </w:rPr>
        <w:t>3</w:t>
      </w:r>
      <w:r>
        <w:rPr>
          <w:rFonts w:hint="eastAsia" w:ascii="Times New Roman" w:hAnsi="Times New Roman" w:eastAsia="宋体" w:cs="Times New Roman"/>
          <w:color w:val="000000"/>
          <w:sz w:val="21"/>
          <w:szCs w:val="21"/>
        </w:rPr>
        <w:t>）购买子公司少数股权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因购买少数股权新取得的长期股权投资与按照新增持股比例计算应享有子公司自购买日或合并日开始持续计算的净资产份额之间的差额，调整合并资产负债表中的资本公积中的股本溢价，资本公积中的股本溢价不足冲减的，调整留存收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w:t>
      </w:r>
      <w:r>
        <w:rPr>
          <w:rFonts w:hint="default" w:ascii="Times New Roman" w:hAnsi="Times New Roman" w:eastAsia="宋体" w:cs="Times New Roman"/>
          <w:color w:val="000000"/>
          <w:sz w:val="21"/>
          <w:szCs w:val="21"/>
        </w:rPr>
        <w:t>4</w:t>
      </w:r>
      <w:r>
        <w:rPr>
          <w:rFonts w:hint="eastAsia" w:ascii="Times New Roman" w:hAnsi="Times New Roman" w:eastAsia="宋体" w:cs="Times New Roman"/>
          <w:color w:val="000000"/>
          <w:sz w:val="21"/>
          <w:szCs w:val="21"/>
        </w:rPr>
        <w:t>）不丧失控制权的情况下部分处置对子公司的股权投资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处置价款与处置长期股权投资相对应享有子公司自购买日或合并日开始持续计算的净资产份额之间的差额，调整合并资产负债表中的资本公积中的股本溢价，资本公积中的股本溢价不足冲减的，调整留存收益。</w:t>
      </w:r>
    </w:p>
    <w:bookmarkEnd w:id="187"/>
    <w:p>
      <w:pPr>
        <w:keepNext/>
        <w:keepLines/>
        <w:spacing w:before="300" w:after="300" w:line="280" w:lineRule="exact"/>
        <w:jc w:val="left"/>
        <w:outlineLvl w:val="2"/>
        <w:rPr>
          <w:rFonts w:ascii="宋体" w:hAnsi="宋体" w:eastAsia="宋体" w:cs="宋体"/>
          <w:b/>
          <w:bCs/>
          <w:sz w:val="21"/>
          <w:szCs w:val="21"/>
        </w:rPr>
      </w:pPr>
      <w:bookmarkStart w:id="188" w:name="_Toc989059"/>
      <w:r>
        <w:rPr>
          <w:rFonts w:hint="eastAsia" w:ascii="宋体" w:hAnsi="宋体" w:cs="宋体"/>
          <w:b/>
          <w:bCs/>
          <w:sz w:val="21"/>
          <w:szCs w:val="21"/>
          <w:lang w:eastAsia="zh-CN"/>
        </w:rPr>
        <w:t>（八）</w:t>
      </w:r>
      <w:r>
        <w:rPr>
          <w:rFonts w:ascii="宋体" w:hAnsi="宋体" w:eastAsia="宋体" w:cs="宋体"/>
          <w:b/>
          <w:bCs/>
          <w:sz w:val="21"/>
          <w:szCs w:val="21"/>
        </w:rPr>
        <w:t>合营安排分类及共同经营会计处理方法</w:t>
      </w:r>
      <w:bookmarkEnd w:id="188"/>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Times New Roman" w:hAnsi="Times New Roman" w:eastAsia="宋体" w:cs="Times New Roman"/>
          <w:color w:val="000000"/>
          <w:sz w:val="21"/>
          <w:szCs w:val="21"/>
        </w:rPr>
      </w:pPr>
      <w:bookmarkStart w:id="189" w:name="OLE_LINK29"/>
      <w:r>
        <w:rPr>
          <w:rFonts w:hint="eastAsia" w:ascii="Times New Roman" w:hAnsi="Times New Roman" w:eastAsia="宋体" w:cs="Times New Roman"/>
          <w:color w:val="000000"/>
          <w:sz w:val="21"/>
          <w:szCs w:val="21"/>
        </w:rPr>
        <w:t>合营安排分为共同经营和合营企业。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共同经营，是指合营方享有该安排相关资产且承担该安排相关负债的合营安排。</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本公司确认与共同经营中利益份额相关的下列项目：</w:t>
      </w:r>
    </w:p>
    <w:p>
      <w:pPr>
        <w:pStyle w:val="4"/>
        <w:widowControl/>
        <w:spacing w:beforeAutospacing="0" w:afterAutospacing="0"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①确认本公司单独所持有的资产，以及按本公司份额确认共同持有的资产；</w:t>
      </w:r>
    </w:p>
    <w:p>
      <w:pPr>
        <w:pStyle w:val="4"/>
        <w:widowControl/>
        <w:spacing w:beforeAutospacing="0" w:afterAutospacing="0"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②确认本公司单独所承担的负债，以及按本公司份额确认共同承担的负债；</w:t>
      </w:r>
    </w:p>
    <w:p>
      <w:pPr>
        <w:pStyle w:val="4"/>
        <w:widowControl/>
        <w:spacing w:beforeAutospacing="0" w:afterAutospacing="0"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③确认出售本公司享有的共同经营产出份额所产生的收入；</w:t>
      </w:r>
    </w:p>
    <w:p>
      <w:pPr>
        <w:pStyle w:val="4"/>
        <w:widowControl/>
        <w:spacing w:beforeAutospacing="0" w:afterAutospacing="0"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④</w:t>
      </w:r>
      <w:r>
        <w:rPr>
          <w:rFonts w:hint="eastAsia" w:ascii="宋体" w:hAnsi="宋体" w:eastAsia="宋体" w:cs="宋体"/>
          <w:color w:val="auto"/>
          <w:sz w:val="21"/>
          <w:szCs w:val="21"/>
          <w:highlight w:val="none"/>
        </w:rPr>
        <w:t>按本公司份额确认共同经营因出售产出所产生的收入；</w:t>
      </w:r>
    </w:p>
    <w:p>
      <w:pPr>
        <w:pStyle w:val="4"/>
        <w:widowControl/>
        <w:spacing w:beforeAutospacing="0" w:afterAutospacing="0" w:line="360" w:lineRule="exact"/>
        <w:ind w:firstLine="420" w:firstLineChars="200"/>
        <w:rPr>
          <w:rFonts w:hint="eastAsia" w:ascii="宋体" w:hAnsi="宋体" w:eastAsia="宋体" w:cs="宋体"/>
          <w:color w:val="000000"/>
          <w:sz w:val="21"/>
          <w:szCs w:val="21"/>
        </w:rPr>
      </w:pPr>
      <w:r>
        <w:rPr>
          <w:rFonts w:hint="eastAsia" w:ascii="宋体" w:hAnsi="宋体" w:eastAsia="宋体" w:cs="宋体"/>
          <w:color w:val="auto"/>
          <w:sz w:val="21"/>
          <w:szCs w:val="21"/>
          <w:highlight w:val="none"/>
          <w:lang w:eastAsia="zh-CN"/>
        </w:rPr>
        <w:t>⑤</w:t>
      </w:r>
      <w:r>
        <w:rPr>
          <w:rFonts w:hint="eastAsia" w:ascii="宋体" w:hAnsi="宋体" w:eastAsia="宋体" w:cs="宋体"/>
          <w:color w:val="auto"/>
          <w:sz w:val="21"/>
          <w:szCs w:val="21"/>
          <w:highlight w:val="none"/>
        </w:rPr>
        <w:t>确认</w:t>
      </w:r>
      <w:r>
        <w:rPr>
          <w:rFonts w:hint="eastAsia" w:ascii="宋体" w:hAnsi="宋体" w:eastAsia="宋体" w:cs="宋体"/>
          <w:color w:val="000000"/>
          <w:sz w:val="21"/>
          <w:szCs w:val="21"/>
        </w:rPr>
        <w:t>单独所发生的费用，以及按本公司份额确认共同经营发生的费用。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Times New Roman" w:hAnsi="Times New Roman" w:eastAsia="宋体" w:cs="Times New Roman"/>
          <w:color w:val="000000"/>
          <w:sz w:val="21"/>
          <w:szCs w:val="21"/>
        </w:rPr>
      </w:pPr>
      <w:r>
        <w:rPr>
          <w:rFonts w:hint="eastAsia" w:ascii="宋体" w:hAnsi="宋体" w:eastAsia="宋体" w:cs="宋体"/>
          <w:color w:val="000000"/>
          <w:sz w:val="21"/>
          <w:szCs w:val="21"/>
        </w:rPr>
        <w:t>本公司对</w:t>
      </w:r>
      <w:r>
        <w:rPr>
          <w:rFonts w:hint="eastAsia" w:ascii="Times New Roman" w:hAnsi="Times New Roman" w:eastAsia="宋体" w:cs="Times New Roman"/>
          <w:color w:val="000000"/>
          <w:sz w:val="21"/>
          <w:szCs w:val="21"/>
        </w:rPr>
        <w:t>合营企业的投资采用权益法核算，详见本附注“七、12.长期股权投资”。 </w:t>
      </w:r>
    </w:p>
    <w:bookmarkEnd w:id="189"/>
    <w:p>
      <w:pPr>
        <w:keepNext/>
        <w:keepLines/>
        <w:spacing w:before="300" w:after="300" w:line="280" w:lineRule="exact"/>
        <w:jc w:val="left"/>
        <w:outlineLvl w:val="2"/>
        <w:rPr>
          <w:rFonts w:ascii="宋体" w:hAnsi="宋体" w:eastAsia="宋体" w:cs="宋体"/>
          <w:b/>
          <w:bCs/>
          <w:sz w:val="21"/>
          <w:szCs w:val="21"/>
        </w:rPr>
      </w:pPr>
      <w:bookmarkStart w:id="190" w:name="_Toc989060"/>
      <w:r>
        <w:rPr>
          <w:rFonts w:hint="eastAsia" w:ascii="宋体" w:hAnsi="宋体" w:cs="宋体"/>
          <w:b/>
          <w:bCs/>
          <w:sz w:val="21"/>
          <w:szCs w:val="21"/>
          <w:lang w:eastAsia="zh-CN"/>
        </w:rPr>
        <w:t>（九）</w:t>
      </w:r>
      <w:r>
        <w:rPr>
          <w:rFonts w:ascii="宋体" w:hAnsi="宋体" w:eastAsia="宋体" w:cs="宋体"/>
          <w:b/>
          <w:bCs/>
          <w:sz w:val="21"/>
          <w:szCs w:val="21"/>
        </w:rPr>
        <w:t>现金及现金等价物的确定标准</w:t>
      </w:r>
      <w:bookmarkEnd w:id="190"/>
    </w:p>
    <w:p>
      <w:pPr>
        <w:pStyle w:val="4"/>
        <w:keepNext w:val="0"/>
        <w:keepLines w:val="0"/>
        <w:widowControl/>
        <w:suppressLineNumbers w:val="0"/>
        <w:spacing w:before="0" w:beforeAutospacing="1" w:after="0" w:afterAutospacing="1"/>
        <w:ind w:left="0" w:right="0" w:firstLine="420" w:firstLineChars="200"/>
      </w:pPr>
      <w:r>
        <w:rPr>
          <w:rFonts w:hint="eastAsia" w:ascii="宋体" w:hAnsi="宋体" w:eastAsia="宋体" w:cs="宋体"/>
          <w:color w:val="000000"/>
          <w:sz w:val="21"/>
          <w:szCs w:val="21"/>
        </w:rPr>
        <w:t>现金，是指本公司的库存现金以及可以随时用于支付的存款。现金等价物，是指本公司持有的期限短、流动性强、易于转换为已知金额的现金、价值变动风险很小的投资。</w:t>
      </w:r>
    </w:p>
    <w:p>
      <w:pPr>
        <w:keepNext/>
        <w:keepLines/>
        <w:spacing w:before="300" w:after="300" w:line="280" w:lineRule="exact"/>
        <w:jc w:val="left"/>
        <w:outlineLvl w:val="2"/>
        <w:rPr>
          <w:rFonts w:ascii="宋体" w:hAnsi="宋体" w:eastAsia="宋体" w:cs="宋体"/>
          <w:b/>
          <w:bCs/>
          <w:sz w:val="21"/>
          <w:szCs w:val="21"/>
        </w:rPr>
      </w:pPr>
      <w:bookmarkStart w:id="191" w:name="_Toc989061"/>
      <w:r>
        <w:rPr>
          <w:rFonts w:hint="eastAsia" w:ascii="宋体" w:hAnsi="宋体" w:cs="宋体"/>
          <w:b/>
          <w:bCs/>
          <w:sz w:val="21"/>
          <w:szCs w:val="21"/>
          <w:lang w:eastAsia="zh-CN"/>
        </w:rPr>
        <w:t>（十）</w:t>
      </w:r>
      <w:r>
        <w:rPr>
          <w:rFonts w:ascii="宋体" w:hAnsi="宋体" w:eastAsia="宋体" w:cs="宋体"/>
          <w:b/>
          <w:bCs/>
          <w:sz w:val="21"/>
          <w:szCs w:val="21"/>
        </w:rPr>
        <w:t>外币业务和外币报表折算</w:t>
      </w:r>
      <w:bookmarkEnd w:id="191"/>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外币业务采用交易发生日的即期汇率作为折算汇率将外币金额折合成人民币记账。</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资产负债表日外币货币性项目余额按资产负债表日即期汇率折算，由此产生的汇兑差额，除属于与购建符合资本化条件的资产相关的外币专门借款产生的汇兑差额按照借款费用资本化的原则处理外，均计入当期损益。  </w:t>
      </w:r>
    </w:p>
    <w:p>
      <w:pPr>
        <w:keepNext/>
        <w:keepLines/>
        <w:spacing w:before="300" w:after="300" w:line="280" w:lineRule="exact"/>
        <w:jc w:val="left"/>
        <w:outlineLvl w:val="2"/>
        <w:rPr>
          <w:rFonts w:ascii="宋体" w:hAnsi="宋体" w:eastAsia="宋体" w:cs="宋体"/>
          <w:b/>
          <w:bCs/>
          <w:sz w:val="21"/>
          <w:szCs w:val="21"/>
        </w:rPr>
      </w:pPr>
      <w:bookmarkStart w:id="192" w:name="_Toc989062"/>
      <w:r>
        <w:rPr>
          <w:rFonts w:hint="eastAsia" w:ascii="宋体" w:hAnsi="宋体" w:cs="宋体"/>
          <w:b/>
          <w:bCs/>
          <w:sz w:val="21"/>
          <w:szCs w:val="21"/>
          <w:lang w:eastAsia="zh-CN"/>
        </w:rPr>
        <w:t>（十一）</w:t>
      </w:r>
      <w:r>
        <w:rPr>
          <w:rFonts w:ascii="宋体" w:hAnsi="宋体" w:eastAsia="宋体" w:cs="宋体"/>
          <w:b/>
          <w:bCs/>
          <w:sz w:val="21"/>
          <w:szCs w:val="21"/>
        </w:rPr>
        <w:t>金融工具</w:t>
      </w:r>
      <w:bookmarkEnd w:id="192"/>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Times New Roman" w:hAnsi="Times New Roman" w:eastAsia="宋体" w:cs="Times New Roman"/>
          <w:color w:val="000000"/>
          <w:sz w:val="21"/>
          <w:szCs w:val="21"/>
        </w:rPr>
      </w:pPr>
      <w:bookmarkStart w:id="193" w:name="OLE_LINK30"/>
      <w:r>
        <w:rPr>
          <w:rFonts w:hint="eastAsia" w:ascii="Times New Roman" w:hAnsi="Times New Roman" w:eastAsia="宋体" w:cs="Times New Roman"/>
          <w:color w:val="000000"/>
          <w:sz w:val="21"/>
          <w:szCs w:val="21"/>
        </w:rPr>
        <w:t>本公司在成为金融工具合同的一方时，确认一项金融资产、金融负债或权益工具。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outlineLvl w:val="3"/>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1. 金融工具的分类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根据本公司管理金融资产的业务模式和金融资产的合同现金流量特征，金融资产于初始确认时分类为：以摊余成本计量的金融资产、以公允价值计量且其变动计入其他综合收益的金融资产和以公允价值计量且其变动计入当期损益的金融资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本公司将同时符合下列条件且未被指定为以公允价值计量且其变动计入当期损益的金融资产，分类为以摊余成本计量的金融资产：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fldChar w:fldCharType="begin"/>
      </w:r>
      <w:r>
        <w:rPr>
          <w:rFonts w:hint="eastAsia" w:ascii="Times New Roman" w:hAnsi="Times New Roman" w:eastAsia="宋体" w:cs="Times New Roman"/>
          <w:color w:val="000000"/>
          <w:sz w:val="21"/>
          <w:szCs w:val="21"/>
        </w:rPr>
        <w:instrText xml:space="preserve"> = 1 \* GB3 \* MERGEFORMAT </w:instrText>
      </w:r>
      <w:r>
        <w:rPr>
          <w:rFonts w:hint="eastAsia" w:ascii="Times New Roman" w:hAnsi="Times New Roman" w:eastAsia="宋体" w:cs="Times New Roman"/>
          <w:color w:val="000000"/>
          <w:sz w:val="21"/>
          <w:szCs w:val="21"/>
        </w:rPr>
        <w:fldChar w:fldCharType="separate"/>
      </w:r>
      <w:r>
        <w:rPr>
          <w:rFonts w:hint="default" w:ascii="Times New Roman" w:hAnsi="Times New Roman" w:eastAsia="宋体" w:cs="Times New Roman"/>
          <w:color w:val="000000"/>
          <w:sz w:val="21"/>
          <w:szCs w:val="21"/>
        </w:rPr>
        <w:t>①</w:t>
      </w:r>
      <w:r>
        <w:rPr>
          <w:rFonts w:hint="eastAsia" w:ascii="Times New Roman" w:hAnsi="Times New Roman" w:eastAsia="宋体" w:cs="Times New Roman"/>
          <w:color w:val="000000"/>
          <w:sz w:val="21"/>
          <w:szCs w:val="21"/>
        </w:rPr>
        <w:fldChar w:fldCharType="end"/>
      </w:r>
      <w:r>
        <w:rPr>
          <w:rFonts w:hint="eastAsia" w:ascii="Times New Roman" w:hAnsi="Times New Roman" w:eastAsia="宋体" w:cs="Times New Roman"/>
          <w:color w:val="000000"/>
          <w:sz w:val="21"/>
          <w:szCs w:val="21"/>
        </w:rPr>
        <w:t>业务模式是以收取合同现金流量为目标；</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fldChar w:fldCharType="begin"/>
      </w:r>
      <w:r>
        <w:rPr>
          <w:rFonts w:hint="eastAsia" w:ascii="Times New Roman" w:hAnsi="Times New Roman" w:eastAsia="宋体" w:cs="Times New Roman"/>
          <w:color w:val="000000"/>
          <w:sz w:val="21"/>
          <w:szCs w:val="21"/>
        </w:rPr>
        <w:instrText xml:space="preserve"> = 2 \* GB3 \* MERGEFORMAT </w:instrText>
      </w:r>
      <w:r>
        <w:rPr>
          <w:rFonts w:hint="eastAsia" w:ascii="Times New Roman" w:hAnsi="Times New Roman" w:eastAsia="宋体" w:cs="Times New Roman"/>
          <w:color w:val="000000"/>
          <w:sz w:val="21"/>
          <w:szCs w:val="21"/>
        </w:rPr>
        <w:fldChar w:fldCharType="separate"/>
      </w:r>
      <w:r>
        <w:rPr>
          <w:rFonts w:hint="default" w:ascii="Times New Roman" w:hAnsi="Times New Roman" w:eastAsia="宋体" w:cs="Times New Roman"/>
          <w:color w:val="000000"/>
          <w:sz w:val="21"/>
          <w:szCs w:val="21"/>
        </w:rPr>
        <w:t>②</w:t>
      </w:r>
      <w:r>
        <w:rPr>
          <w:rFonts w:hint="eastAsia" w:ascii="Times New Roman" w:hAnsi="Times New Roman" w:eastAsia="宋体" w:cs="Times New Roman"/>
          <w:color w:val="000000"/>
          <w:sz w:val="21"/>
          <w:szCs w:val="21"/>
        </w:rPr>
        <w:fldChar w:fldCharType="end"/>
      </w:r>
      <w:r>
        <w:rPr>
          <w:rFonts w:hint="eastAsia" w:ascii="Times New Roman" w:hAnsi="Times New Roman" w:eastAsia="宋体" w:cs="Times New Roman"/>
          <w:color w:val="000000"/>
          <w:sz w:val="21"/>
          <w:szCs w:val="21"/>
        </w:rPr>
        <w:t>合同现金流量仅为对本金和以未偿付本金金额为基础的利息的支付。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本公司将同时符合下列条件且未被指定为以公允价值计量且其变动计入当期损益的金融资产，分类为以公允价值计量且其变动计入其他综合收益的金融资产（债务工具）：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fldChar w:fldCharType="begin"/>
      </w:r>
      <w:r>
        <w:rPr>
          <w:rFonts w:hint="eastAsia" w:ascii="Times New Roman" w:hAnsi="Times New Roman" w:eastAsia="宋体" w:cs="Times New Roman"/>
          <w:color w:val="000000"/>
          <w:sz w:val="21"/>
          <w:szCs w:val="21"/>
        </w:rPr>
        <w:instrText xml:space="preserve"> = 1 \* GB3 \* MERGEFORMAT </w:instrText>
      </w:r>
      <w:r>
        <w:rPr>
          <w:rFonts w:hint="eastAsia" w:ascii="Times New Roman" w:hAnsi="Times New Roman" w:eastAsia="宋体" w:cs="Times New Roman"/>
          <w:color w:val="000000"/>
          <w:sz w:val="21"/>
          <w:szCs w:val="21"/>
        </w:rPr>
        <w:fldChar w:fldCharType="separate"/>
      </w:r>
      <w:r>
        <w:rPr>
          <w:rFonts w:hint="default" w:ascii="Times New Roman" w:hAnsi="Times New Roman" w:eastAsia="宋体" w:cs="Times New Roman"/>
          <w:color w:val="000000"/>
          <w:sz w:val="21"/>
          <w:szCs w:val="21"/>
        </w:rPr>
        <w:t>①</w:t>
      </w:r>
      <w:r>
        <w:rPr>
          <w:rFonts w:hint="eastAsia" w:ascii="Times New Roman" w:hAnsi="Times New Roman" w:eastAsia="宋体" w:cs="Times New Roman"/>
          <w:color w:val="000000"/>
          <w:sz w:val="21"/>
          <w:szCs w:val="21"/>
        </w:rPr>
        <w:fldChar w:fldCharType="end"/>
      </w:r>
      <w:r>
        <w:rPr>
          <w:rFonts w:hint="eastAsia" w:ascii="Times New Roman" w:hAnsi="Times New Roman" w:eastAsia="宋体" w:cs="Times New Roman"/>
          <w:color w:val="000000"/>
          <w:sz w:val="21"/>
          <w:szCs w:val="21"/>
        </w:rPr>
        <w:t>业务模式既以收取合同现金流量又以出售该金融资产为目标；</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fldChar w:fldCharType="begin"/>
      </w:r>
      <w:r>
        <w:rPr>
          <w:rFonts w:hint="eastAsia" w:ascii="Times New Roman" w:hAnsi="Times New Roman" w:eastAsia="宋体" w:cs="Times New Roman"/>
          <w:color w:val="000000"/>
          <w:sz w:val="21"/>
          <w:szCs w:val="21"/>
        </w:rPr>
        <w:instrText xml:space="preserve"> = 2 \* GB3 \* MERGEFORMAT </w:instrText>
      </w:r>
      <w:r>
        <w:rPr>
          <w:rFonts w:hint="eastAsia" w:ascii="Times New Roman" w:hAnsi="Times New Roman" w:eastAsia="宋体" w:cs="Times New Roman"/>
          <w:color w:val="000000"/>
          <w:sz w:val="21"/>
          <w:szCs w:val="21"/>
        </w:rPr>
        <w:fldChar w:fldCharType="separate"/>
      </w:r>
      <w:r>
        <w:rPr>
          <w:rFonts w:hint="default" w:ascii="Times New Roman" w:hAnsi="Times New Roman" w:eastAsia="宋体" w:cs="Times New Roman"/>
          <w:color w:val="000000"/>
          <w:sz w:val="21"/>
          <w:szCs w:val="21"/>
        </w:rPr>
        <w:t>②</w:t>
      </w:r>
      <w:r>
        <w:rPr>
          <w:rFonts w:hint="eastAsia" w:ascii="Times New Roman" w:hAnsi="Times New Roman" w:eastAsia="宋体" w:cs="Times New Roman"/>
          <w:color w:val="000000"/>
          <w:sz w:val="21"/>
          <w:szCs w:val="21"/>
        </w:rPr>
        <w:fldChar w:fldCharType="end"/>
      </w:r>
      <w:r>
        <w:rPr>
          <w:rFonts w:hint="eastAsia" w:ascii="Times New Roman" w:hAnsi="Times New Roman" w:eastAsia="宋体" w:cs="Times New Roman"/>
          <w:color w:val="000000"/>
          <w:sz w:val="21"/>
          <w:szCs w:val="21"/>
        </w:rPr>
        <w:t> 合同现金流量仅为对本金和以未偿付本金金额为基础的利息的支付。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对于非交易性权益工具投资，本公司可以在初始确认时将其不可撤销地指定为以公允价值计量且其变动计入其他综合收益的金融资产（权益工具）。该指定在单项投资的基础上作出，且相关投资从发行者的角度符合权益工具的定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除上述以摊余成本计量和以公允价值计量且其变动计入其他综合收益的金融资产外，本公司将其余所有的金融资产分类为以公允价值计量且其变动计入当期损益的金融资产。在初始确认时，如果能够消除或显著减少会计错配，本公司可以将本应分类为以摊余成本计量或以公允价值计量且其变动计入其他综合收益的金融资产不可撤销地指定为以公允价值计量且其变动计入当期损益的金融资产。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金融负债于初始确认时分类为：以公允价值计量且其变动计入当期损益的金融负债和以摊余成本计量的金融负债。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outlineLvl w:val="3"/>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2. 金融工具的确认依据和计量方法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w:t>
      </w:r>
      <w:r>
        <w:rPr>
          <w:rFonts w:hint="default" w:ascii="Times New Roman" w:hAnsi="Times New Roman" w:eastAsia="宋体" w:cs="Times New Roman"/>
          <w:color w:val="000000"/>
          <w:sz w:val="21"/>
          <w:szCs w:val="21"/>
        </w:rPr>
        <w:t>1</w:t>
      </w:r>
      <w:r>
        <w:rPr>
          <w:rFonts w:hint="eastAsia" w:ascii="Times New Roman" w:hAnsi="Times New Roman" w:eastAsia="宋体" w:cs="Times New Roman"/>
          <w:color w:val="000000"/>
          <w:sz w:val="21"/>
          <w:szCs w:val="21"/>
        </w:rPr>
        <w:t>）以摊余成本计量的金融资产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以摊余成本计量的金融资产包括应收票据、应收账款、其他应收款、长期应收款、债权投资等，按公允价值进行初始计量，相关交易费用计入初始确认金额；不包含重大融资成分的应收账款以及本公司决定不考虑不超过一年的融资成分的应收账款，以合同交易价格进行初始计量。</w:t>
      </w:r>
      <w:r>
        <w:rPr>
          <w:rFonts w:hint="default" w:ascii="Times New Roman" w:hAnsi="Times New Roman" w:eastAsia="宋体" w:cs="Times New Roman"/>
          <w:color w:val="000000"/>
          <w:sz w:val="21"/>
          <w:szCs w:val="21"/>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持有期间采用实际利率法计算的利息计入当期损益。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收回或处置时，将取得的价款与该金融资产账面价值之间的差额计入当期损益。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w:t>
      </w:r>
      <w:r>
        <w:rPr>
          <w:rFonts w:hint="default" w:ascii="Times New Roman" w:hAnsi="Times New Roman" w:eastAsia="宋体" w:cs="Times New Roman"/>
          <w:color w:val="000000"/>
          <w:sz w:val="21"/>
          <w:szCs w:val="21"/>
        </w:rPr>
        <w:t>2</w:t>
      </w:r>
      <w:r>
        <w:rPr>
          <w:rFonts w:hint="eastAsia" w:ascii="Times New Roman" w:hAnsi="Times New Roman" w:eastAsia="宋体" w:cs="Times New Roman"/>
          <w:color w:val="000000"/>
          <w:sz w:val="21"/>
          <w:szCs w:val="21"/>
        </w:rPr>
        <w:t>）以公允价值计量且其变动计入其他综合收益的金融资产（债务工具）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以公允价值计量且其变动计入其他综合收益的金融资产（债务工具）包括应收款项融资、其他债权投资等，按公允价值进行初始计量，相关交易费用计入初始确认金额。该金融资产按公允价值进行后续计量，公允价值变动除采用实际利率法计算的利息、减值损失或利得和汇兑损益之外，均计入其他综合收益。</w:t>
      </w:r>
      <w:r>
        <w:rPr>
          <w:rFonts w:hint="default" w:ascii="Times New Roman" w:hAnsi="Times New Roman" w:eastAsia="宋体" w:cs="Times New Roman"/>
          <w:color w:val="000000"/>
          <w:sz w:val="21"/>
          <w:szCs w:val="21"/>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终止确认时，之前计入其他综合收益的累计利得或损失从其他综合收益中转出，计入当期损益。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w:t>
      </w:r>
      <w:r>
        <w:rPr>
          <w:rFonts w:hint="default" w:ascii="Times New Roman" w:hAnsi="Times New Roman" w:eastAsia="宋体" w:cs="Times New Roman"/>
          <w:color w:val="000000"/>
          <w:sz w:val="21"/>
          <w:szCs w:val="21"/>
        </w:rPr>
        <w:t>3</w:t>
      </w:r>
      <w:r>
        <w:rPr>
          <w:rFonts w:hint="eastAsia" w:ascii="Times New Roman" w:hAnsi="Times New Roman" w:eastAsia="宋体" w:cs="Times New Roman"/>
          <w:color w:val="000000"/>
          <w:sz w:val="21"/>
          <w:szCs w:val="21"/>
        </w:rPr>
        <w:t>）以公允价值计量且其变动计入其他综合收益的金融资产（权益工具）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以公允价值计量且其变动计入其他综合收益的金融资产（权益工具）包括其他权益工具投资等，按公允价值进行初始计量，相关交易费用计入初始确认金额。该金融资产按公允价值进行后续计量，公允价值变动计入其他综合收益。取得的股利计入当期损益。</w:t>
      </w:r>
      <w:r>
        <w:rPr>
          <w:rFonts w:hint="default" w:ascii="Times New Roman" w:hAnsi="Times New Roman" w:eastAsia="宋体" w:cs="Times New Roman"/>
          <w:color w:val="000000"/>
          <w:sz w:val="21"/>
          <w:szCs w:val="21"/>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终止确认时，之前计入其他综合收益的累计利得或损失从其他综合收益中转出，计入留存收益。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w:t>
      </w:r>
      <w:r>
        <w:rPr>
          <w:rFonts w:hint="default" w:ascii="Times New Roman" w:hAnsi="Times New Roman" w:eastAsia="宋体" w:cs="Times New Roman"/>
          <w:color w:val="000000"/>
          <w:sz w:val="21"/>
          <w:szCs w:val="21"/>
        </w:rPr>
        <w:t>4</w:t>
      </w:r>
      <w:r>
        <w:rPr>
          <w:rFonts w:hint="eastAsia" w:ascii="Times New Roman" w:hAnsi="Times New Roman" w:eastAsia="宋体" w:cs="Times New Roman"/>
          <w:color w:val="000000"/>
          <w:sz w:val="21"/>
          <w:szCs w:val="21"/>
        </w:rPr>
        <w:t>）以公允价值计量且其变动计入当期损益的金融资产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以公允价值计量且其变动计入当期损益的金融资产包括交易性金融资产、衍生金融资产、其他非流动金融资产等，按公允价值进行初始计量，相关交易费用计入当期损益。该金融资产按公允价值进行后续计量，公允价值变动计入当期损益。</w:t>
      </w:r>
      <w:r>
        <w:rPr>
          <w:rFonts w:hint="default" w:ascii="Times New Roman" w:hAnsi="Times New Roman" w:eastAsia="宋体" w:cs="Times New Roman"/>
          <w:color w:val="000000"/>
          <w:sz w:val="21"/>
          <w:szCs w:val="21"/>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w:t>
      </w:r>
      <w:r>
        <w:rPr>
          <w:rFonts w:hint="default" w:ascii="Times New Roman" w:hAnsi="Times New Roman" w:eastAsia="宋体" w:cs="Times New Roman"/>
          <w:color w:val="000000"/>
          <w:sz w:val="21"/>
          <w:szCs w:val="21"/>
        </w:rPr>
        <w:t>5</w:t>
      </w:r>
      <w:r>
        <w:rPr>
          <w:rFonts w:hint="eastAsia" w:ascii="Times New Roman" w:hAnsi="Times New Roman" w:eastAsia="宋体" w:cs="Times New Roman"/>
          <w:color w:val="000000"/>
          <w:sz w:val="21"/>
          <w:szCs w:val="21"/>
        </w:rPr>
        <w:t>）以公允价值计量且其变动计入当期损益的金融负债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以公允价值计量且其变动计入当期损益的金融负债包括交易性金融负债、衍生金融负债等，按公允价值进行初始计量，相关交易费用计入当期损益。该金融负债按公允价值进行后续计量，公允价值变动计入当期损益。</w:t>
      </w:r>
      <w:r>
        <w:rPr>
          <w:rFonts w:hint="default" w:ascii="Times New Roman" w:hAnsi="Times New Roman" w:eastAsia="宋体" w:cs="Times New Roman"/>
          <w:color w:val="000000"/>
          <w:sz w:val="21"/>
          <w:szCs w:val="21"/>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终止确认时，其账面价值与支付的对价之间的差额计入当期损益。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w:t>
      </w:r>
      <w:r>
        <w:rPr>
          <w:rFonts w:hint="default" w:ascii="Times New Roman" w:hAnsi="Times New Roman" w:eastAsia="宋体" w:cs="Times New Roman"/>
          <w:color w:val="000000"/>
          <w:sz w:val="21"/>
          <w:szCs w:val="21"/>
        </w:rPr>
        <w:t>6</w:t>
      </w:r>
      <w:r>
        <w:rPr>
          <w:rFonts w:hint="eastAsia" w:ascii="Times New Roman" w:hAnsi="Times New Roman" w:eastAsia="宋体" w:cs="Times New Roman"/>
          <w:color w:val="000000"/>
          <w:sz w:val="21"/>
          <w:szCs w:val="21"/>
        </w:rPr>
        <w:t>）以摊余成本计量的金融负债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以摊余成本计量的金融负债包括短期借款、应付票据、应付账款、其他应付款、长期借款、应付债券、长期应付款，按公允价值进行初始计量，相关交易费用计入初始确认金额。</w:t>
      </w:r>
      <w:r>
        <w:rPr>
          <w:rFonts w:hint="default" w:ascii="Times New Roman" w:hAnsi="Times New Roman" w:eastAsia="宋体" w:cs="Times New Roman"/>
          <w:color w:val="000000"/>
          <w:sz w:val="21"/>
          <w:szCs w:val="21"/>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持有期间采用实际利率法计算的利息计入当期损益。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终止确认时，将支付的对价与该金融负债账面价值之间的差额计入当期损益。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outlineLvl w:val="3"/>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3. 金融资产终止确认和金融资产转移的确认依据和计量方法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满足下列条件之一时，本公司终止确认金融资产：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fldChar w:fldCharType="begin"/>
      </w:r>
      <w:r>
        <w:rPr>
          <w:rFonts w:hint="eastAsia" w:ascii="Times New Roman" w:hAnsi="Times New Roman" w:eastAsia="宋体" w:cs="Times New Roman"/>
          <w:color w:val="000000"/>
          <w:sz w:val="21"/>
          <w:szCs w:val="21"/>
        </w:rPr>
        <w:instrText xml:space="preserve"> = 1 \* GB3 \* MERGEFORMAT </w:instrText>
      </w:r>
      <w:r>
        <w:rPr>
          <w:rFonts w:hint="eastAsia" w:ascii="Times New Roman" w:hAnsi="Times New Roman" w:eastAsia="宋体" w:cs="Times New Roman"/>
          <w:color w:val="000000"/>
          <w:sz w:val="21"/>
          <w:szCs w:val="21"/>
        </w:rPr>
        <w:fldChar w:fldCharType="separate"/>
      </w:r>
      <w:r>
        <w:t>①</w:t>
      </w:r>
      <w:r>
        <w:rPr>
          <w:rFonts w:hint="eastAsia" w:ascii="Times New Roman" w:hAnsi="Times New Roman" w:eastAsia="宋体" w:cs="Times New Roman"/>
          <w:color w:val="000000"/>
          <w:sz w:val="21"/>
          <w:szCs w:val="21"/>
        </w:rPr>
        <w:fldChar w:fldCharType="end"/>
      </w:r>
      <w:r>
        <w:rPr>
          <w:rFonts w:hint="eastAsia" w:ascii="Times New Roman" w:hAnsi="Times New Roman" w:eastAsia="宋体" w:cs="Times New Roman"/>
          <w:color w:val="000000"/>
          <w:sz w:val="21"/>
          <w:szCs w:val="21"/>
        </w:rPr>
        <w:t> 收取金融资产现金流量的合同权利终止；</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fldChar w:fldCharType="begin"/>
      </w:r>
      <w:r>
        <w:rPr>
          <w:rFonts w:hint="eastAsia" w:ascii="Times New Roman" w:hAnsi="Times New Roman" w:eastAsia="宋体" w:cs="Times New Roman"/>
          <w:color w:val="000000"/>
          <w:sz w:val="21"/>
          <w:szCs w:val="21"/>
        </w:rPr>
        <w:instrText xml:space="preserve"> = 2 \* GB3 \* MERGEFORMAT </w:instrText>
      </w:r>
      <w:r>
        <w:rPr>
          <w:rFonts w:hint="eastAsia" w:ascii="Times New Roman" w:hAnsi="Times New Roman" w:eastAsia="宋体" w:cs="Times New Roman"/>
          <w:color w:val="000000"/>
          <w:sz w:val="21"/>
          <w:szCs w:val="21"/>
        </w:rPr>
        <w:fldChar w:fldCharType="separate"/>
      </w:r>
      <w:r>
        <w:t>②</w:t>
      </w:r>
      <w:r>
        <w:rPr>
          <w:rFonts w:hint="eastAsia" w:ascii="Times New Roman" w:hAnsi="Times New Roman" w:eastAsia="宋体" w:cs="Times New Roman"/>
          <w:color w:val="000000"/>
          <w:sz w:val="21"/>
          <w:szCs w:val="21"/>
        </w:rPr>
        <w:fldChar w:fldCharType="end"/>
      </w:r>
      <w:r>
        <w:rPr>
          <w:rFonts w:hint="eastAsia" w:ascii="Times New Roman" w:hAnsi="Times New Roman" w:eastAsia="宋体" w:cs="Times New Roman"/>
          <w:color w:val="000000"/>
          <w:sz w:val="21"/>
          <w:szCs w:val="21"/>
        </w:rPr>
        <w:t> 金融资产已转移，且已将金融资产所有权上几乎所有的风险和报酬转移给转入方；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fldChar w:fldCharType="begin"/>
      </w:r>
      <w:r>
        <w:rPr>
          <w:rFonts w:hint="eastAsia" w:ascii="Times New Roman" w:hAnsi="Times New Roman" w:eastAsia="宋体" w:cs="Times New Roman"/>
          <w:color w:val="000000"/>
          <w:sz w:val="21"/>
          <w:szCs w:val="21"/>
        </w:rPr>
        <w:instrText xml:space="preserve"> = 3 \* GB3 \* MERGEFORMAT </w:instrText>
      </w:r>
      <w:r>
        <w:rPr>
          <w:rFonts w:hint="eastAsia" w:ascii="Times New Roman" w:hAnsi="Times New Roman" w:eastAsia="宋体" w:cs="Times New Roman"/>
          <w:color w:val="000000"/>
          <w:sz w:val="21"/>
          <w:szCs w:val="21"/>
        </w:rPr>
        <w:fldChar w:fldCharType="separate"/>
      </w:r>
      <w:r>
        <w:t>③</w:t>
      </w:r>
      <w:r>
        <w:rPr>
          <w:rFonts w:hint="eastAsia" w:ascii="Times New Roman" w:hAnsi="Times New Roman" w:eastAsia="宋体" w:cs="Times New Roman"/>
          <w:color w:val="000000"/>
          <w:sz w:val="21"/>
          <w:szCs w:val="21"/>
        </w:rPr>
        <w:fldChar w:fldCharType="end"/>
      </w:r>
      <w:r>
        <w:rPr>
          <w:rFonts w:hint="eastAsia" w:ascii="Times New Roman" w:hAnsi="Times New Roman" w:eastAsia="宋体" w:cs="Times New Roman"/>
          <w:color w:val="000000"/>
          <w:sz w:val="21"/>
          <w:szCs w:val="21"/>
        </w:rPr>
        <w:t> 金融资产已转移，虽然本公司既没有转移也没有保留金融资产所有权上几乎所有的风险和报酬，但是未保留对金融资产的控制。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本公司与交易对手方修改或者重新议定合同而且构成实质性修改的，则终止确认原金融资产，同时按照修改后的条款确认一项新金融资产。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发生金融资产转移时，如保留了金融资产所有权上几乎所有的风险和报酬的，则不终止确认该金融资产。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在判断金融资产转移是否满足上述金融资产终止确认条件时，采用实质重于形式的原则。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公司将金融资产转移区分为金融资产整体转移和部分转移。金融资产整体转移满足终止确认条件的，将下列两项金额的差额计入当期损益：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①</w:t>
      </w:r>
      <w:r>
        <w:rPr>
          <w:rFonts w:hint="eastAsia" w:ascii="Times New Roman" w:hAnsi="Times New Roman" w:eastAsia="宋体" w:cs="Times New Roman"/>
          <w:color w:val="000000"/>
          <w:sz w:val="21"/>
          <w:szCs w:val="21"/>
        </w:rPr>
        <w:t>所转移金融资产的账面价值；</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color w:val="auto"/>
          <w:sz w:val="21"/>
          <w:szCs w:val="21"/>
          <w:highlight w:val="none"/>
        </w:rPr>
      </w:pPr>
      <w:r>
        <w:rPr>
          <w:rFonts w:hint="default" w:ascii="Times New Roman" w:hAnsi="Times New Roman" w:eastAsia="宋体" w:cs="Times New Roman"/>
          <w:color w:val="000000"/>
          <w:sz w:val="21"/>
          <w:szCs w:val="21"/>
        </w:rPr>
        <w:t>②</w:t>
      </w:r>
      <w:r>
        <w:rPr>
          <w:rFonts w:hint="eastAsia" w:ascii="Times New Roman" w:hAnsi="Times New Roman" w:eastAsia="宋体" w:cs="Times New Roman"/>
          <w:color w:val="000000"/>
          <w:sz w:val="21"/>
          <w:szCs w:val="21"/>
        </w:rPr>
        <w:t>因转移而收到的对价，与原直接计入所有者权益的公允价值变动累计额（涉及转移的金融资产为以公允价值</w:t>
      </w:r>
      <w:r>
        <w:rPr>
          <w:rFonts w:hint="eastAsia"/>
          <w:color w:val="auto"/>
          <w:sz w:val="21"/>
          <w:szCs w:val="21"/>
          <w:highlight w:val="none"/>
        </w:rPr>
        <w:t>计量且其变动计入其他综合收益的金融资产（债务工具）的情形）之和。</w:t>
      </w:r>
    </w:p>
    <w:p>
      <w:pPr>
        <w:pStyle w:val="4"/>
        <w:widowControl/>
        <w:spacing w:beforeAutospacing="0" w:afterAutospacing="0" w:line="360" w:lineRule="exact"/>
        <w:ind w:firstLine="420" w:firstLineChars="200"/>
        <w:rPr>
          <w:color w:val="auto"/>
          <w:sz w:val="21"/>
          <w:szCs w:val="21"/>
          <w:highlight w:val="none"/>
        </w:rPr>
      </w:pPr>
      <w:r>
        <w:rPr>
          <w:rFonts w:hint="eastAsia"/>
          <w:color w:val="auto"/>
          <w:sz w:val="21"/>
          <w:szCs w:val="21"/>
          <w:highlight w:val="none"/>
        </w:rPr>
        <w:t>金融资产部分转移满足终止确认条件的，将所转移金融资产整体的账面价值，在终止确认部分和未终止确认部分之间，按照各自的相对公允价值进行分摊，并将下列两项金额的差额计入当期损益：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①</w:t>
      </w:r>
      <w:r>
        <w:rPr>
          <w:rFonts w:hint="eastAsia" w:ascii="Times New Roman" w:hAnsi="Times New Roman" w:eastAsia="宋体" w:cs="Times New Roman"/>
          <w:color w:val="000000"/>
          <w:sz w:val="21"/>
          <w:szCs w:val="21"/>
        </w:rPr>
        <w:t>终止确认部分的账面价值；</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color w:val="auto"/>
          <w:sz w:val="21"/>
          <w:szCs w:val="21"/>
          <w:highlight w:val="none"/>
        </w:rPr>
      </w:pPr>
      <w:r>
        <w:rPr>
          <w:rFonts w:hint="default" w:ascii="Times New Roman" w:hAnsi="Times New Roman" w:eastAsia="宋体" w:cs="Times New Roman"/>
          <w:color w:val="000000"/>
          <w:sz w:val="21"/>
          <w:szCs w:val="21"/>
        </w:rPr>
        <w:t>②</w:t>
      </w:r>
      <w:r>
        <w:rPr>
          <w:rFonts w:hint="eastAsia" w:ascii="Times New Roman" w:hAnsi="Times New Roman" w:eastAsia="宋体" w:cs="Times New Roman"/>
          <w:color w:val="000000"/>
          <w:sz w:val="21"/>
          <w:szCs w:val="21"/>
        </w:rPr>
        <w:t>终止确认部分的对价，与原直接计入所有者权益的公允价值变动累计额中对应终止确认部分的金额（涉及</w:t>
      </w:r>
      <w:r>
        <w:rPr>
          <w:rFonts w:hint="eastAsia"/>
          <w:color w:val="auto"/>
          <w:sz w:val="21"/>
          <w:szCs w:val="21"/>
          <w:highlight w:val="none"/>
        </w:rPr>
        <w:t>转移的金融资产为以公允价值计量且其变动计入其他综合收益的金融资产（债务工具）的情形）之和。</w:t>
      </w:r>
    </w:p>
    <w:p>
      <w:pPr>
        <w:pStyle w:val="4"/>
        <w:widowControl/>
        <w:spacing w:beforeAutospacing="0" w:afterAutospacing="0" w:line="360" w:lineRule="exact"/>
        <w:ind w:firstLine="420" w:firstLineChars="200"/>
        <w:rPr>
          <w:rFonts w:hint="eastAsia"/>
          <w:color w:val="000000"/>
          <w:sz w:val="21"/>
          <w:szCs w:val="21"/>
        </w:rPr>
      </w:pPr>
      <w:r>
        <w:rPr>
          <w:rFonts w:hint="eastAsia"/>
          <w:color w:val="000000"/>
          <w:sz w:val="21"/>
          <w:szCs w:val="21"/>
        </w:rPr>
        <w:t>金融资产转移不满足终止确认条件的，继续确认该金融资产，所收到的对价确认为一项金融负债。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left"/>
        <w:textAlignment w:val="auto"/>
        <w:outlineLvl w:val="3"/>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4. 金融负债终止确认</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金融负债的现时义务全部或部分已经解除的，则终止确认该金融负债或其一部分；本公司若与债权人签定协议，以承担新金融负债方式替换现存金融负债，且新金融负债与现存金融负债的合同条款实质上不同的，则终止确认现存金融负债，并同时确认新金融负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对现存金融负债全部或部分合同条款作出实质性修改的，则终止确认现存金融负债或其一部分，同时将修改条款后的金融负债确认为一项新金融负债。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金融负债全部或部分终止确认时，终止确认的金融负债账面价值与支付对价（包括转出的非现金资产或承担的新金融负债）之间的差额，计入当期损益。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本公司若回购部分金融负债的，在回购日按照继续确认部分与终止确认部分的相对公允价值，将该金融负债整体的账面价值进行分配。分配给终止确认部分的账面价值与支付的对价（包括转出的非现金资产或承担的新金融负债）之间的差额，计入当期损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outlineLvl w:val="3"/>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5. 金融资产和金融负债的公允价值的确定方法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存在活跃市场的金融工具，以活跃市场中的报价确定其公允价值。不存在活跃市场的金融工具，采用估值技术确定其公允价值。在估值时，本公司采用在当前情况下适用并且有足够可利用数据和其他信息支持的估值技术，选择与市场参与者在相关资产或负债的交易中所考虑的资产或负债特征相一致的输入值，并优先使用相关可观察输入值。只有在相关可观察输入值无法取得或取得不切实可行的情况下，才使用不可观察输入值。</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outlineLvl w:val="3"/>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6. 金融工具减值的测试方法及会计处理方法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本公司对以摊余成本计量的金融资产、以公允价值计量且其变动计入其他综合收益的金融资产（债务工具）和财务担保合同等以预期信用损失为基础进行减值会计处理。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本公司考虑有关过去事项、当前状况以及对未来经济状况的预测等合理且有依据的信息，以发生违约的风险为权重，计算合同应收的现金流量与预期能收到的现金流量之间差额的现值的概率加权金额，确认预期信用损失。</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对于由《企业会计准则第</w:t>
      </w:r>
      <w:r>
        <w:rPr>
          <w:rFonts w:hint="default" w:ascii="Times New Roman" w:hAnsi="Times New Roman" w:eastAsia="宋体" w:cs="Times New Roman"/>
          <w:color w:val="000000"/>
          <w:sz w:val="21"/>
          <w:szCs w:val="21"/>
        </w:rPr>
        <w:t>14</w:t>
      </w:r>
      <w:r>
        <w:rPr>
          <w:rFonts w:hint="eastAsia" w:ascii="Times New Roman" w:hAnsi="Times New Roman" w:eastAsia="宋体" w:cs="Times New Roman"/>
          <w:color w:val="000000"/>
          <w:sz w:val="21"/>
          <w:szCs w:val="21"/>
        </w:rPr>
        <w:t>号——收入》规范的交易形成的应收款项和合同资产，无论是否包含重大融资成分，本公司始终按照相当于整个存续期内预期信用损失的金额计量其损失准备。</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对于由《企业会计准则第</w:t>
      </w:r>
      <w:r>
        <w:rPr>
          <w:rFonts w:hint="default" w:ascii="Times New Roman" w:hAnsi="Times New Roman" w:eastAsia="宋体" w:cs="Times New Roman"/>
          <w:color w:val="000000"/>
          <w:sz w:val="21"/>
          <w:szCs w:val="21"/>
        </w:rPr>
        <w:t>21</w:t>
      </w:r>
      <w:r>
        <w:rPr>
          <w:rFonts w:hint="eastAsia" w:ascii="Times New Roman" w:hAnsi="Times New Roman" w:eastAsia="宋体" w:cs="Times New Roman"/>
          <w:color w:val="000000"/>
          <w:sz w:val="21"/>
          <w:szCs w:val="21"/>
        </w:rPr>
        <w:t>号——租赁》规范的交易形成的租赁应收款，本公司选择始终按照相当于整个存续期内预期信用损失的金额计量其损失准备。</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对于其他金融工具，本公司在每个资产负债表日评估相关金融工具的信用风险自初始确认后的变动情况。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本公司通过比较金融工具在资产负债表日发生违约的风险与在初始确认日发生违约的风险，以确定金融工具预计存续期内发生违约风险的相对变化，以评估金融工具的信用风险自初始确认后是否已显著增加。通常逾期超过</w:t>
      </w:r>
      <w:r>
        <w:rPr>
          <w:rFonts w:hint="default" w:ascii="Times New Roman" w:hAnsi="Times New Roman" w:eastAsia="宋体" w:cs="Times New Roman"/>
          <w:color w:val="000000"/>
          <w:sz w:val="21"/>
          <w:szCs w:val="21"/>
        </w:rPr>
        <w:t>30</w:t>
      </w:r>
      <w:r>
        <w:rPr>
          <w:rFonts w:hint="eastAsia" w:ascii="Times New Roman" w:hAnsi="Times New Roman" w:eastAsia="宋体" w:cs="Times New Roman"/>
          <w:color w:val="000000"/>
          <w:sz w:val="21"/>
          <w:szCs w:val="21"/>
        </w:rPr>
        <w:t>日，本公司即认为该金融工具的信用风险已显著增加，除非有确凿证据证明该金融工具的信用风险自初始确认后并未显著增加。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如果金融工具于资产负债表日的信用风险较低，本公司即认为该金融工具的信用风险自初始确认后并未显著增加。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如果该金融工具的信用风险自初始确认后已显著增加，本公司按照相当于该金融工具整个存续期内预期信用损失的金额计量其损失准备；如果该金融工具的信用风险自初始确认后并未显著增加，本公司按照相当于该金融工具未来</w:t>
      </w:r>
      <w:r>
        <w:rPr>
          <w:rFonts w:hint="default" w:ascii="Times New Roman" w:hAnsi="Times New Roman" w:eastAsia="宋体" w:cs="Times New Roman"/>
          <w:color w:val="000000"/>
          <w:sz w:val="21"/>
          <w:szCs w:val="21"/>
        </w:rPr>
        <w:t>12</w:t>
      </w:r>
      <w:r>
        <w:rPr>
          <w:rFonts w:hint="eastAsia" w:ascii="Times New Roman" w:hAnsi="Times New Roman" w:eastAsia="宋体" w:cs="Times New Roman"/>
          <w:color w:val="000000"/>
          <w:sz w:val="21"/>
          <w:szCs w:val="21"/>
        </w:rPr>
        <w:t>个月内预期信用损失的金额计量其损失准备。由此形成的损失准备的增加或转回金额，作为减值损失或利得计入当期损益。对于以公允价值计量且其变动计入其他综合收益的金融资产（债务工具），在其他综合收益中确认其损失准备，并将减值损失或利得计入当期损益，且不减少该金融资产在资产负债表中列示的账面价值。</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本公司不再合理预期金融资产合同现金流量能够全部或部分收回的，直接减记该金融资产的账面余额。</w:t>
      </w:r>
      <w:r>
        <w:rPr>
          <w:rFonts w:hint="default" w:ascii="Times New Roman" w:hAnsi="Times New Roman" w:eastAsia="宋体" w:cs="Times New Roman"/>
          <w:color w:val="000000"/>
          <w:sz w:val="21"/>
          <w:szCs w:val="21"/>
        </w:rPr>
        <w:t> </w:t>
      </w:r>
    </w:p>
    <w:bookmarkEnd w:id="193"/>
    <w:p>
      <w:pPr>
        <w:keepNext/>
        <w:keepLines/>
        <w:spacing w:before="300" w:after="300" w:line="280" w:lineRule="exact"/>
        <w:jc w:val="left"/>
        <w:outlineLvl w:val="2"/>
        <w:rPr>
          <w:rFonts w:ascii="宋体" w:hAnsi="宋体" w:eastAsia="宋体" w:cs="宋体"/>
          <w:b/>
          <w:bCs/>
          <w:sz w:val="21"/>
          <w:szCs w:val="21"/>
        </w:rPr>
      </w:pPr>
      <w:bookmarkStart w:id="194" w:name="_Toc989063"/>
      <w:r>
        <w:rPr>
          <w:rFonts w:hint="eastAsia" w:ascii="宋体" w:hAnsi="宋体" w:cs="宋体"/>
          <w:b/>
          <w:bCs/>
          <w:sz w:val="21"/>
          <w:szCs w:val="21"/>
          <w:lang w:eastAsia="zh-CN"/>
        </w:rPr>
        <w:t>（十二）</w:t>
      </w:r>
      <w:r>
        <w:rPr>
          <w:rFonts w:ascii="宋体" w:hAnsi="宋体" w:eastAsia="宋体" w:cs="宋体"/>
          <w:b/>
          <w:bCs/>
          <w:sz w:val="21"/>
          <w:szCs w:val="21"/>
        </w:rPr>
        <w:t>合同资产</w:t>
      </w:r>
      <w:bookmarkEnd w:id="194"/>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outlineLvl w:val="3"/>
        <w:rPr>
          <w:rFonts w:hint="eastAsia" w:ascii="Times New Roman" w:hAnsi="Times New Roman" w:eastAsia="宋体" w:cs="Times New Roman"/>
          <w:color w:val="000000"/>
          <w:sz w:val="21"/>
          <w:szCs w:val="21"/>
          <w:lang w:val="en-US" w:eastAsia="zh-CN"/>
        </w:rPr>
      </w:pPr>
      <w:bookmarkStart w:id="195" w:name="OLE_LINK31"/>
      <w:r>
        <w:rPr>
          <w:rFonts w:hint="eastAsia" w:ascii="Times New Roman" w:hAnsi="Times New Roman" w:eastAsia="宋体" w:cs="Times New Roman"/>
          <w:color w:val="000000"/>
          <w:sz w:val="21"/>
          <w:szCs w:val="21"/>
          <w:lang w:val="en-US" w:eastAsia="zh-CN"/>
        </w:rPr>
        <w:t>1. 合同资产的确认方法及标准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本公司根据履行履约义务与客户付款之间的关系在资产负债表中列示合同资产或合同负债。本公司已向客户转让商品或提供服务而有权收取对价的权利（且该权利取决于时间流逝之外的其他因素）列示为合同资产。同一合同下的合同资产和合同负债以净额列示。本公司拥有的、无条件（仅取决于时间流逝）向客户收取对价的权利作为应收款项单独列示。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outlineLvl w:val="3"/>
        <w:rPr>
          <w:rFonts w:hint="eastAsia"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 </w:t>
      </w:r>
      <w:r>
        <w:rPr>
          <w:rFonts w:hint="eastAsia" w:ascii="Times New Roman" w:hAnsi="Times New Roman" w:eastAsia="宋体" w:cs="Times New Roman"/>
          <w:color w:val="000000"/>
          <w:sz w:val="21"/>
          <w:szCs w:val="21"/>
          <w:lang w:val="en-US" w:eastAsia="zh-CN"/>
        </w:rPr>
        <w:t>2.合同资产预期信用损失的确定方法及会计处理方法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合同资产的预期信用损失的确定方法及会计处理方法详见本附注“（十）</w:t>
      </w:r>
      <w:r>
        <w:rPr>
          <w:rFonts w:hint="default" w:ascii="Times New Roman" w:hAnsi="Times New Roman" w:eastAsia="宋体" w:cs="Times New Roman"/>
          <w:color w:val="000000"/>
          <w:sz w:val="21"/>
          <w:szCs w:val="21"/>
        </w:rPr>
        <w:t>6</w:t>
      </w:r>
      <w:r>
        <w:rPr>
          <w:rFonts w:hint="eastAsia" w:ascii="Times New Roman" w:hAnsi="Times New Roman" w:eastAsia="宋体" w:cs="Times New Roman"/>
          <w:color w:val="000000"/>
          <w:sz w:val="21"/>
          <w:szCs w:val="21"/>
        </w:rPr>
        <w:t>、金融工具减值的测试方法及会计处理方法”。</w:t>
      </w:r>
    </w:p>
    <w:bookmarkEnd w:id="195"/>
    <w:p>
      <w:pPr>
        <w:keepNext/>
        <w:keepLines/>
        <w:spacing w:before="300" w:after="300" w:line="280" w:lineRule="exact"/>
        <w:jc w:val="left"/>
        <w:outlineLvl w:val="2"/>
        <w:rPr>
          <w:rFonts w:ascii="宋体" w:hAnsi="宋体" w:eastAsia="宋体" w:cs="宋体"/>
          <w:b/>
          <w:bCs/>
          <w:sz w:val="21"/>
          <w:szCs w:val="21"/>
        </w:rPr>
      </w:pPr>
      <w:bookmarkStart w:id="196" w:name="_Toc989064"/>
      <w:r>
        <w:rPr>
          <w:rFonts w:hint="eastAsia" w:ascii="宋体" w:hAnsi="宋体" w:cs="宋体"/>
          <w:b/>
          <w:bCs/>
          <w:sz w:val="21"/>
          <w:szCs w:val="21"/>
          <w:lang w:eastAsia="zh-CN"/>
        </w:rPr>
        <w:t>（十三）</w:t>
      </w:r>
      <w:r>
        <w:rPr>
          <w:rFonts w:ascii="宋体" w:hAnsi="宋体" w:eastAsia="宋体" w:cs="宋体"/>
          <w:b/>
          <w:bCs/>
          <w:sz w:val="21"/>
          <w:szCs w:val="21"/>
        </w:rPr>
        <w:t>存货</w:t>
      </w:r>
      <w:bookmarkEnd w:id="196"/>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outlineLvl w:val="3"/>
        <w:rPr>
          <w:rFonts w:hint="eastAsia" w:ascii="Times New Roman" w:hAnsi="Times New Roman" w:eastAsia="宋体" w:cs="Times New Roman"/>
          <w:color w:val="000000"/>
          <w:sz w:val="21"/>
          <w:szCs w:val="21"/>
          <w:lang w:val="en-US" w:eastAsia="zh-CN"/>
        </w:rPr>
      </w:pPr>
      <w:bookmarkStart w:id="197" w:name="OLE_LINK32"/>
      <w:r>
        <w:rPr>
          <w:rFonts w:hint="eastAsia" w:ascii="Times New Roman" w:hAnsi="Times New Roman" w:eastAsia="宋体" w:cs="Times New Roman"/>
          <w:color w:val="000000"/>
          <w:sz w:val="21"/>
          <w:szCs w:val="21"/>
          <w:lang w:val="en-US" w:eastAsia="zh-CN"/>
        </w:rPr>
        <w:t>1.存货的分类和成本</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存货分类为：原材料、周转材料、库存商品、在产品、发出商品、委托加工物资等。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存货按成本进行初始计量，存货成本包括采购成本、加工成本和其他使存货达到目前场所和状态所发生的支出。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outlineLvl w:val="3"/>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2.发出存货的计价方法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t>存货发出时按加权平均法计价。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outlineLvl w:val="3"/>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3. 存货的盘存制度</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t>采用永续盘存制。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outlineLvl w:val="3"/>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4. 低值易耗品和包装物的摊销方法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fldChar w:fldCharType="begin"/>
      </w:r>
      <w:r>
        <w:rPr>
          <w:rFonts w:hint="eastAsia" w:cs="Times New Roman"/>
          <w:color w:val="000000"/>
          <w:sz w:val="21"/>
          <w:szCs w:val="21"/>
          <w:lang w:val="en-US" w:eastAsia="zh-CN"/>
        </w:rPr>
        <w:instrText xml:space="preserve"> = 1 \* GB3 \* MERGEFORMAT </w:instrText>
      </w:r>
      <w:r>
        <w:rPr>
          <w:rFonts w:hint="eastAsia" w:cs="Times New Roman"/>
          <w:color w:val="000000"/>
          <w:sz w:val="21"/>
          <w:szCs w:val="21"/>
          <w:lang w:val="en-US" w:eastAsia="zh-CN"/>
        </w:rPr>
        <w:fldChar w:fldCharType="separate"/>
      </w:r>
      <w:r>
        <w:t>①</w:t>
      </w:r>
      <w:r>
        <w:rPr>
          <w:rFonts w:hint="eastAsia" w:cs="Times New Roman"/>
          <w:color w:val="000000"/>
          <w:sz w:val="21"/>
          <w:szCs w:val="21"/>
          <w:lang w:val="en-US" w:eastAsia="zh-CN"/>
        </w:rPr>
        <w:fldChar w:fldCharType="end"/>
      </w:r>
      <w:r>
        <w:rPr>
          <w:rFonts w:hint="eastAsia" w:cs="Times New Roman"/>
          <w:color w:val="000000"/>
          <w:sz w:val="21"/>
          <w:szCs w:val="21"/>
          <w:lang w:val="en-US" w:eastAsia="zh-CN"/>
        </w:rPr>
        <w:t>低值易耗品采用一次转销法；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fldChar w:fldCharType="begin"/>
      </w:r>
      <w:r>
        <w:rPr>
          <w:rFonts w:hint="eastAsia" w:cs="Times New Roman"/>
          <w:color w:val="000000"/>
          <w:sz w:val="21"/>
          <w:szCs w:val="21"/>
          <w:lang w:val="en-US" w:eastAsia="zh-CN"/>
        </w:rPr>
        <w:instrText xml:space="preserve"> = 2 \* GB3 \* MERGEFORMAT </w:instrText>
      </w:r>
      <w:r>
        <w:rPr>
          <w:rFonts w:hint="eastAsia" w:cs="Times New Roman"/>
          <w:color w:val="000000"/>
          <w:sz w:val="21"/>
          <w:szCs w:val="21"/>
          <w:lang w:val="en-US" w:eastAsia="zh-CN"/>
        </w:rPr>
        <w:fldChar w:fldCharType="separate"/>
      </w:r>
      <w:r>
        <w:t>②</w:t>
      </w:r>
      <w:r>
        <w:rPr>
          <w:rFonts w:hint="eastAsia" w:cs="Times New Roman"/>
          <w:color w:val="000000"/>
          <w:sz w:val="21"/>
          <w:szCs w:val="21"/>
          <w:lang w:val="en-US" w:eastAsia="zh-CN"/>
        </w:rPr>
        <w:fldChar w:fldCharType="end"/>
      </w:r>
      <w:r>
        <w:rPr>
          <w:rFonts w:hint="eastAsia" w:cs="Times New Roman"/>
          <w:color w:val="000000"/>
          <w:sz w:val="21"/>
          <w:szCs w:val="21"/>
          <w:lang w:val="en-US" w:eastAsia="zh-CN"/>
        </w:rPr>
        <w:t>包装物采用一次转销法。</w:t>
      </w:r>
      <w:r>
        <w:rPr>
          <w:rFonts w:hint="default" w:cs="Times New Roman"/>
          <w:color w:val="000000"/>
          <w:sz w:val="21"/>
          <w:szCs w:val="21"/>
          <w:lang w:val="en-US" w:eastAsia="zh-CN"/>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outlineLvl w:val="3"/>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5. 存货跌价准备的确认标准和计提方法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t>资产负债表日，存货应当按照成本与可变现净值孰低计量。当存货成本高于其可变现净值的，应当计提存货跌价准备。可变现净值，是指在日常活动中，存货的估计售价减去至完工时估计将要发生的成本、估计的销售费用以及相关税费后的金额。</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t>产成品、库存商品和用于出售的材料等直接用于出售的商品存货，在正常生产经营过程中，以该存货的估计售价减去估计的销售费用和相关税费后的金额，确定其可变现净值；需要经过加工的材料存货，在正常生产经营过程中，以所生产的产成品的估计售价减去至完工时估计将要发生的成本、估计的销售费用和相关税费后的金额，确定其可变现净值；为执行销售合同或者劳务合同而持有的存货，其可变现净值以合同价格为基础计算，若持有存货的数量多于销售合同订购数量的，超出部分的存货的可变现净值以一般销售价格为基础计算。</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pPr>
      <w:r>
        <w:rPr>
          <w:rFonts w:hint="eastAsia" w:cs="Times New Roman"/>
          <w:color w:val="000000"/>
          <w:sz w:val="21"/>
          <w:szCs w:val="21"/>
          <w:lang w:val="en-US" w:eastAsia="zh-CN"/>
        </w:rPr>
        <w:t>本公司按照组合计提存货跌价准备的，组合类别及确定依据以及不同类别存货。计提存货跌价准备后，如果以前减记存货价值的影响因素已经消失，导致存货的可变现净值高于其账面价值的，在原已计提的存货跌价准备金额内予以</w:t>
      </w:r>
      <w:r>
        <w:rPr>
          <w:rFonts w:hint="eastAsia" w:ascii="宋体" w:hAnsi="宋体" w:eastAsia="宋体" w:cs="宋体"/>
          <w:color w:val="000000"/>
          <w:sz w:val="21"/>
          <w:szCs w:val="21"/>
        </w:rPr>
        <w:t>转回，转回的金额计入当期损益。</w:t>
      </w:r>
    </w:p>
    <w:bookmarkEnd w:id="197"/>
    <w:p>
      <w:pPr>
        <w:keepNext/>
        <w:keepLines/>
        <w:spacing w:before="300" w:after="300" w:line="280" w:lineRule="exact"/>
        <w:jc w:val="left"/>
        <w:outlineLvl w:val="2"/>
        <w:rPr>
          <w:rFonts w:hint="eastAsia" w:ascii="宋体" w:hAnsi="宋体" w:cs="宋体"/>
          <w:b/>
          <w:bCs/>
          <w:sz w:val="21"/>
          <w:szCs w:val="21"/>
          <w:lang w:eastAsia="zh-CN"/>
        </w:rPr>
      </w:pPr>
      <w:bookmarkStart w:id="198" w:name="_Toc989065"/>
      <w:r>
        <w:rPr>
          <w:rFonts w:hint="eastAsia" w:ascii="宋体" w:hAnsi="宋体" w:cs="宋体"/>
          <w:b/>
          <w:bCs/>
          <w:sz w:val="21"/>
          <w:szCs w:val="21"/>
          <w:lang w:eastAsia="zh-CN"/>
        </w:rPr>
        <w:t>（十四）持有待售资产</w:t>
      </w:r>
      <w:bookmarkEnd w:id="198"/>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bookmarkStart w:id="199" w:name="OLE_LINK33"/>
      <w:r>
        <w:rPr>
          <w:rFonts w:hint="eastAsia" w:cs="Times New Roman"/>
          <w:color w:val="000000"/>
          <w:sz w:val="21"/>
          <w:szCs w:val="21"/>
          <w:lang w:val="en-US" w:eastAsia="zh-CN"/>
        </w:rPr>
        <w:t>主要通过出售（包括具有商业实质的非货币性资产交换）而非持续使用一项非流动资产或处置组收回其账面价值的，划分为持有待售类别。</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t>本公司将同时满足下列条件的非流动资产或处置组划分为持有待售类别：</w:t>
      </w:r>
    </w:p>
    <w:p>
      <w:pPr>
        <w:pStyle w:val="4"/>
        <w:widowControl/>
        <w:spacing w:beforeAutospacing="0" w:afterAutospacing="0"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①根据类似交易中出售此类资产或处置组的惯例，在当前状况下即可立即出售；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ascii="宋体" w:hAnsi="宋体" w:eastAsia="宋体" w:cs="宋体"/>
          <w:color w:val="auto"/>
          <w:sz w:val="21"/>
          <w:szCs w:val="21"/>
          <w:highlight w:val="none"/>
        </w:rPr>
        <w:t>②出</w:t>
      </w:r>
      <w:r>
        <w:rPr>
          <w:rFonts w:hint="eastAsia" w:ascii="宋体" w:hAnsi="宋体" w:eastAsia="宋体" w:cs="宋体"/>
          <w:color w:val="000000"/>
          <w:sz w:val="21"/>
          <w:szCs w:val="21"/>
        </w:rPr>
        <w:t>售极可能发生</w:t>
      </w:r>
      <w:r>
        <w:rPr>
          <w:rFonts w:hint="eastAsia"/>
          <w:color w:val="000000"/>
          <w:sz w:val="21"/>
          <w:szCs w:val="21"/>
        </w:rPr>
        <w:t>，即本公司已经就一项出售计划作出决议且获得确定的购买承诺，预计出售</w:t>
      </w:r>
      <w:r>
        <w:rPr>
          <w:rFonts w:hint="eastAsia" w:cs="Times New Roman"/>
          <w:color w:val="000000"/>
          <w:sz w:val="21"/>
          <w:szCs w:val="21"/>
          <w:lang w:val="en-US" w:eastAsia="zh-CN"/>
        </w:rPr>
        <w:t>将在一年内完成。有关规定要求本公司相关权力机构或者监管部门批准后方可出售的，已经获得批准。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t>划分为持有待售的非流动资产（不包括金融资产、递延所得税资产、职工薪酬形成的资产）或处置组，其账面价值高于公允价值减去出售费用后的净额的，账面价值减记至公允价值减去出售费用后的净额，减记的金额确认为资产减值损失，计入当期损益，同时计提持有待售资产减值准备。</w:t>
      </w:r>
    </w:p>
    <w:bookmarkEnd w:id="199"/>
    <w:p>
      <w:pPr>
        <w:keepNext/>
        <w:keepLines/>
        <w:spacing w:before="300" w:after="300" w:line="280" w:lineRule="exact"/>
        <w:jc w:val="left"/>
        <w:outlineLvl w:val="2"/>
        <w:rPr>
          <w:rFonts w:ascii="宋体" w:hAnsi="宋体" w:eastAsia="宋体" w:cs="宋体"/>
          <w:b/>
          <w:bCs/>
          <w:sz w:val="21"/>
          <w:szCs w:val="21"/>
        </w:rPr>
      </w:pPr>
      <w:bookmarkStart w:id="200" w:name="_Toc989066"/>
      <w:r>
        <w:rPr>
          <w:rFonts w:hint="eastAsia" w:ascii="宋体" w:hAnsi="宋体" w:cs="宋体"/>
          <w:b/>
          <w:bCs/>
          <w:sz w:val="21"/>
          <w:szCs w:val="21"/>
          <w:lang w:eastAsia="zh-CN"/>
        </w:rPr>
        <w:t>（十五）</w:t>
      </w:r>
      <w:r>
        <w:rPr>
          <w:rFonts w:ascii="宋体" w:hAnsi="宋体" w:eastAsia="宋体" w:cs="宋体"/>
          <w:b/>
          <w:bCs/>
          <w:sz w:val="21"/>
          <w:szCs w:val="21"/>
        </w:rPr>
        <w:t>长期股权投资</w:t>
      </w:r>
      <w:bookmarkEnd w:id="200"/>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outlineLvl w:val="3"/>
        <w:rPr>
          <w:rFonts w:hint="eastAsia" w:ascii="Times New Roman" w:hAnsi="Times New Roman" w:eastAsia="宋体" w:cs="Times New Roman"/>
          <w:color w:val="000000"/>
          <w:sz w:val="21"/>
          <w:szCs w:val="21"/>
          <w:lang w:val="en-US" w:eastAsia="zh-CN"/>
        </w:rPr>
      </w:pPr>
      <w:bookmarkStart w:id="201" w:name="OLE_LINK34"/>
      <w:r>
        <w:rPr>
          <w:rFonts w:hint="eastAsia" w:ascii="Times New Roman" w:hAnsi="Times New Roman" w:eastAsia="宋体" w:cs="Times New Roman"/>
          <w:color w:val="000000"/>
          <w:sz w:val="21"/>
          <w:szCs w:val="21"/>
          <w:lang w:val="en-US" w:eastAsia="zh-CN"/>
        </w:rPr>
        <w:t>1.共同控制、重大影响的判断标准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t>共同控制，是指按照相关约定对某项安排所共有的控制，并且该安排的相关活动必须经过分享控制权的参与方一致同意后才能决策。本公司与其他合营方一同对被投资单位实施共同控制且对被投资单位净资产享有权利的，被投资单位为本公司的合营企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t>重大影响，是指对被投资单位的财务和经营决策有参与决策的权力，但并不能够控制或者与其他方一起共同控制这些政策的制定。本公司能够对被投资单位施加重大影响的，被投资单位为本公司联营企业。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outlineLvl w:val="3"/>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2. 初始投资成本的确定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t>（</w:t>
      </w:r>
      <w:r>
        <w:rPr>
          <w:rFonts w:hint="default" w:cs="Times New Roman"/>
          <w:color w:val="000000"/>
          <w:sz w:val="21"/>
          <w:szCs w:val="21"/>
          <w:lang w:val="en-US" w:eastAsia="zh-CN"/>
        </w:rPr>
        <w:t>1</w:t>
      </w:r>
      <w:r>
        <w:rPr>
          <w:rFonts w:hint="eastAsia" w:cs="Times New Roman"/>
          <w:color w:val="000000"/>
          <w:sz w:val="21"/>
          <w:szCs w:val="21"/>
          <w:lang w:val="en-US" w:eastAsia="zh-CN"/>
        </w:rPr>
        <w:t>）企业合并形成的长期股权投资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t>对于同一控制下的企业合并形成的对子公司的长期股权投资，在合并日按照取得被合并方所有者权益在最终控制方合并财务报表中的账面价值的份额作为长期股权投资的初始投资成本。长期股权投资初始投资成本与支付对价账面价值之间的差额，调整资本公积中的股本溢价；资本公积中的股本溢价不足冲减时，调整留存收益。因追加投资等原因能够对同一控制下的被投资单位实施控制的，按上述原则确认的长期股权投资的初始投资成本与达到合并前的长期股权投资账面价值加上合并日进一步取得股份新支付对价的账面价值之和的差额，调整股本溢价，股本溢价不足冲减的，冲减留存收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t>对于非同一控制下的企业合并形成的对子公司的长期股权投资，按照购买日确定的合并成本作为长期股权投资的初始投资成本。因追加投资等原因能够对非同一控制下的被投资单位实施控制的，按照原持有的股权投资账面价值加上新增投资成本之和作为初始投资成本。</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t>（</w:t>
      </w:r>
      <w:r>
        <w:rPr>
          <w:rFonts w:hint="default" w:cs="Times New Roman"/>
          <w:color w:val="000000"/>
          <w:sz w:val="21"/>
          <w:szCs w:val="21"/>
          <w:lang w:val="en-US" w:eastAsia="zh-CN"/>
        </w:rPr>
        <w:t>2</w:t>
      </w:r>
      <w:r>
        <w:rPr>
          <w:rFonts w:hint="eastAsia" w:cs="Times New Roman"/>
          <w:color w:val="000000"/>
          <w:sz w:val="21"/>
          <w:szCs w:val="21"/>
          <w:lang w:val="en-US" w:eastAsia="zh-CN"/>
        </w:rPr>
        <w:t>）通过企业合并以外的其他方式取得的长期股权投资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t>以支付现金方式取得的长期股权投资，按照实际支付的购买价款作为初始投资成本。</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t>以发行权益性证券取得的长期股权投资，按照发行权益性证券的公允价值作为初始投资成本。</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outlineLvl w:val="3"/>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3.后续计量及损益确认方法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t>（</w:t>
      </w:r>
      <w:r>
        <w:rPr>
          <w:rFonts w:hint="default" w:cs="Times New Roman"/>
          <w:color w:val="000000"/>
          <w:sz w:val="21"/>
          <w:szCs w:val="21"/>
          <w:lang w:val="en-US" w:eastAsia="zh-CN"/>
        </w:rPr>
        <w:t>1</w:t>
      </w:r>
      <w:r>
        <w:rPr>
          <w:rFonts w:hint="eastAsia" w:cs="Times New Roman"/>
          <w:color w:val="000000"/>
          <w:sz w:val="21"/>
          <w:szCs w:val="21"/>
          <w:lang w:val="en-US" w:eastAsia="zh-CN"/>
        </w:rPr>
        <w:t>）成本法核算的长期股权投资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t>公司对子公司的长期股权投资，采用成本法核算，除非投资符合持有待售的条件。除取得投资时实际支付的价款或对价中包含的已宣告但尚未发放的现金股利或利润外，公司按照享有被投资单位宣告发放的现金股利或利润确认当期投资收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t>（</w:t>
      </w:r>
      <w:r>
        <w:rPr>
          <w:rFonts w:hint="default" w:cs="Times New Roman"/>
          <w:color w:val="000000"/>
          <w:sz w:val="21"/>
          <w:szCs w:val="21"/>
          <w:lang w:val="en-US" w:eastAsia="zh-CN"/>
        </w:rPr>
        <w:t>2</w:t>
      </w:r>
      <w:r>
        <w:rPr>
          <w:rFonts w:hint="eastAsia" w:cs="Times New Roman"/>
          <w:color w:val="000000"/>
          <w:sz w:val="21"/>
          <w:szCs w:val="21"/>
          <w:lang w:val="en-US" w:eastAsia="zh-CN"/>
        </w:rPr>
        <w:t>）权益法核算的长期股权投资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t>对联营企业和合营企业的长期股权投资，采用权益法核算。初始投资成本大于投资时应享有被投资单位可辨认净资产公允价值份额的差额，不调整长期股权投资的初始投资成本；初始投资成本小于投资时应享有被投资单位可辨认净资产公允价值份额的差额，计入当期损益，同时调整长期股权投资的成本。</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t>公司按照应享有或应分担的被投资单位实现的净损益和其他综合收益的份额，分别确认投资收益和其他综合收益，同时调整长期股权投资的账面价值；按照被投资单位宣告分派的利润或现金股利计算应享有的部分，相应减少长期股权投资的账面价值；对于被投资单位除净损益、其他综合收益和利润分配以外所有者权益的其他变动（简称“其他所有者权益变动”），调整长期股权投资的账面价值并计入所有者权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t>在确认应享有被投资单位净损益、其他综合收益及其他所有者权益变动的份额时，以取得投资时被投资单位可辨认净资产的公允价值为基础，并按照公司的会计政策及会计期间，对被投资单位的净利润和其他综合收益等进行调整后确认。</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t>公司与联营企业、合营企业之间发生的未实现内部交易损益按照应享有的比例计算归属于公司的部分，予以抵销，在此基础上确认投资收益，但投出或出售的资产构成业务的除外。与被投资单位发生的未实现内部交易损失，属于资产减值损失的，全额确认。</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t>公司对合营企业或联营企业发生的净亏损，除负有承担额外损失义务外，以长期股权投资的账面价值以及其他实质上构成对合营企业或联营企业净投资的长期权益减记至零为限。合营企业或联营企业以后实现净利润的，公司在收益分享额弥补未确认的亏损分担额后，恢复确认收益分享额。</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t>（</w:t>
      </w:r>
      <w:r>
        <w:rPr>
          <w:rFonts w:hint="default" w:cs="Times New Roman"/>
          <w:color w:val="000000"/>
          <w:sz w:val="21"/>
          <w:szCs w:val="21"/>
          <w:lang w:val="en-US" w:eastAsia="zh-CN"/>
        </w:rPr>
        <w:t>3</w:t>
      </w:r>
      <w:r>
        <w:rPr>
          <w:rFonts w:hint="eastAsia" w:cs="Times New Roman"/>
          <w:color w:val="000000"/>
          <w:sz w:val="21"/>
          <w:szCs w:val="21"/>
          <w:lang w:val="en-US" w:eastAsia="zh-CN"/>
        </w:rPr>
        <w:t>）长期股权投资的处置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t>处置长期股权投资，其账面价值与实际取得价款的差额，计入当期损益。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t>部分处置权益法核算的长期股权投资，剩余股权仍采用权益法核算的，原权益法核算确认的其他综合收益采用与被投资单位直接处置相关资产或负债相同的基础按相应比例结转，其他所有者权益变动按比例结转入当期损益。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t>因处置股权投资等原因丧失了对被投资单位的共同控制或重大影响的，原股权投资因采用权益法核算而确认的其他综合收益，在终止采用权益法核算时采用与被投资单位直接处置相关资产或负债相同的基础进行会计处理，其他所有者权益变动在终止采用权益法核算时全部转入当期损益。</w:t>
      </w:r>
      <w:r>
        <w:rPr>
          <w:rFonts w:hint="default" w:cs="Times New Roman"/>
          <w:color w:val="000000"/>
          <w:sz w:val="21"/>
          <w:szCs w:val="21"/>
          <w:lang w:val="en-US" w:eastAsia="zh-CN"/>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t>因处置部分股权投资等原因丧失了对被投资单位控制权的，在编制个别财务报表时，剩余股权能够对被投资单位实施共同控制或重大影响的，改按权益法核算，并对该剩余股权视同自取得时即采用权益法核算进行调整，对于取得被投资单位控制权之前确认的其他综合收益采用与被投资单位直接处置相关资产或负债相同的基础按比例结转，因采用权益法核算确认的其他所有者权益变动按比例结转入当期损益；剩余股权不能对被投资单位实施共同控制或施加重大影响的，确认为金融资产，其在丧失控制之日的公允价值与账面价值间的差额计入当期损益，对于取得被投资单位控制权之前确认的其他综合收益和其他所有者权益变动全部结转。</w:t>
      </w:r>
      <w:r>
        <w:rPr>
          <w:rFonts w:hint="default" w:cs="Times New Roman"/>
          <w:color w:val="000000"/>
          <w:sz w:val="21"/>
          <w:szCs w:val="21"/>
          <w:lang w:val="en-US" w:eastAsia="zh-CN"/>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t>通过多次交易分步处置对子公司股权投资直至丧失控制权，属于一揽子交易的，各项交易作为一项处置子公司股权投资并丧失控制权的交易进行会计处理；在丧失控制权之前每一次处置价款与所处置的股权对应得长期股权投资账面价值之间的差额，在个别财务报表中，先确认为其他综合收益，到丧失控制权时再一并转入丧失控制权的当期损益。不属于一揽子交易的，对每一项交易分别进行会计处理。</w:t>
      </w:r>
    </w:p>
    <w:bookmarkEnd w:id="201"/>
    <w:p>
      <w:pPr>
        <w:keepNext/>
        <w:keepLines/>
        <w:spacing w:before="300" w:after="300" w:line="280" w:lineRule="exact"/>
        <w:jc w:val="left"/>
        <w:outlineLvl w:val="2"/>
        <w:rPr>
          <w:rFonts w:ascii="宋体" w:hAnsi="宋体" w:eastAsia="宋体" w:cs="宋体"/>
          <w:b/>
          <w:bCs/>
          <w:sz w:val="21"/>
          <w:szCs w:val="21"/>
        </w:rPr>
      </w:pPr>
      <w:bookmarkStart w:id="202" w:name="_Toc989067"/>
      <w:r>
        <w:rPr>
          <w:rFonts w:hint="eastAsia" w:ascii="宋体" w:hAnsi="宋体" w:cs="宋体"/>
          <w:b/>
          <w:bCs/>
          <w:sz w:val="21"/>
          <w:szCs w:val="21"/>
          <w:lang w:eastAsia="zh-CN"/>
        </w:rPr>
        <w:t>（十六）</w:t>
      </w:r>
      <w:r>
        <w:rPr>
          <w:rFonts w:ascii="宋体" w:hAnsi="宋体" w:eastAsia="宋体" w:cs="宋体"/>
          <w:b/>
          <w:bCs/>
          <w:sz w:val="21"/>
          <w:szCs w:val="21"/>
        </w:rPr>
        <w:t>固定资产</w:t>
      </w:r>
      <w:bookmarkEnd w:id="202"/>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outlineLvl w:val="3"/>
        <w:rPr>
          <w:rFonts w:hint="eastAsia" w:ascii="Times New Roman" w:hAnsi="Times New Roman" w:eastAsia="宋体" w:cs="Times New Roman"/>
          <w:color w:val="000000"/>
          <w:sz w:val="21"/>
          <w:szCs w:val="21"/>
          <w:lang w:val="en-US" w:eastAsia="zh-CN"/>
        </w:rPr>
      </w:pPr>
      <w:bookmarkStart w:id="203" w:name="_Toc989068"/>
      <w:bookmarkStart w:id="204" w:name="OLE_LINK36"/>
      <w:bookmarkStart w:id="205" w:name="OLE_LINK37"/>
      <w:bookmarkStart w:id="206" w:name="OLE_LINK35"/>
      <w:r>
        <w:rPr>
          <w:rFonts w:hint="eastAsia" w:ascii="Times New Roman" w:hAnsi="Times New Roman" w:eastAsia="宋体" w:cs="Times New Roman"/>
          <w:color w:val="000000"/>
          <w:sz w:val="21"/>
          <w:szCs w:val="21"/>
          <w:lang w:val="en-US" w:eastAsia="zh-CN"/>
        </w:rPr>
        <w:t>1.确认条件</w:t>
      </w:r>
      <w:bookmarkEnd w:id="203"/>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t>固定资产指为生产商品、提供劳务、出租或经营管理而持有，并且使用寿命超过一个会计年度的有形资产。固定资产在同时满足下列条件时予以确认：</w:t>
      </w:r>
    </w:p>
    <w:p>
      <w:pPr>
        <w:pStyle w:val="4"/>
        <w:widowControl/>
        <w:spacing w:beforeAutospacing="0" w:afterAutospacing="0"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①与该固定资产有关的经济利益很可能流入企业；</w:t>
      </w:r>
    </w:p>
    <w:p>
      <w:pPr>
        <w:pStyle w:val="4"/>
        <w:widowControl/>
        <w:spacing w:beforeAutospacing="0" w:afterAutospacing="0" w:line="360" w:lineRule="exact"/>
        <w:ind w:firstLine="420" w:firstLineChars="200"/>
        <w:rPr>
          <w:color w:val="auto"/>
          <w:sz w:val="21"/>
          <w:szCs w:val="21"/>
          <w:highlight w:val="none"/>
        </w:rPr>
      </w:pPr>
      <w:r>
        <w:rPr>
          <w:rFonts w:hint="eastAsia" w:ascii="宋体" w:hAnsi="宋体" w:eastAsia="宋体" w:cs="宋体"/>
          <w:color w:val="auto"/>
          <w:sz w:val="21"/>
          <w:szCs w:val="21"/>
          <w:highlight w:val="none"/>
        </w:rPr>
        <w:t>②该</w:t>
      </w:r>
      <w:r>
        <w:rPr>
          <w:rFonts w:hint="eastAsia"/>
          <w:color w:val="auto"/>
          <w:sz w:val="21"/>
          <w:szCs w:val="21"/>
          <w:highlight w:val="none"/>
        </w:rPr>
        <w:t>固定资产的成本能够可靠地计量。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auto"/>
          <w:sz w:val="21"/>
          <w:szCs w:val="21"/>
          <w:highlight w:val="none"/>
          <w:lang w:val="en-US" w:eastAsia="zh-CN"/>
        </w:rPr>
        <w:t>固定资产按成</w:t>
      </w:r>
      <w:r>
        <w:rPr>
          <w:rFonts w:hint="eastAsia" w:cs="Times New Roman"/>
          <w:color w:val="auto"/>
          <w:sz w:val="21"/>
          <w:szCs w:val="21"/>
          <w:lang w:val="en-US" w:eastAsia="zh-CN"/>
        </w:rPr>
        <w:t>本（并考虑预</w:t>
      </w:r>
      <w:r>
        <w:rPr>
          <w:rFonts w:hint="eastAsia" w:cs="Times New Roman"/>
          <w:color w:val="000000"/>
          <w:sz w:val="21"/>
          <w:szCs w:val="21"/>
          <w:lang w:val="en-US" w:eastAsia="zh-CN"/>
        </w:rPr>
        <w:t>计弃置费用因素的影响）进行初始计量。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t xml:space="preserve">与固定资产有关的后续支出，在与其有关的经济利益很可能流入且其成本能够可靠计量时，计入固定资产成本；对于被替换的部分，终止确认其账面价值；所有其他后续支出于发生时计入当期损益。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outlineLvl w:val="3"/>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2.折旧方法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t>固定资产折旧采用年限平均法分类计提，根据固定资产类别、预计使用寿命和预计净残值率确定折旧率。对计提了减值准备的固定资产，则在未来期间按扣除减值准备后的账面价值及依据尚可使用年限确定折旧额。如固定资产各组成部分的使用寿命不同或者以不同方式为企业提供经济利益，则选择不同折旧率或折旧方法，分别计提折旧。</w:t>
      </w:r>
    </w:p>
    <w:bookmarkEnd w:id="204"/>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pPr>
      <w:r>
        <w:rPr>
          <w:rFonts w:hint="eastAsia" w:cs="Times New Roman"/>
          <w:color w:val="000000"/>
          <w:sz w:val="21"/>
          <w:szCs w:val="21"/>
          <w:lang w:val="en-US" w:eastAsia="zh-CN"/>
        </w:rPr>
        <w:t>各类固定资产折旧方法、折旧年限、残值率和年折旧率如下：</w:t>
      </w:r>
      <w:bookmarkEnd w:id="205"/>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类别</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折旧方法</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折旧年限</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残值率</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年折旧率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房屋及建筑物</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年限平均法</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10-40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2.38-9.50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机器设备</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年限平均法</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3-10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9.50-31.67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运输工具</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年限平均法</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5-10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9.50-19.00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办公设备及其他</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年限平均法</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3-5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19.00-31.67</w:t>
            </w:r>
          </w:p>
        </w:tc>
      </w:tr>
    </w:tbl>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outlineLvl w:val="3"/>
        <w:rPr>
          <w:rFonts w:hint="eastAsia" w:ascii="Times New Roman" w:hAnsi="Times New Roman" w:eastAsia="宋体" w:cs="Times New Roman"/>
          <w:color w:val="000000"/>
          <w:sz w:val="21"/>
          <w:szCs w:val="21"/>
          <w:lang w:val="en-US" w:eastAsia="zh-CN"/>
        </w:rPr>
      </w:pPr>
      <w:bookmarkStart w:id="207" w:name="OLE_LINK38"/>
      <w:r>
        <w:rPr>
          <w:rFonts w:hint="eastAsia" w:ascii="Times New Roman" w:hAnsi="Times New Roman" w:eastAsia="宋体" w:cs="Times New Roman"/>
          <w:color w:val="000000"/>
          <w:sz w:val="21"/>
          <w:szCs w:val="21"/>
          <w:lang w:val="en-US" w:eastAsia="zh-CN"/>
        </w:rPr>
        <w:t>3.固定资产处置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t>当固定资产被处置、或者预期通过使用或处置不能产生经济利益时，终止确认该固定资产。固定资产出售、转让、报废或毁损的处置收入扣除其账面价值和相关税费后的金额计入当期损益。</w:t>
      </w:r>
      <w:bookmarkStart w:id="208" w:name="_Toc989070"/>
    </w:p>
    <w:bookmarkEnd w:id="206"/>
    <w:bookmarkEnd w:id="207"/>
    <w:p>
      <w:pPr>
        <w:keepNext/>
        <w:keepLines/>
        <w:spacing w:before="300" w:after="300" w:line="280" w:lineRule="exact"/>
        <w:jc w:val="left"/>
        <w:outlineLvl w:val="2"/>
        <w:rPr>
          <w:rFonts w:ascii="宋体" w:hAnsi="宋体" w:eastAsia="宋体" w:cs="宋体"/>
          <w:b/>
          <w:bCs/>
          <w:sz w:val="21"/>
          <w:szCs w:val="21"/>
        </w:rPr>
      </w:pPr>
      <w:r>
        <w:rPr>
          <w:rFonts w:hint="eastAsia" w:ascii="宋体" w:hAnsi="宋体" w:eastAsia="宋体" w:cs="宋体"/>
          <w:b/>
          <w:bCs/>
          <w:sz w:val="21"/>
          <w:szCs w:val="21"/>
          <w:lang w:eastAsia="zh-CN"/>
        </w:rPr>
        <w:t>（十七）</w:t>
      </w:r>
      <w:r>
        <w:rPr>
          <w:rFonts w:ascii="宋体" w:hAnsi="宋体" w:eastAsia="宋体" w:cs="宋体"/>
          <w:b/>
          <w:bCs/>
          <w:sz w:val="21"/>
          <w:szCs w:val="21"/>
        </w:rPr>
        <w:t>在建工程</w:t>
      </w:r>
      <w:bookmarkEnd w:id="208"/>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t>在建工程按实际发生的成本计量。实际成本包括建筑成本、安装成本、符合资本化条件的借款费用以及其他为使在建工程达到预定可使用状态前所发生的必要支出。在建工程在达到预定可使用状态时，转入固定资产并自次月起开始计提折旧。</w:t>
      </w:r>
    </w:p>
    <w:p>
      <w:pPr>
        <w:keepNext/>
        <w:keepLines/>
        <w:spacing w:before="300" w:after="300" w:line="280" w:lineRule="exact"/>
        <w:jc w:val="left"/>
        <w:outlineLvl w:val="2"/>
        <w:rPr>
          <w:rFonts w:ascii="宋体" w:hAnsi="宋体" w:eastAsia="宋体" w:cs="宋体"/>
          <w:b/>
          <w:bCs/>
          <w:sz w:val="21"/>
          <w:szCs w:val="21"/>
        </w:rPr>
      </w:pPr>
      <w:bookmarkStart w:id="209" w:name="_Toc989071"/>
      <w:r>
        <w:rPr>
          <w:rFonts w:hint="eastAsia" w:ascii="宋体" w:hAnsi="宋体" w:cs="宋体"/>
          <w:b/>
          <w:bCs/>
          <w:sz w:val="21"/>
          <w:szCs w:val="21"/>
          <w:lang w:eastAsia="zh-CN"/>
        </w:rPr>
        <w:t>（十八）</w:t>
      </w:r>
      <w:r>
        <w:rPr>
          <w:rFonts w:ascii="宋体" w:hAnsi="宋体" w:eastAsia="宋体" w:cs="宋体"/>
          <w:b/>
          <w:bCs/>
          <w:sz w:val="21"/>
          <w:szCs w:val="21"/>
        </w:rPr>
        <w:t>借款费用</w:t>
      </w:r>
      <w:bookmarkEnd w:id="209"/>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outlineLvl w:val="3"/>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1.借款费用资本化的确认原则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t>公司发生的借款费用，可直接归属于符合资本化条件的资产的购建或者生产的，予以资本化，计入相关资产成本；其他借款费用，在发生时根据其发生额确认为费用，计入当期损益。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t>符合资本化条件的资产，是指需要经过相当长时间的购建或者生产活动才能达到预定可使用或者可销售状态的固定资产、投资性房地产和存货等资产。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outlineLvl w:val="3"/>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2. 借款费用资本化期间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t>资本化期间，指从借款费用开始资本化时点到停止资本化时点的期间，借款费用暂停资本化的期间不包括在内。</w:t>
      </w:r>
    </w:p>
    <w:p>
      <w:pPr>
        <w:pStyle w:val="4"/>
        <w:widowControl/>
        <w:spacing w:beforeAutospacing="0" w:afterAutospacing="0" w:line="36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借款费用同时满足下列条件时开始资本化： </w:t>
      </w:r>
    </w:p>
    <w:p>
      <w:pPr>
        <w:pStyle w:val="4"/>
        <w:widowControl/>
        <w:spacing w:beforeAutospacing="0" w:afterAutospacing="0"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①资产支出已经发生，资产支出包括为购建或者生产符合资本化条件的资产而以支付现金、转移非现金资产或者承担带息债务形式发生的支出； </w:t>
      </w:r>
    </w:p>
    <w:p>
      <w:pPr>
        <w:pStyle w:val="4"/>
        <w:widowControl/>
        <w:spacing w:beforeAutospacing="0" w:afterAutospacing="0"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②借款费用已经发生； </w:t>
      </w:r>
    </w:p>
    <w:p>
      <w:pPr>
        <w:pStyle w:val="4"/>
        <w:widowControl/>
        <w:spacing w:beforeAutospacing="0" w:afterAutospacing="0" w:line="360" w:lineRule="exact"/>
        <w:ind w:firstLine="420" w:firstLineChars="200"/>
        <w:rPr>
          <w:color w:val="000000"/>
          <w:sz w:val="21"/>
          <w:szCs w:val="21"/>
        </w:rPr>
      </w:pPr>
      <w:r>
        <w:rPr>
          <w:rFonts w:hint="eastAsia" w:ascii="宋体" w:hAnsi="宋体" w:eastAsia="宋体" w:cs="宋体"/>
          <w:color w:val="auto"/>
          <w:sz w:val="21"/>
          <w:szCs w:val="21"/>
          <w:highlight w:val="none"/>
        </w:rPr>
        <w:t>③为使</w:t>
      </w:r>
      <w:r>
        <w:rPr>
          <w:rFonts w:hint="eastAsia"/>
          <w:color w:val="auto"/>
          <w:sz w:val="21"/>
          <w:szCs w:val="21"/>
          <w:highlight w:val="none"/>
        </w:rPr>
        <w:t>资产达</w:t>
      </w:r>
      <w:r>
        <w:rPr>
          <w:rFonts w:hint="eastAsia"/>
          <w:color w:val="000000"/>
          <w:sz w:val="21"/>
          <w:szCs w:val="21"/>
        </w:rPr>
        <w:t>到预定可使用或者可销售状态所必要的购建或者生产活动已经开始。</w:t>
      </w:r>
    </w:p>
    <w:p>
      <w:pPr>
        <w:pStyle w:val="4"/>
        <w:widowControl/>
        <w:spacing w:beforeAutospacing="0" w:afterAutospacing="0" w:line="360" w:lineRule="exact"/>
        <w:ind w:firstLine="420" w:firstLineChars="200"/>
        <w:rPr>
          <w:color w:val="000000"/>
          <w:sz w:val="21"/>
          <w:szCs w:val="21"/>
        </w:rPr>
      </w:pPr>
      <w:r>
        <w:rPr>
          <w:rFonts w:hint="eastAsia"/>
          <w:color w:val="000000"/>
          <w:sz w:val="21"/>
          <w:szCs w:val="21"/>
        </w:rPr>
        <w:t>当购建或者生产符合资本化条件的资产达到预定可使用或者可销售状态时，借款费用停止资本化。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outlineLvl w:val="3"/>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3. 暂停资本化期间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t>符合资本化条件的资产在购建或生产过程中发生的非正常中断、且中断时间连续超过</w:t>
      </w:r>
      <w:r>
        <w:rPr>
          <w:rFonts w:hint="default" w:cs="Times New Roman"/>
          <w:color w:val="000000"/>
          <w:sz w:val="21"/>
          <w:szCs w:val="21"/>
          <w:lang w:val="en-US" w:eastAsia="zh-CN"/>
        </w:rPr>
        <w:t>3</w:t>
      </w:r>
      <w:r>
        <w:rPr>
          <w:rFonts w:hint="eastAsia" w:cs="Times New Roman"/>
          <w:color w:val="000000"/>
          <w:sz w:val="21"/>
          <w:szCs w:val="21"/>
          <w:lang w:val="en-US" w:eastAsia="zh-CN"/>
        </w:rPr>
        <w:t>个月的，则借款费用暂停资本化；该项中断如是所购建或生产的符合资本化条件的资产达到预定可使用状态或者可销售状态必要的程序，则借款费用继续资本化。在中断期间发生的借款费用确认为当期损益，直至资产的购建或者生产活动重新开始后借款费用继续资本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outlineLvl w:val="3"/>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4.借款费用资本化率、资本化金额的计算方法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t>对于为购建或者生产符合资本化条件的资产而借入的专门借款，以专门借款当期实际发生的借款费用，减去尚未动用的借款资金存入银行取得的利息收入或进行暂时性投资取得的投资收益后的金额，来确定借款费用的资本化金额。</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t>对于为购建或者生产符合资本化条件的资产而占用的一般借款，根据累计资产支出超过专门借款部分的资产支出加权平均数乘以所占用一般借款的资本化率，计算确定一般借款应予资本化的借款费用金额。资本化率根据一般借款加权平均实际利率计算确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t>在资本化期间内，外币专门借款本金及利息的汇兑差额，予以资本化，计入符合资本化条件的资产的成本。除外币专门借款之外的其他外币借款本金及其利息所产生的汇兑差额计入当期损益。</w:t>
      </w:r>
    </w:p>
    <w:p>
      <w:pPr>
        <w:keepNext/>
        <w:keepLines/>
        <w:spacing w:before="300" w:after="300" w:line="280" w:lineRule="exact"/>
        <w:jc w:val="left"/>
        <w:outlineLvl w:val="2"/>
        <w:rPr>
          <w:rFonts w:ascii="宋体" w:hAnsi="宋体" w:eastAsia="宋体" w:cs="宋体"/>
          <w:b/>
          <w:bCs/>
          <w:sz w:val="21"/>
          <w:szCs w:val="21"/>
        </w:rPr>
      </w:pPr>
      <w:bookmarkStart w:id="210" w:name="_Toc989072"/>
      <w:r>
        <w:rPr>
          <w:rFonts w:hint="eastAsia" w:ascii="宋体" w:hAnsi="宋体" w:cs="宋体"/>
          <w:b/>
          <w:bCs/>
          <w:sz w:val="21"/>
          <w:szCs w:val="21"/>
          <w:lang w:eastAsia="zh-CN"/>
        </w:rPr>
        <w:t>（十九）</w:t>
      </w:r>
      <w:r>
        <w:rPr>
          <w:rFonts w:ascii="宋体" w:hAnsi="宋体" w:eastAsia="宋体" w:cs="宋体"/>
          <w:b/>
          <w:bCs/>
          <w:sz w:val="21"/>
          <w:szCs w:val="21"/>
        </w:rPr>
        <w:t>无形资产</w:t>
      </w:r>
      <w:bookmarkEnd w:id="210"/>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outlineLvl w:val="3"/>
        <w:rPr>
          <w:rFonts w:hint="eastAsia" w:ascii="Times New Roman" w:hAnsi="Times New Roman" w:eastAsia="宋体" w:cs="Times New Roman"/>
          <w:color w:val="000000"/>
          <w:sz w:val="21"/>
          <w:szCs w:val="21"/>
          <w:lang w:val="en-US" w:eastAsia="zh-CN"/>
        </w:rPr>
      </w:pPr>
      <w:bookmarkStart w:id="211" w:name="OLE_LINK39"/>
      <w:r>
        <w:rPr>
          <w:rFonts w:hint="eastAsia" w:ascii="Times New Roman" w:hAnsi="Times New Roman" w:eastAsia="宋体" w:cs="Times New Roman"/>
          <w:color w:val="000000"/>
          <w:sz w:val="21"/>
          <w:szCs w:val="21"/>
          <w:lang w:val="en-US" w:eastAsia="zh-CN"/>
        </w:rPr>
        <w:t>1.无形资产的计价方法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t>（1）公司取得无形资产时按成本进行初始计量；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t>外购无形资产的成本，包括购买价款、相关税费以及直接归属于使该项资产达到预定用途所发生的其他支出。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t>（2）后续计量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t>在取得无形资产时分析判断其使用寿命。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t>对于使用寿命有限的无形资产，在为企业带来经济利益的期限内摊销；无法预见无形资产为企业带来经济利益期限的，视为使用寿命不确定的无形资产，不予摊销。</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outlineLvl w:val="3"/>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2.使用寿命有限的无形资产的使用寿命估计情况</w:t>
      </w:r>
    </w:p>
    <w:tbl>
      <w:tblPr>
        <w:tblStyle w:val="5"/>
        <w:tblW w:w="4580"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755"/>
        <w:gridCol w:w="1495"/>
        <w:gridCol w:w="1619"/>
        <w:gridCol w:w="1619"/>
        <w:gridCol w:w="253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972" w:type="pct"/>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center"/>
              <w:rPr>
                <w:rFonts w:ascii="Calibri" w:hAnsi="Calibri" w:cs="Calibri"/>
                <w:sz w:val="21"/>
                <w:szCs w:val="21"/>
              </w:rPr>
            </w:pPr>
            <w:r>
              <w:rPr>
                <w:rFonts w:hint="eastAsia" w:ascii="宋体" w:hAnsi="宋体" w:eastAsia="宋体" w:cs="宋体"/>
                <w:color w:val="000000"/>
                <w:sz w:val="18"/>
                <w:szCs w:val="18"/>
              </w:rPr>
              <w:t>项目</w:t>
            </w:r>
          </w:p>
        </w:tc>
        <w:tc>
          <w:tcPr>
            <w:tcW w:w="828" w:type="pct"/>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eastAsia" w:ascii="宋体" w:hAnsi="宋体" w:eastAsia="宋体" w:cs="宋体"/>
                <w:color w:val="000000"/>
                <w:sz w:val="18"/>
                <w:szCs w:val="18"/>
              </w:rPr>
              <w:t>预计使用寿命</w:t>
            </w:r>
          </w:p>
        </w:tc>
        <w:tc>
          <w:tcPr>
            <w:tcW w:w="897"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eastAsia" w:ascii="宋体" w:hAnsi="宋体" w:eastAsia="宋体" w:cs="宋体"/>
                <w:color w:val="000000"/>
                <w:sz w:val="18"/>
                <w:szCs w:val="18"/>
              </w:rPr>
              <w:t>摊销方法</w:t>
            </w:r>
          </w:p>
        </w:tc>
        <w:tc>
          <w:tcPr>
            <w:tcW w:w="897"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eastAsia" w:ascii="宋体" w:hAnsi="宋体" w:eastAsia="宋体" w:cs="宋体"/>
                <w:color w:val="000000"/>
                <w:sz w:val="18"/>
                <w:szCs w:val="18"/>
              </w:rPr>
              <w:t>残值率</w:t>
            </w:r>
          </w:p>
        </w:tc>
        <w:tc>
          <w:tcPr>
            <w:tcW w:w="1405" w:type="pct"/>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eastAsia" w:ascii="宋体" w:hAnsi="宋体" w:eastAsia="宋体" w:cs="宋体"/>
                <w:color w:val="000000"/>
                <w:sz w:val="18"/>
                <w:szCs w:val="18"/>
              </w:rPr>
              <w:t>预计使用寿命的确定依据</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972"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Fonts w:hint="eastAsia" w:ascii="宋体" w:hAnsi="宋体" w:eastAsia="宋体" w:cs="宋体"/>
                <w:sz w:val="18"/>
                <w:szCs w:val="18"/>
              </w:rPr>
              <w:t>土地使用权</w:t>
            </w:r>
          </w:p>
        </w:tc>
        <w:tc>
          <w:tcPr>
            <w:tcW w:w="828" w:type="pct"/>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Fonts w:hint="default" w:ascii="Times New Roman" w:hAnsi="Times New Roman" w:cs="Times New Roman"/>
                <w:sz w:val="18"/>
                <w:szCs w:val="18"/>
              </w:rPr>
              <w:t>50</w:t>
            </w:r>
          </w:p>
        </w:tc>
        <w:tc>
          <w:tcPr>
            <w:tcW w:w="897"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Fonts w:hint="eastAsia" w:ascii="宋体" w:hAnsi="宋体" w:eastAsia="宋体" w:cs="宋体"/>
                <w:sz w:val="18"/>
                <w:szCs w:val="18"/>
              </w:rPr>
              <w:t>直线法</w:t>
            </w:r>
          </w:p>
        </w:tc>
        <w:tc>
          <w:tcPr>
            <w:tcW w:w="897"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Fonts w:hint="default" w:ascii="Times New Roman" w:hAnsi="Times New Roman" w:cs="Times New Roman"/>
                <w:sz w:val="18"/>
                <w:szCs w:val="18"/>
              </w:rPr>
              <w:t>0</w:t>
            </w:r>
          </w:p>
        </w:tc>
        <w:tc>
          <w:tcPr>
            <w:tcW w:w="1405" w:type="pct"/>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Fonts w:hint="eastAsia" w:ascii="宋体" w:hAnsi="宋体" w:eastAsia="宋体" w:cs="宋体"/>
                <w:sz w:val="18"/>
                <w:szCs w:val="18"/>
              </w:rPr>
              <w:t>土地使用权期限</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972"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Fonts w:hint="eastAsia" w:ascii="宋体" w:hAnsi="宋体" w:eastAsia="宋体" w:cs="宋体"/>
                <w:sz w:val="18"/>
                <w:szCs w:val="18"/>
              </w:rPr>
              <w:t>软件</w:t>
            </w:r>
          </w:p>
        </w:tc>
        <w:tc>
          <w:tcPr>
            <w:tcW w:w="828" w:type="pct"/>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Fonts w:hint="default" w:ascii="Times New Roman" w:hAnsi="Times New Roman" w:cs="Times New Roman"/>
                <w:sz w:val="18"/>
                <w:szCs w:val="18"/>
              </w:rPr>
              <w:t>10</w:t>
            </w:r>
          </w:p>
        </w:tc>
        <w:tc>
          <w:tcPr>
            <w:tcW w:w="897"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Fonts w:hint="eastAsia" w:ascii="宋体" w:hAnsi="宋体" w:eastAsia="宋体" w:cs="宋体"/>
                <w:sz w:val="18"/>
                <w:szCs w:val="18"/>
              </w:rPr>
              <w:t>直线法</w:t>
            </w:r>
          </w:p>
        </w:tc>
        <w:tc>
          <w:tcPr>
            <w:tcW w:w="897"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Fonts w:hint="default" w:ascii="Times New Roman" w:hAnsi="Times New Roman" w:cs="Times New Roman"/>
                <w:sz w:val="18"/>
                <w:szCs w:val="18"/>
              </w:rPr>
              <w:t>0</w:t>
            </w:r>
          </w:p>
        </w:tc>
        <w:tc>
          <w:tcPr>
            <w:tcW w:w="1405" w:type="pct"/>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Fonts w:hint="eastAsia" w:ascii="宋体" w:hAnsi="宋体" w:eastAsia="宋体" w:cs="宋体"/>
                <w:sz w:val="18"/>
                <w:szCs w:val="18"/>
              </w:rPr>
              <w:t>预计更新升级期间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972"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Fonts w:hint="eastAsia" w:ascii="宋体" w:hAnsi="宋体" w:eastAsia="宋体" w:cs="宋体"/>
                <w:sz w:val="18"/>
                <w:szCs w:val="18"/>
              </w:rPr>
              <w:t>专有技术</w:t>
            </w:r>
          </w:p>
        </w:tc>
        <w:tc>
          <w:tcPr>
            <w:tcW w:w="828"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Fonts w:hint="default" w:ascii="Times New Roman" w:hAnsi="Times New Roman" w:cs="Times New Roman"/>
                <w:sz w:val="18"/>
                <w:szCs w:val="18"/>
              </w:rPr>
              <w:t>10</w:t>
            </w:r>
          </w:p>
        </w:tc>
        <w:tc>
          <w:tcPr>
            <w:tcW w:w="897"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Fonts w:hint="eastAsia" w:ascii="宋体" w:hAnsi="宋体" w:eastAsia="宋体" w:cs="宋体"/>
                <w:sz w:val="18"/>
                <w:szCs w:val="18"/>
              </w:rPr>
              <w:t>直线法</w:t>
            </w:r>
          </w:p>
        </w:tc>
        <w:tc>
          <w:tcPr>
            <w:tcW w:w="897"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Fonts w:hint="default" w:ascii="Times New Roman" w:hAnsi="Times New Roman" w:cs="Times New Roman"/>
                <w:sz w:val="18"/>
                <w:szCs w:val="18"/>
              </w:rPr>
              <w:t>0</w:t>
            </w:r>
          </w:p>
        </w:tc>
        <w:tc>
          <w:tcPr>
            <w:tcW w:w="1405" w:type="pct"/>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Fonts w:hint="eastAsia" w:ascii="宋体" w:hAnsi="宋体" w:eastAsia="宋体" w:cs="宋体"/>
                <w:sz w:val="18"/>
                <w:szCs w:val="18"/>
              </w:rPr>
              <w:t>预计更新升级期间</w:t>
            </w:r>
          </w:p>
        </w:tc>
      </w:tr>
    </w:tbl>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outlineLvl w:val="3"/>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3.使用寿命不确定的无形资产的判断依据以及对其使用寿命进行复核的程序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t>本公司尚不存在使用寿命不确定的无形资产。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outlineLvl w:val="3"/>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4.研发支出的归集范围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t>公司进行研究与开发过程中发生的支出包括从事研发活动的人员的相关职工薪酬、耗用材料、相关折旧摊销费用、水电燃料等相关支出。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outlineLvl w:val="3"/>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5. 划分研究阶段和开发阶段的具体标准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t>公司内部研究开发项目的支出分为研究阶段支出和开发阶段支出。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t>研究阶段：为获取并理解新的科学或技术知识等而进行的独创性的有计划调查、研究活动的阶段。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t>开发阶段：在进行商业性生产或使用前，将研究成果或其他知识应用于某项计划或设计，以生产出新的或具有实质性改进的材料、装置、产品等活动的阶段。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outlineLvl w:val="3"/>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6.开发阶段支出资本化的具体条件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t>研究阶段的支出，于发生时计入当期损益。开发阶段的支出同时满足下列条件的，确认为无形资产，不能满足下述条件的开发阶段的支出计入当期损益：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default" w:cs="Times New Roman"/>
          <w:color w:val="000000"/>
          <w:sz w:val="21"/>
          <w:szCs w:val="21"/>
          <w:lang w:val="en-US" w:eastAsia="zh-CN"/>
        </w:rPr>
        <w:fldChar w:fldCharType="begin"/>
      </w:r>
      <w:r>
        <w:rPr>
          <w:rFonts w:hint="default" w:cs="Times New Roman"/>
          <w:color w:val="000000"/>
          <w:sz w:val="21"/>
          <w:szCs w:val="21"/>
          <w:lang w:val="en-US" w:eastAsia="zh-CN"/>
        </w:rPr>
        <w:instrText xml:space="preserve"> = 1 \* GB3 \* MERGEFORMAT </w:instrText>
      </w:r>
      <w:r>
        <w:rPr>
          <w:rFonts w:hint="default" w:cs="Times New Roman"/>
          <w:color w:val="000000"/>
          <w:sz w:val="21"/>
          <w:szCs w:val="21"/>
          <w:lang w:val="en-US" w:eastAsia="zh-CN"/>
        </w:rPr>
        <w:fldChar w:fldCharType="separate"/>
      </w:r>
      <w:r>
        <w:rPr>
          <w:rFonts w:hint="eastAsia" w:cs="Times New Roman"/>
          <w:color w:val="000000"/>
          <w:sz w:val="21"/>
          <w:szCs w:val="21"/>
          <w:lang w:val="en-US" w:eastAsia="zh-CN"/>
        </w:rPr>
        <w:t>①</w:t>
      </w:r>
      <w:r>
        <w:rPr>
          <w:rFonts w:hint="default" w:cs="Times New Roman"/>
          <w:color w:val="000000"/>
          <w:sz w:val="21"/>
          <w:szCs w:val="21"/>
          <w:lang w:val="en-US" w:eastAsia="zh-CN"/>
        </w:rPr>
        <w:fldChar w:fldCharType="end"/>
      </w:r>
      <w:r>
        <w:rPr>
          <w:rFonts w:hint="eastAsia" w:cs="Times New Roman"/>
          <w:color w:val="000000"/>
          <w:sz w:val="21"/>
          <w:szCs w:val="21"/>
          <w:lang w:val="en-US" w:eastAsia="zh-CN"/>
        </w:rPr>
        <w:t>完成该无形资产以使其能够使用或出售在技术上具有可行性；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default" w:cs="Times New Roman"/>
          <w:color w:val="000000"/>
          <w:sz w:val="21"/>
          <w:szCs w:val="21"/>
          <w:lang w:val="en-US" w:eastAsia="zh-CN"/>
        </w:rPr>
        <w:fldChar w:fldCharType="begin"/>
      </w:r>
      <w:r>
        <w:rPr>
          <w:rFonts w:hint="default" w:cs="Times New Roman"/>
          <w:color w:val="000000"/>
          <w:sz w:val="21"/>
          <w:szCs w:val="21"/>
          <w:lang w:val="en-US" w:eastAsia="zh-CN"/>
        </w:rPr>
        <w:instrText xml:space="preserve"> = 2 \* GB3 \* MERGEFORMAT </w:instrText>
      </w:r>
      <w:r>
        <w:rPr>
          <w:rFonts w:hint="default" w:cs="Times New Roman"/>
          <w:color w:val="000000"/>
          <w:sz w:val="21"/>
          <w:szCs w:val="21"/>
          <w:lang w:val="en-US" w:eastAsia="zh-CN"/>
        </w:rPr>
        <w:fldChar w:fldCharType="separate"/>
      </w:r>
      <w:r>
        <w:rPr>
          <w:rFonts w:hint="eastAsia" w:cs="Times New Roman"/>
          <w:color w:val="000000"/>
          <w:sz w:val="21"/>
          <w:szCs w:val="21"/>
          <w:lang w:val="en-US" w:eastAsia="zh-CN"/>
        </w:rPr>
        <w:t>②</w:t>
      </w:r>
      <w:r>
        <w:rPr>
          <w:rFonts w:hint="default" w:cs="Times New Roman"/>
          <w:color w:val="000000"/>
          <w:sz w:val="21"/>
          <w:szCs w:val="21"/>
          <w:lang w:val="en-US" w:eastAsia="zh-CN"/>
        </w:rPr>
        <w:fldChar w:fldCharType="end"/>
      </w:r>
      <w:r>
        <w:rPr>
          <w:rFonts w:hint="eastAsia" w:cs="Times New Roman"/>
          <w:color w:val="000000"/>
          <w:sz w:val="21"/>
          <w:szCs w:val="21"/>
          <w:lang w:val="en-US" w:eastAsia="zh-CN"/>
        </w:rPr>
        <w:t>具有完成该无形资产并使用或出售的意图；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default" w:cs="Times New Roman"/>
          <w:color w:val="000000"/>
          <w:sz w:val="21"/>
          <w:szCs w:val="21"/>
          <w:lang w:val="en-US" w:eastAsia="zh-CN"/>
        </w:rPr>
        <w:fldChar w:fldCharType="begin"/>
      </w:r>
      <w:r>
        <w:rPr>
          <w:rFonts w:hint="default" w:cs="Times New Roman"/>
          <w:color w:val="000000"/>
          <w:sz w:val="21"/>
          <w:szCs w:val="21"/>
          <w:lang w:val="en-US" w:eastAsia="zh-CN"/>
        </w:rPr>
        <w:instrText xml:space="preserve"> = 3 \* GB3 \* MERGEFORMAT </w:instrText>
      </w:r>
      <w:r>
        <w:rPr>
          <w:rFonts w:hint="default" w:cs="Times New Roman"/>
          <w:color w:val="000000"/>
          <w:sz w:val="21"/>
          <w:szCs w:val="21"/>
          <w:lang w:val="en-US" w:eastAsia="zh-CN"/>
        </w:rPr>
        <w:fldChar w:fldCharType="separate"/>
      </w:r>
      <w:r>
        <w:rPr>
          <w:rFonts w:hint="eastAsia" w:cs="Times New Roman"/>
          <w:color w:val="000000"/>
          <w:sz w:val="21"/>
          <w:szCs w:val="21"/>
          <w:lang w:val="en-US" w:eastAsia="zh-CN"/>
        </w:rPr>
        <w:t>③</w:t>
      </w:r>
      <w:r>
        <w:rPr>
          <w:rFonts w:hint="default" w:cs="Times New Roman"/>
          <w:color w:val="000000"/>
          <w:sz w:val="21"/>
          <w:szCs w:val="21"/>
          <w:lang w:val="en-US" w:eastAsia="zh-CN"/>
        </w:rPr>
        <w:fldChar w:fldCharType="end"/>
      </w:r>
      <w:r>
        <w:rPr>
          <w:rFonts w:hint="default" w:cs="Times New Roman"/>
          <w:color w:val="000000"/>
          <w:sz w:val="21"/>
          <w:szCs w:val="21"/>
          <w:lang w:val="en-US" w:eastAsia="zh-CN"/>
        </w:rPr>
        <w:t xml:space="preserve"> </w:t>
      </w:r>
      <w:r>
        <w:rPr>
          <w:rFonts w:hint="eastAsia" w:cs="Times New Roman"/>
          <w:color w:val="000000"/>
          <w:sz w:val="21"/>
          <w:szCs w:val="21"/>
          <w:lang w:val="en-US" w:eastAsia="zh-CN"/>
        </w:rPr>
        <w:t>无形资产产生经济利益的方式，包括能够证明运用该无形资产生产的产品存在市场或无形资产自身存在市场，无形资产将在内部使用的，能够证明其有用性；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default" w:cs="Times New Roman"/>
          <w:color w:val="000000"/>
          <w:sz w:val="21"/>
          <w:szCs w:val="21"/>
          <w:lang w:val="en-US" w:eastAsia="zh-CN"/>
        </w:rPr>
        <w:fldChar w:fldCharType="begin"/>
      </w:r>
      <w:r>
        <w:rPr>
          <w:rFonts w:hint="default" w:cs="Times New Roman"/>
          <w:color w:val="000000"/>
          <w:sz w:val="21"/>
          <w:szCs w:val="21"/>
          <w:lang w:val="en-US" w:eastAsia="zh-CN"/>
        </w:rPr>
        <w:instrText xml:space="preserve"> = 4 \* GB3 \* MERGEFORMAT </w:instrText>
      </w:r>
      <w:r>
        <w:rPr>
          <w:rFonts w:hint="default" w:cs="Times New Roman"/>
          <w:color w:val="000000"/>
          <w:sz w:val="21"/>
          <w:szCs w:val="21"/>
          <w:lang w:val="en-US" w:eastAsia="zh-CN"/>
        </w:rPr>
        <w:fldChar w:fldCharType="separate"/>
      </w:r>
      <w:r>
        <w:rPr>
          <w:rFonts w:hint="eastAsia" w:cs="Times New Roman"/>
          <w:color w:val="000000"/>
          <w:sz w:val="21"/>
          <w:szCs w:val="21"/>
          <w:lang w:val="en-US" w:eastAsia="zh-CN"/>
        </w:rPr>
        <w:t>④</w:t>
      </w:r>
      <w:r>
        <w:rPr>
          <w:rFonts w:hint="default" w:cs="Times New Roman"/>
          <w:color w:val="000000"/>
          <w:sz w:val="21"/>
          <w:szCs w:val="21"/>
          <w:lang w:val="en-US" w:eastAsia="zh-CN"/>
        </w:rPr>
        <w:fldChar w:fldCharType="end"/>
      </w:r>
      <w:r>
        <w:rPr>
          <w:rFonts w:hint="eastAsia" w:cs="Times New Roman"/>
          <w:color w:val="000000"/>
          <w:sz w:val="21"/>
          <w:szCs w:val="21"/>
          <w:lang w:val="en-US" w:eastAsia="zh-CN"/>
        </w:rPr>
        <w:t>有足够的技术、财务资源和其他资源支持，以完成该无形资产的开发，并有能力使用或出售该无形资产；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bookmarkStart w:id="212" w:name="OLE_LINK1"/>
      <w:r>
        <w:rPr>
          <w:rFonts w:hint="default" w:cs="Times New Roman"/>
          <w:color w:val="000000"/>
          <w:sz w:val="21"/>
          <w:szCs w:val="21"/>
          <w:lang w:val="en-US" w:eastAsia="zh-CN"/>
        </w:rPr>
        <w:fldChar w:fldCharType="begin"/>
      </w:r>
      <w:r>
        <w:rPr>
          <w:rFonts w:hint="default" w:cs="Times New Roman"/>
          <w:color w:val="000000"/>
          <w:sz w:val="21"/>
          <w:szCs w:val="21"/>
          <w:lang w:val="en-US" w:eastAsia="zh-CN"/>
        </w:rPr>
        <w:instrText xml:space="preserve"> = 5 \* GB3 \* MERGEFORMAT </w:instrText>
      </w:r>
      <w:r>
        <w:rPr>
          <w:rFonts w:hint="default" w:cs="Times New Roman"/>
          <w:color w:val="000000"/>
          <w:sz w:val="21"/>
          <w:szCs w:val="21"/>
          <w:lang w:val="en-US" w:eastAsia="zh-CN"/>
        </w:rPr>
        <w:fldChar w:fldCharType="separate"/>
      </w:r>
      <w:r>
        <w:rPr>
          <w:rFonts w:hint="eastAsia" w:cs="Times New Roman"/>
          <w:color w:val="000000"/>
          <w:sz w:val="21"/>
          <w:szCs w:val="21"/>
          <w:lang w:val="en-US" w:eastAsia="zh-CN"/>
        </w:rPr>
        <w:t>⑤</w:t>
      </w:r>
      <w:r>
        <w:rPr>
          <w:rFonts w:hint="default" w:cs="Times New Roman"/>
          <w:color w:val="000000"/>
          <w:sz w:val="21"/>
          <w:szCs w:val="21"/>
          <w:lang w:val="en-US" w:eastAsia="zh-CN"/>
        </w:rPr>
        <w:fldChar w:fldCharType="end"/>
      </w:r>
      <w:bookmarkEnd w:id="212"/>
      <w:r>
        <w:rPr>
          <w:rFonts w:hint="default" w:cs="Times New Roman"/>
          <w:color w:val="000000"/>
          <w:sz w:val="21"/>
          <w:szCs w:val="21"/>
          <w:lang w:val="en-US" w:eastAsia="zh-CN"/>
        </w:rPr>
        <w:t xml:space="preserve"> </w:t>
      </w:r>
      <w:r>
        <w:rPr>
          <w:rFonts w:hint="eastAsia" w:cs="Times New Roman"/>
          <w:color w:val="000000"/>
          <w:sz w:val="21"/>
          <w:szCs w:val="21"/>
          <w:lang w:val="en-US" w:eastAsia="zh-CN"/>
        </w:rPr>
        <w:t>归属于该无形资产开发阶段的支出能够可靠地计量。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t>无法区分研究阶段支出和开发阶段支出的，将发生的研发支出全部计入当期损益。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t>公司主要研发项目分为航天类新产品研制、新型飞机刹车材料研制、飞机刹车材料改进研制、新型飞机机轮及刹车系统研制、飞机机轮及刹车系统改进研制、高性能硬质合金材料及其部件制备技术研发等，其中：</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fldChar w:fldCharType="begin"/>
      </w:r>
      <w:r>
        <w:rPr>
          <w:rFonts w:hint="eastAsia" w:cs="Times New Roman"/>
          <w:color w:val="000000"/>
          <w:sz w:val="21"/>
          <w:szCs w:val="21"/>
          <w:lang w:val="en-US" w:eastAsia="zh-CN"/>
        </w:rPr>
        <w:instrText xml:space="preserve"> = 1 \* GB3 \* MERGEFORMAT </w:instrText>
      </w:r>
      <w:r>
        <w:rPr>
          <w:rFonts w:hint="eastAsia" w:cs="Times New Roman"/>
          <w:color w:val="000000"/>
          <w:sz w:val="21"/>
          <w:szCs w:val="21"/>
          <w:lang w:val="en-US" w:eastAsia="zh-CN"/>
        </w:rPr>
        <w:fldChar w:fldCharType="separate"/>
      </w:r>
      <w:r>
        <w:rPr>
          <w:rFonts w:hint="eastAsia" w:cs="Times New Roman"/>
          <w:color w:val="000000"/>
          <w:sz w:val="21"/>
          <w:szCs w:val="21"/>
          <w:lang w:val="en-US" w:eastAsia="zh-CN"/>
        </w:rPr>
        <w:t>①</w:t>
      </w:r>
      <w:r>
        <w:rPr>
          <w:rFonts w:hint="eastAsia" w:cs="Times New Roman"/>
          <w:color w:val="000000"/>
          <w:sz w:val="21"/>
          <w:szCs w:val="21"/>
          <w:lang w:val="en-US" w:eastAsia="zh-CN"/>
        </w:rPr>
        <w:fldChar w:fldCharType="end"/>
      </w:r>
      <w:r>
        <w:rPr>
          <w:rFonts w:hint="eastAsia" w:cs="Times New Roman"/>
          <w:color w:val="000000"/>
          <w:sz w:val="21"/>
          <w:szCs w:val="21"/>
          <w:lang w:val="en-US" w:eastAsia="zh-CN"/>
        </w:rPr>
        <w:t>航天类新产品、新型飞机刹车材料研制项目，主要有市场调研、可行性研究、结构设计、材料选择及相关制造技术研究、形成飞机刹车技术规范、试验件的制造、地面试验、飞行试验、产品取证等阶段，本公司认为形成飞机刹车材料技术规范时，下一步研发已具备针对性，且形成成果的可能性较大时，作为资本化时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fldChar w:fldCharType="begin"/>
      </w:r>
      <w:r>
        <w:rPr>
          <w:rFonts w:hint="eastAsia" w:cs="Times New Roman"/>
          <w:color w:val="000000"/>
          <w:sz w:val="21"/>
          <w:szCs w:val="21"/>
          <w:lang w:val="en-US" w:eastAsia="zh-CN"/>
        </w:rPr>
        <w:instrText xml:space="preserve"> = 2 \* GB3 \* MERGEFORMAT </w:instrText>
      </w:r>
      <w:r>
        <w:rPr>
          <w:rFonts w:hint="eastAsia" w:cs="Times New Roman"/>
          <w:color w:val="000000"/>
          <w:sz w:val="21"/>
          <w:szCs w:val="21"/>
          <w:lang w:val="en-US" w:eastAsia="zh-CN"/>
        </w:rPr>
        <w:fldChar w:fldCharType="separate"/>
      </w:r>
      <w:r>
        <w:rPr>
          <w:rFonts w:hint="eastAsia" w:cs="Times New Roman"/>
          <w:color w:val="000000"/>
          <w:sz w:val="21"/>
          <w:szCs w:val="21"/>
          <w:lang w:val="en-US" w:eastAsia="zh-CN"/>
        </w:rPr>
        <w:t>②</w:t>
      </w:r>
      <w:r>
        <w:rPr>
          <w:rFonts w:hint="eastAsia" w:cs="Times New Roman"/>
          <w:color w:val="000000"/>
          <w:sz w:val="21"/>
          <w:szCs w:val="21"/>
          <w:lang w:val="en-US" w:eastAsia="zh-CN"/>
        </w:rPr>
        <w:fldChar w:fldCharType="end"/>
      </w:r>
      <w:r>
        <w:rPr>
          <w:rFonts w:hint="eastAsia" w:cs="Times New Roman"/>
          <w:color w:val="000000"/>
          <w:sz w:val="21"/>
          <w:szCs w:val="21"/>
          <w:lang w:val="en-US" w:eastAsia="zh-CN"/>
        </w:rPr>
        <w:t>飞机刹车材料改进研制项目，是基于在已研制完成项目基础上进行改进，故将实质性研发支出直接资本化；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fldChar w:fldCharType="begin"/>
      </w:r>
      <w:r>
        <w:rPr>
          <w:rFonts w:hint="eastAsia" w:cs="Times New Roman"/>
          <w:color w:val="000000"/>
          <w:sz w:val="21"/>
          <w:szCs w:val="21"/>
          <w:lang w:val="en-US" w:eastAsia="zh-CN"/>
        </w:rPr>
        <w:instrText xml:space="preserve"> = 3 \* GB3 \* MERGEFORMAT </w:instrText>
      </w:r>
      <w:r>
        <w:rPr>
          <w:rFonts w:hint="eastAsia" w:cs="Times New Roman"/>
          <w:color w:val="000000"/>
          <w:sz w:val="21"/>
          <w:szCs w:val="21"/>
          <w:lang w:val="en-US" w:eastAsia="zh-CN"/>
        </w:rPr>
        <w:fldChar w:fldCharType="separate"/>
      </w:r>
      <w:r>
        <w:rPr>
          <w:rFonts w:hint="eastAsia" w:cs="Times New Roman"/>
          <w:color w:val="000000"/>
          <w:sz w:val="21"/>
          <w:szCs w:val="21"/>
          <w:lang w:val="en-US" w:eastAsia="zh-CN"/>
        </w:rPr>
        <w:t>③</w:t>
      </w:r>
      <w:r>
        <w:rPr>
          <w:rFonts w:hint="eastAsia" w:cs="Times New Roman"/>
          <w:color w:val="000000"/>
          <w:sz w:val="21"/>
          <w:szCs w:val="21"/>
          <w:lang w:val="en-US" w:eastAsia="zh-CN"/>
        </w:rPr>
        <w:fldChar w:fldCharType="end"/>
      </w:r>
      <w:r>
        <w:rPr>
          <w:rFonts w:hint="eastAsia" w:cs="Times New Roman"/>
          <w:color w:val="000000"/>
          <w:sz w:val="21"/>
          <w:szCs w:val="21"/>
          <w:lang w:val="en-US" w:eastAsia="zh-CN"/>
        </w:rPr>
        <w:t>新型飞机机轮及刹车系统研制项目，主要有市场调研、可行性研究；确定功能基线，编制设计和开发计划，编制研制方案以及各类型文件大纲；绘制研发项目产品图样，编制产品规范、工艺规程、检验规程等整套技术文件，形成分配基线；对产品图样、工艺规程等进行工艺评审，满足设计要求及其合理性与经济性、可生产性与可检验性的能力；完成产品样机试制，编写可靠性、维修性、安全性、保障性文件，完成研制产品首件鉴定、研制试验、首飞安全试验、系统匹配性试验以及技术审查（</w:t>
      </w:r>
      <w:r>
        <w:rPr>
          <w:rFonts w:hint="default" w:cs="Times New Roman"/>
          <w:color w:val="000000"/>
          <w:sz w:val="21"/>
          <w:szCs w:val="21"/>
          <w:lang w:val="en-US" w:eastAsia="zh-CN"/>
        </w:rPr>
        <w:t>C</w:t>
      </w:r>
      <w:r>
        <w:rPr>
          <w:rFonts w:hint="eastAsia" w:cs="Times New Roman"/>
          <w:color w:val="000000"/>
          <w:sz w:val="21"/>
          <w:szCs w:val="21"/>
          <w:lang w:val="en-US" w:eastAsia="zh-CN"/>
        </w:rPr>
        <w:t>阶段转</w:t>
      </w:r>
      <w:r>
        <w:rPr>
          <w:rFonts w:hint="default" w:cs="Times New Roman"/>
          <w:color w:val="000000"/>
          <w:sz w:val="21"/>
          <w:szCs w:val="21"/>
          <w:lang w:val="en-US" w:eastAsia="zh-CN"/>
        </w:rPr>
        <w:t>S</w:t>
      </w:r>
      <w:r>
        <w:rPr>
          <w:rFonts w:hint="eastAsia" w:cs="Times New Roman"/>
          <w:color w:val="000000"/>
          <w:sz w:val="21"/>
          <w:szCs w:val="21"/>
          <w:lang w:val="en-US" w:eastAsia="zh-CN"/>
        </w:rPr>
        <w:t>阶段）、首飞准备审查，本公司认为完成可行性研究后，确定功能基线时，研发已具备针对性，且形成成果的可能性较大时，作为资本化时点；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fldChar w:fldCharType="begin"/>
      </w:r>
      <w:r>
        <w:rPr>
          <w:rFonts w:hint="eastAsia" w:cs="Times New Roman"/>
          <w:color w:val="000000"/>
          <w:sz w:val="21"/>
          <w:szCs w:val="21"/>
          <w:lang w:val="en-US" w:eastAsia="zh-CN"/>
        </w:rPr>
        <w:instrText xml:space="preserve"> = 4 \* GB3 \* MERGEFORMAT </w:instrText>
      </w:r>
      <w:r>
        <w:rPr>
          <w:rFonts w:hint="eastAsia" w:cs="Times New Roman"/>
          <w:color w:val="000000"/>
          <w:sz w:val="21"/>
          <w:szCs w:val="21"/>
          <w:lang w:val="en-US" w:eastAsia="zh-CN"/>
        </w:rPr>
        <w:fldChar w:fldCharType="separate"/>
      </w:r>
      <w:r>
        <w:rPr>
          <w:rFonts w:hint="eastAsia" w:cs="Times New Roman"/>
          <w:color w:val="000000"/>
          <w:sz w:val="21"/>
          <w:szCs w:val="21"/>
          <w:lang w:val="en-US" w:eastAsia="zh-CN"/>
        </w:rPr>
        <w:t>④</w:t>
      </w:r>
      <w:r>
        <w:rPr>
          <w:rFonts w:hint="eastAsia" w:cs="Times New Roman"/>
          <w:color w:val="000000"/>
          <w:sz w:val="21"/>
          <w:szCs w:val="21"/>
          <w:lang w:val="en-US" w:eastAsia="zh-CN"/>
        </w:rPr>
        <w:fldChar w:fldCharType="end"/>
      </w:r>
      <w:r>
        <w:rPr>
          <w:rFonts w:hint="eastAsia" w:cs="Times New Roman"/>
          <w:color w:val="000000"/>
          <w:sz w:val="21"/>
          <w:szCs w:val="21"/>
          <w:lang w:val="en-US" w:eastAsia="zh-CN"/>
        </w:rPr>
        <w:t>飞机机轮及刹车系统改进研制项目，是基于在已研制完成项目基础上进行局部重大升级改进或较大范围的升级改进，故将实质性研发支出直接资本化。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default" w:cs="Times New Roman"/>
          <w:color w:val="000000"/>
          <w:sz w:val="21"/>
          <w:szCs w:val="21"/>
          <w:lang w:val="en-US" w:eastAsia="zh-CN"/>
        </w:rPr>
        <w:fldChar w:fldCharType="begin"/>
      </w:r>
      <w:r>
        <w:rPr>
          <w:rFonts w:hint="default" w:cs="Times New Roman"/>
          <w:color w:val="000000"/>
          <w:sz w:val="21"/>
          <w:szCs w:val="21"/>
          <w:lang w:val="en-US" w:eastAsia="zh-CN"/>
        </w:rPr>
        <w:instrText xml:space="preserve"> = 5 \* GB3 \* MERGEFORMAT </w:instrText>
      </w:r>
      <w:r>
        <w:rPr>
          <w:rFonts w:hint="default" w:cs="Times New Roman"/>
          <w:color w:val="000000"/>
          <w:sz w:val="21"/>
          <w:szCs w:val="21"/>
          <w:lang w:val="en-US" w:eastAsia="zh-CN"/>
        </w:rPr>
        <w:fldChar w:fldCharType="separate"/>
      </w:r>
      <w:r>
        <w:rPr>
          <w:rFonts w:hint="eastAsia" w:cs="Times New Roman"/>
          <w:color w:val="000000"/>
          <w:sz w:val="21"/>
          <w:szCs w:val="21"/>
          <w:lang w:val="en-US" w:eastAsia="zh-CN"/>
        </w:rPr>
        <w:t>⑤</w:t>
      </w:r>
      <w:r>
        <w:rPr>
          <w:rFonts w:hint="default" w:cs="Times New Roman"/>
          <w:color w:val="000000"/>
          <w:sz w:val="21"/>
          <w:szCs w:val="21"/>
          <w:lang w:val="en-US" w:eastAsia="zh-CN"/>
        </w:rPr>
        <w:fldChar w:fldCharType="end"/>
      </w:r>
      <w:r>
        <w:rPr>
          <w:rFonts w:hint="eastAsia" w:cs="Times New Roman"/>
          <w:color w:val="000000"/>
          <w:sz w:val="21"/>
          <w:szCs w:val="21"/>
          <w:lang w:val="en-US" w:eastAsia="zh-CN"/>
        </w:rPr>
        <w:t>高性能硬质合金材料研发，以完成配方试验作为资本化时点。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fldChar w:fldCharType="begin"/>
      </w:r>
      <w:r>
        <w:rPr>
          <w:rFonts w:hint="eastAsia" w:cs="Times New Roman"/>
          <w:color w:val="000000"/>
          <w:sz w:val="21"/>
          <w:szCs w:val="21"/>
          <w:lang w:val="en-US" w:eastAsia="zh-CN"/>
        </w:rPr>
        <w:instrText xml:space="preserve"> = 6 \* GB3 \* MERGEFORMAT </w:instrText>
      </w:r>
      <w:r>
        <w:rPr>
          <w:rFonts w:hint="eastAsia" w:cs="Times New Roman"/>
          <w:color w:val="000000"/>
          <w:sz w:val="21"/>
          <w:szCs w:val="21"/>
          <w:lang w:val="en-US" w:eastAsia="zh-CN"/>
        </w:rPr>
        <w:fldChar w:fldCharType="separate"/>
      </w:r>
      <w:r>
        <w:rPr>
          <w:rFonts w:hint="eastAsia" w:cs="Times New Roman"/>
          <w:color w:val="000000"/>
          <w:sz w:val="21"/>
          <w:szCs w:val="21"/>
          <w:lang w:val="en-US" w:eastAsia="zh-CN"/>
        </w:rPr>
        <w:t>⑥</w:t>
      </w:r>
      <w:r>
        <w:rPr>
          <w:rFonts w:hint="eastAsia" w:cs="Times New Roman"/>
          <w:color w:val="000000"/>
          <w:sz w:val="21"/>
          <w:szCs w:val="21"/>
          <w:lang w:val="en-US" w:eastAsia="zh-CN"/>
        </w:rPr>
        <w:fldChar w:fldCharType="end"/>
      </w:r>
      <w:r>
        <w:rPr>
          <w:rFonts w:hint="eastAsia" w:cs="Times New Roman"/>
          <w:color w:val="000000"/>
          <w:sz w:val="21"/>
          <w:szCs w:val="21"/>
          <w:lang w:val="en-US" w:eastAsia="zh-CN"/>
        </w:rPr>
        <w:t>高性能硬质合金工艺技术研发，以形成工艺标准为资本化时点。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fldChar w:fldCharType="begin"/>
      </w:r>
      <w:r>
        <w:rPr>
          <w:rFonts w:hint="eastAsia" w:cs="Times New Roman"/>
          <w:color w:val="000000"/>
          <w:sz w:val="21"/>
          <w:szCs w:val="21"/>
          <w:lang w:val="en-US" w:eastAsia="zh-CN"/>
        </w:rPr>
        <w:instrText xml:space="preserve"> = 7 \* GB3 \* MERGEFORMAT </w:instrText>
      </w:r>
      <w:r>
        <w:rPr>
          <w:rFonts w:hint="eastAsia" w:cs="Times New Roman"/>
          <w:color w:val="000000"/>
          <w:sz w:val="21"/>
          <w:szCs w:val="21"/>
          <w:lang w:val="en-US" w:eastAsia="zh-CN"/>
        </w:rPr>
        <w:fldChar w:fldCharType="separate"/>
      </w:r>
      <w:r>
        <w:rPr>
          <w:rFonts w:hint="eastAsia" w:cs="Times New Roman"/>
          <w:color w:val="000000"/>
          <w:sz w:val="21"/>
          <w:szCs w:val="21"/>
          <w:lang w:val="en-US" w:eastAsia="zh-CN"/>
        </w:rPr>
        <w:t>⑦</w:t>
      </w:r>
      <w:r>
        <w:rPr>
          <w:rFonts w:hint="eastAsia" w:cs="Times New Roman"/>
          <w:color w:val="000000"/>
          <w:sz w:val="21"/>
          <w:szCs w:val="21"/>
          <w:lang w:val="en-US" w:eastAsia="zh-CN"/>
        </w:rPr>
        <w:fldChar w:fldCharType="end"/>
      </w:r>
      <w:r>
        <w:rPr>
          <w:rFonts w:hint="eastAsia" w:cs="Times New Roman"/>
          <w:color w:val="000000"/>
          <w:sz w:val="21"/>
          <w:szCs w:val="21"/>
          <w:lang w:val="en-US" w:eastAsia="zh-CN"/>
        </w:rPr>
        <w:t>硬质合金部件研发，以形成产品品号为资本化时点。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t>上述研发项目以完成研发成果鉴定、验收或取得</w:t>
      </w:r>
      <w:r>
        <w:rPr>
          <w:rFonts w:hint="default" w:cs="Times New Roman"/>
          <w:color w:val="000000"/>
          <w:sz w:val="21"/>
          <w:szCs w:val="21"/>
          <w:lang w:val="en-US" w:eastAsia="zh-CN"/>
        </w:rPr>
        <w:t>PMA</w:t>
      </w:r>
      <w:r>
        <w:rPr>
          <w:rFonts w:hint="eastAsia" w:cs="Times New Roman"/>
          <w:color w:val="000000"/>
          <w:sz w:val="21"/>
          <w:szCs w:val="21"/>
          <w:lang w:val="en-US" w:eastAsia="zh-CN"/>
        </w:rPr>
        <w:t>证书等作为转入无形资产核算时点。</w:t>
      </w:r>
    </w:p>
    <w:bookmarkEnd w:id="211"/>
    <w:p>
      <w:pPr>
        <w:keepNext/>
        <w:keepLines/>
        <w:spacing w:before="300" w:after="300" w:line="280" w:lineRule="exact"/>
        <w:jc w:val="left"/>
        <w:outlineLvl w:val="2"/>
        <w:rPr>
          <w:rFonts w:ascii="宋体" w:hAnsi="宋体" w:eastAsia="宋体" w:cs="宋体"/>
          <w:b/>
          <w:bCs/>
          <w:sz w:val="21"/>
          <w:szCs w:val="21"/>
        </w:rPr>
      </w:pPr>
      <w:bookmarkStart w:id="213" w:name="_Toc989074"/>
      <w:r>
        <w:rPr>
          <w:rFonts w:hint="eastAsia" w:ascii="宋体" w:hAnsi="宋体" w:cs="宋体"/>
          <w:b/>
          <w:bCs/>
          <w:sz w:val="21"/>
          <w:szCs w:val="21"/>
          <w:lang w:eastAsia="zh-CN"/>
        </w:rPr>
        <w:t>（二十）</w:t>
      </w:r>
      <w:r>
        <w:rPr>
          <w:rFonts w:ascii="宋体" w:hAnsi="宋体" w:eastAsia="宋体" w:cs="宋体"/>
          <w:b/>
          <w:bCs/>
          <w:sz w:val="21"/>
          <w:szCs w:val="21"/>
        </w:rPr>
        <w:t>长期资产减值</w:t>
      </w:r>
      <w:bookmarkEnd w:id="213"/>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t>长期股权投资、固定资产、在建工程、使用权资产、使用寿命有限的无形资产、油气资产等长期资产，于资产负债表日存在减值迹象的，进行减值测试。减值测试结果表明资产的可收回金额低于其账面价值的，按其差额计提减值准备并计入减值损失。可收回金额为资产的公允价值减去处置费用后的净额与资产预计未来现金流量的现值两者之间的较高者。资产减值准备按单项资产为基础计算并确认，如果难以对单项资产的可收回金额进行估计的，以该资产所属的资产组确定资产组的可收回金额。资产组是能够独立产生现金流入的最小资产组合。</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t>对于因企业合并形成的商誉、使用寿命不确定的无形资产、尚未达到可使用状态的无形资产，无论是否存在减值迹象，至少在每年年度终了进行减值测试。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t>本公司进行商誉减值测试，对于因企业合并形成的商誉的账面价值，自购买日起按照合理的方法分摊至相关的资产组；难以分摊至相关的资产组的，将其分摊至相关的资产组组合。相关的资产组或者资产组组合，是能够从企业合并的协同效应中受益的资产组或者资产组组合。</w:t>
      </w:r>
      <w:r>
        <w:rPr>
          <w:rFonts w:hint="default" w:cs="Times New Roman"/>
          <w:color w:val="000000"/>
          <w:sz w:val="21"/>
          <w:szCs w:val="21"/>
          <w:lang w:val="en-US" w:eastAsia="zh-CN"/>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t>在对包含商誉的相关资产组或者资产组组合进行减值测试时，如与商誉相关的资产组或者资产组组合存在减值迹象的，先对不包含商誉的资产组或者资产组组合进行减值测试，计算可收回金额，并与相关账面价值相比较，确认相应的减值损失。然后对包含商誉的资产组或者资产组组合进行减值测试，比较其账面价值与可收回金额，如可收回金额低于账面价值的，减值损失金额首先抵减分摊至资产组或者资产组组合中商誉的账面价值，再根据资产组或者资产组组合中除商誉之外的其他各项资产的账面价值所占比重，按比例抵减其他各项资产的账面价值。上述资产减值损失一经确认，在以后会计期间不予转回。</w:t>
      </w:r>
    </w:p>
    <w:p>
      <w:pPr>
        <w:keepNext/>
        <w:keepLines/>
        <w:spacing w:before="300" w:after="300" w:line="280" w:lineRule="exact"/>
        <w:jc w:val="left"/>
        <w:outlineLvl w:val="2"/>
        <w:rPr>
          <w:rFonts w:ascii="宋体" w:hAnsi="宋体" w:eastAsia="宋体" w:cs="宋体"/>
          <w:b/>
          <w:bCs/>
          <w:sz w:val="21"/>
          <w:szCs w:val="21"/>
        </w:rPr>
      </w:pPr>
      <w:bookmarkStart w:id="214" w:name="_Toc989075"/>
      <w:r>
        <w:rPr>
          <w:rFonts w:hint="eastAsia" w:ascii="宋体" w:hAnsi="宋体" w:cs="宋体"/>
          <w:b/>
          <w:bCs/>
          <w:sz w:val="21"/>
          <w:szCs w:val="21"/>
          <w:lang w:eastAsia="zh-CN"/>
        </w:rPr>
        <w:t>（二十一）</w:t>
      </w:r>
      <w:r>
        <w:rPr>
          <w:rFonts w:ascii="宋体" w:hAnsi="宋体" w:eastAsia="宋体" w:cs="宋体"/>
          <w:b/>
          <w:bCs/>
          <w:sz w:val="21"/>
          <w:szCs w:val="21"/>
        </w:rPr>
        <w:t>长期待摊费用</w:t>
      </w:r>
      <w:bookmarkEnd w:id="214"/>
    </w:p>
    <w:p>
      <w:pPr>
        <w:pStyle w:val="4"/>
        <w:keepNext w:val="0"/>
        <w:keepLines w:val="0"/>
        <w:widowControl/>
        <w:suppressLineNumbers w:val="0"/>
        <w:spacing w:before="0" w:beforeAutospacing="1" w:after="0" w:afterAutospacing="1"/>
        <w:ind w:left="0" w:right="0"/>
      </w:pPr>
      <w:r>
        <w:rPr>
          <w:rFonts w:hint="eastAsia" w:ascii="宋体" w:hAnsi="宋体" w:eastAsia="宋体" w:cs="宋体"/>
          <w:color w:val="000000"/>
          <w:sz w:val="21"/>
          <w:szCs w:val="21"/>
        </w:rPr>
        <w:t>长期待摊费用为已经发生但应由本期和以后各期负担的分摊期限在一年以上的各项费用。</w:t>
      </w:r>
    </w:p>
    <w:p>
      <w:pPr>
        <w:keepNext/>
        <w:keepLines/>
        <w:spacing w:before="300" w:after="300" w:line="280" w:lineRule="exact"/>
        <w:jc w:val="left"/>
        <w:outlineLvl w:val="2"/>
        <w:rPr>
          <w:rFonts w:ascii="宋体" w:hAnsi="宋体" w:eastAsia="宋体" w:cs="宋体"/>
          <w:b/>
          <w:bCs/>
          <w:sz w:val="21"/>
          <w:szCs w:val="21"/>
        </w:rPr>
      </w:pPr>
      <w:bookmarkStart w:id="215" w:name="_Toc989076"/>
      <w:r>
        <w:rPr>
          <w:rFonts w:hint="eastAsia" w:ascii="宋体" w:hAnsi="宋体" w:cs="宋体"/>
          <w:b/>
          <w:bCs/>
          <w:sz w:val="21"/>
          <w:szCs w:val="21"/>
          <w:lang w:eastAsia="zh-CN"/>
        </w:rPr>
        <w:t>（二十二）</w:t>
      </w:r>
      <w:r>
        <w:rPr>
          <w:rFonts w:ascii="宋体" w:hAnsi="宋体" w:eastAsia="宋体" w:cs="宋体"/>
          <w:b/>
          <w:bCs/>
          <w:sz w:val="21"/>
          <w:szCs w:val="21"/>
        </w:rPr>
        <w:t>合同负债</w:t>
      </w:r>
      <w:bookmarkEnd w:id="215"/>
    </w:p>
    <w:p>
      <w:pPr>
        <w:pStyle w:val="4"/>
        <w:keepNext w:val="0"/>
        <w:keepLines w:val="0"/>
        <w:widowControl/>
        <w:suppressLineNumbers w:val="0"/>
        <w:spacing w:before="0" w:beforeAutospacing="1" w:after="0" w:afterAutospacing="1"/>
        <w:ind w:left="0" w:right="0"/>
      </w:pPr>
      <w:r>
        <w:rPr>
          <w:rFonts w:hint="eastAsia" w:ascii="宋体" w:hAnsi="宋体" w:eastAsia="宋体" w:cs="宋体"/>
          <w:color w:val="000000"/>
          <w:sz w:val="21"/>
          <w:szCs w:val="21"/>
        </w:rPr>
        <w:t>本公司根据履行履约义务与客户付款之间的关系在资产负债表中列示合同资产或合同负债。本公司已收或应收客户对价而应向客户转让商品或提供服务的义务列示为合同负债。同一合同下的合同资产和合同负债以净额列示。</w:t>
      </w:r>
      <w:r>
        <w:rPr>
          <w:rFonts w:ascii="Arial" w:hAnsi="Arial" w:eastAsia="宋体" w:cs="Arial"/>
          <w:color w:val="0000FF"/>
          <w:sz w:val="16"/>
          <w:szCs w:val="16"/>
        </w:rPr>
        <w:t>  </w:t>
      </w:r>
    </w:p>
    <w:p>
      <w:pPr>
        <w:keepNext/>
        <w:keepLines/>
        <w:spacing w:before="300" w:after="300" w:line="280" w:lineRule="exact"/>
        <w:jc w:val="left"/>
        <w:outlineLvl w:val="2"/>
        <w:rPr>
          <w:rFonts w:ascii="宋体" w:hAnsi="宋体" w:eastAsia="宋体" w:cs="宋体"/>
          <w:b/>
          <w:bCs/>
          <w:sz w:val="21"/>
          <w:szCs w:val="21"/>
        </w:rPr>
      </w:pPr>
      <w:bookmarkStart w:id="216" w:name="_Toc989077"/>
      <w:r>
        <w:rPr>
          <w:rFonts w:hint="eastAsia" w:ascii="宋体" w:hAnsi="宋体" w:cs="宋体"/>
          <w:b/>
          <w:bCs/>
          <w:sz w:val="21"/>
          <w:szCs w:val="21"/>
          <w:lang w:eastAsia="zh-CN"/>
        </w:rPr>
        <w:t>（二十三）</w:t>
      </w:r>
      <w:r>
        <w:rPr>
          <w:rFonts w:ascii="宋体" w:hAnsi="宋体" w:eastAsia="宋体" w:cs="宋体"/>
          <w:b/>
          <w:bCs/>
          <w:sz w:val="21"/>
          <w:szCs w:val="21"/>
        </w:rPr>
        <w:t>职工薪酬</w:t>
      </w:r>
      <w:bookmarkEnd w:id="216"/>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outlineLvl w:val="3"/>
        <w:rPr>
          <w:rFonts w:hint="eastAsia" w:ascii="Times New Roman" w:hAnsi="Times New Roman" w:eastAsia="宋体" w:cs="Times New Roman"/>
          <w:color w:val="000000"/>
          <w:sz w:val="21"/>
          <w:szCs w:val="21"/>
          <w:lang w:val="en-US" w:eastAsia="zh-CN"/>
        </w:rPr>
      </w:pPr>
      <w:bookmarkStart w:id="217" w:name="_Toc989078"/>
      <w:bookmarkStart w:id="218" w:name="OLE_LINK40"/>
      <w:r>
        <w:rPr>
          <w:rFonts w:hint="eastAsia" w:ascii="Times New Roman" w:hAnsi="Times New Roman" w:eastAsia="宋体" w:cs="Times New Roman"/>
          <w:color w:val="000000"/>
          <w:sz w:val="21"/>
          <w:szCs w:val="21"/>
          <w:lang w:val="en-US" w:eastAsia="zh-CN"/>
        </w:rPr>
        <w:t>1.短期薪酬的会计处理方法</w:t>
      </w:r>
      <w:bookmarkEnd w:id="217"/>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t>本公司在职工为本公司提供服务的会计期间，将实际发生的短期薪酬确认为负债，并计入当期损益或相关资产成本。</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t>本公司为职工缴纳的社会保险费和住房公积金，以及按规定提取的工会经费和职工教育经费，在职工为本公司提供服务的会计期间，根据规定的计提基础和计提比例计算确定相应的职工薪酬金额。</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t>本公司发生的职工福利费，在实际发生时根据实际发生额计入当期损益或相关资产成本，其中，非货币性福利按照公允价值计量。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outlineLvl w:val="3"/>
        <w:rPr>
          <w:rFonts w:hint="eastAsia" w:ascii="Times New Roman" w:hAnsi="Times New Roman" w:eastAsia="宋体" w:cs="Times New Roman"/>
          <w:color w:val="000000"/>
          <w:sz w:val="21"/>
          <w:szCs w:val="21"/>
          <w:lang w:val="en-US" w:eastAsia="zh-CN"/>
        </w:rPr>
      </w:pPr>
      <w:bookmarkStart w:id="219" w:name="_Toc989079"/>
      <w:r>
        <w:rPr>
          <w:rFonts w:hint="eastAsia" w:ascii="Times New Roman" w:hAnsi="Times New Roman" w:eastAsia="宋体" w:cs="Times New Roman"/>
          <w:color w:val="000000"/>
          <w:sz w:val="21"/>
          <w:szCs w:val="21"/>
          <w:lang w:val="en-US" w:eastAsia="zh-CN"/>
        </w:rPr>
        <w:t>2. 离职后福利的会计处理方法</w:t>
      </w:r>
      <w:bookmarkEnd w:id="219"/>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t>（</w:t>
      </w:r>
      <w:r>
        <w:rPr>
          <w:rFonts w:hint="default" w:cs="Times New Roman"/>
          <w:color w:val="000000"/>
          <w:sz w:val="21"/>
          <w:szCs w:val="21"/>
          <w:lang w:val="en-US" w:eastAsia="zh-CN"/>
        </w:rPr>
        <w:t>1</w:t>
      </w:r>
      <w:r>
        <w:rPr>
          <w:rFonts w:hint="eastAsia" w:cs="Times New Roman"/>
          <w:color w:val="000000"/>
          <w:sz w:val="21"/>
          <w:szCs w:val="21"/>
          <w:lang w:val="en-US" w:eastAsia="zh-CN"/>
        </w:rPr>
        <w:t>）设定提存计划</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t>本公司按当地政府的相关规定为职工缴纳基本养老保险和失业保险，在职工为本公司提供服务的会计期间，按以当地规定的缴纳基数和比例计算应缴纳金额，确认为负债，并计入当期损益或相关资产成本。此外，本公司还参与了由国家相关部门批准的企业年金计划</w:t>
      </w:r>
      <w:r>
        <w:rPr>
          <w:rFonts w:hint="default" w:cs="Times New Roman"/>
          <w:color w:val="000000"/>
          <w:sz w:val="21"/>
          <w:szCs w:val="21"/>
          <w:lang w:val="en-US" w:eastAsia="zh-CN"/>
        </w:rPr>
        <w:t>/</w:t>
      </w:r>
      <w:r>
        <w:rPr>
          <w:rFonts w:hint="eastAsia" w:cs="Times New Roman"/>
          <w:color w:val="000000"/>
          <w:sz w:val="21"/>
          <w:szCs w:val="21"/>
          <w:lang w:val="en-US" w:eastAsia="zh-CN"/>
        </w:rPr>
        <w:t>补充养老保险基金。本公司按职工工资总额的一定比例向年金计划</w:t>
      </w:r>
      <w:r>
        <w:rPr>
          <w:rFonts w:hint="default" w:cs="Times New Roman"/>
          <w:color w:val="000000"/>
          <w:sz w:val="21"/>
          <w:szCs w:val="21"/>
          <w:lang w:val="en-US" w:eastAsia="zh-CN"/>
        </w:rPr>
        <w:t>/</w:t>
      </w:r>
      <w:r>
        <w:rPr>
          <w:rFonts w:hint="eastAsia" w:cs="Times New Roman"/>
          <w:color w:val="000000"/>
          <w:sz w:val="21"/>
          <w:szCs w:val="21"/>
          <w:lang w:val="en-US" w:eastAsia="zh-CN"/>
        </w:rPr>
        <w:t>当地社会保险机构缴费，相应支出计入当期损益或相关资产成本。</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t>（</w:t>
      </w:r>
      <w:r>
        <w:rPr>
          <w:rFonts w:hint="default" w:cs="Times New Roman"/>
          <w:color w:val="000000"/>
          <w:sz w:val="21"/>
          <w:szCs w:val="21"/>
          <w:lang w:val="en-US" w:eastAsia="zh-CN"/>
        </w:rPr>
        <w:t>2</w:t>
      </w:r>
      <w:r>
        <w:rPr>
          <w:rFonts w:hint="eastAsia" w:cs="Times New Roman"/>
          <w:color w:val="000000"/>
          <w:sz w:val="21"/>
          <w:szCs w:val="21"/>
          <w:lang w:val="en-US" w:eastAsia="zh-CN"/>
        </w:rPr>
        <w:t>）设定受益计划</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t>本公司根据预期累计福利单位法确定的公式将设定受益计划产生的福利义务归属于职工提供服务的期间，并计入当期损益或相关资产成本。</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t>设定受益计划义务现值减去设定受益计划资产公允价值所形成的赤字或盈余确认为一项设定受益计划净负债或净资产。设定受益计划存在盈余的，本公司以设定受益计划的盈余和资产上限两项的孰低者计量设定受益计划净资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t>所有设定受益计划义务，包括预期在职工提供服务的年度报告期间结束后的十二个月内支付的义务，根据资产负债表日与设定受益计划义务期限和币种相匹配的国债或活跃市场上的高质量公司债券的市场收益率予以折现。</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t>设定受益计划产生的服务成本和设定受益计划净负债或净资产的利息净额计入当期损益或相关资产成本；重新计量设定受益计划净负债或净资产所产生的变动计入其他综合收益，并且在后续会计期间不转回至损益，在原设定受益计划终止时在权益范围内将原计入其他综合收益的部分全部结转至未分配利润。</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t>在设定受益计划结算时，按在结算日确定的设定受益计划义务现值和结算价格两者的差额，确认结算利得或损失。</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outlineLvl w:val="3"/>
        <w:rPr>
          <w:rFonts w:hint="eastAsia" w:ascii="Times New Roman" w:hAnsi="Times New Roman" w:eastAsia="宋体" w:cs="Times New Roman"/>
          <w:color w:val="000000"/>
          <w:sz w:val="21"/>
          <w:szCs w:val="21"/>
          <w:lang w:val="en-US" w:eastAsia="zh-CN"/>
        </w:rPr>
      </w:pPr>
      <w:bookmarkStart w:id="220" w:name="_Toc989080"/>
      <w:r>
        <w:rPr>
          <w:rFonts w:hint="eastAsia" w:ascii="Times New Roman" w:hAnsi="Times New Roman" w:eastAsia="宋体" w:cs="Times New Roman"/>
          <w:color w:val="000000"/>
          <w:sz w:val="21"/>
          <w:szCs w:val="21"/>
          <w:lang w:val="en-US" w:eastAsia="zh-CN"/>
        </w:rPr>
        <w:t>3.辞退福利的会计处理方法</w:t>
      </w:r>
      <w:bookmarkEnd w:id="220"/>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t>本公司向职工提供辞退福利的，在下列两者孰早日确认辞退福利产生的职工薪酬负债，并计入当期损益：公司不能单方面撤回因解除劳动关系计划或裁减建议所提供的辞退福利时；公司确认与涉及支付辞退福利的重组相关的成本或费用时。</w:t>
      </w:r>
    </w:p>
    <w:bookmarkEnd w:id="218"/>
    <w:p>
      <w:pPr>
        <w:keepNext/>
        <w:keepLines/>
        <w:spacing w:before="300" w:after="300" w:line="280" w:lineRule="exact"/>
        <w:jc w:val="left"/>
        <w:outlineLvl w:val="2"/>
        <w:rPr>
          <w:rFonts w:ascii="宋体" w:hAnsi="宋体" w:eastAsia="宋体" w:cs="宋体"/>
          <w:b/>
          <w:bCs/>
          <w:sz w:val="21"/>
          <w:szCs w:val="21"/>
        </w:rPr>
      </w:pPr>
      <w:bookmarkStart w:id="221" w:name="_Toc989081"/>
      <w:r>
        <w:rPr>
          <w:rFonts w:hint="eastAsia" w:ascii="宋体" w:hAnsi="宋体" w:cs="宋体"/>
          <w:b/>
          <w:bCs/>
          <w:sz w:val="21"/>
          <w:szCs w:val="21"/>
          <w:lang w:eastAsia="zh-CN"/>
        </w:rPr>
        <w:t>（二十四）</w:t>
      </w:r>
      <w:r>
        <w:rPr>
          <w:rFonts w:ascii="宋体" w:hAnsi="宋体" w:eastAsia="宋体" w:cs="宋体"/>
          <w:b/>
          <w:bCs/>
          <w:sz w:val="21"/>
          <w:szCs w:val="21"/>
        </w:rPr>
        <w:t>预计负债</w:t>
      </w:r>
      <w:bookmarkEnd w:id="221"/>
    </w:p>
    <w:p>
      <w:pPr>
        <w:pStyle w:val="4"/>
        <w:widowControl/>
        <w:spacing w:beforeAutospacing="0" w:afterAutospacing="0" w:line="360" w:lineRule="exact"/>
        <w:ind w:firstLine="420" w:firstLineChars="200"/>
        <w:rPr>
          <w:color w:val="auto"/>
          <w:sz w:val="21"/>
          <w:szCs w:val="21"/>
          <w:highlight w:val="none"/>
        </w:rPr>
      </w:pPr>
      <w:bookmarkStart w:id="222" w:name="_Toc989082"/>
      <w:r>
        <w:rPr>
          <w:rFonts w:hint="eastAsia"/>
          <w:color w:val="auto"/>
          <w:sz w:val="21"/>
          <w:szCs w:val="21"/>
          <w:highlight w:val="none"/>
        </w:rPr>
        <w:t>与或有事项相关的义务同时满足下列条件时，本公司将其确认为预计负债：  </w:t>
      </w:r>
    </w:p>
    <w:p>
      <w:pPr>
        <w:pStyle w:val="4"/>
        <w:widowControl/>
        <w:spacing w:beforeAutospacing="0" w:afterAutospacing="0"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①该义务是本公司承担的现时义务；</w:t>
      </w:r>
    </w:p>
    <w:p>
      <w:pPr>
        <w:pStyle w:val="4"/>
        <w:widowControl/>
        <w:spacing w:beforeAutospacing="0" w:afterAutospacing="0"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②履行该义务很可能导致经济利益流出本公司；</w:t>
      </w:r>
    </w:p>
    <w:p>
      <w:pPr>
        <w:pStyle w:val="4"/>
        <w:widowControl/>
        <w:spacing w:beforeAutospacing="0" w:afterAutospacing="0" w:line="360" w:lineRule="exact"/>
        <w:ind w:firstLine="420" w:firstLineChars="200"/>
        <w:rPr>
          <w:color w:val="auto"/>
          <w:sz w:val="21"/>
          <w:szCs w:val="21"/>
          <w:highlight w:val="none"/>
        </w:rPr>
      </w:pPr>
      <w:r>
        <w:rPr>
          <w:rFonts w:hint="eastAsia" w:ascii="宋体" w:hAnsi="宋体" w:eastAsia="宋体" w:cs="宋体"/>
          <w:color w:val="auto"/>
          <w:sz w:val="21"/>
          <w:szCs w:val="21"/>
          <w:highlight w:val="none"/>
        </w:rPr>
        <w:t>③该义</w:t>
      </w:r>
      <w:r>
        <w:rPr>
          <w:rFonts w:hint="eastAsia"/>
          <w:color w:val="auto"/>
          <w:sz w:val="21"/>
          <w:szCs w:val="21"/>
          <w:highlight w:val="none"/>
        </w:rPr>
        <w:t>务的金额能够可靠地计量。</w:t>
      </w:r>
    </w:p>
    <w:p>
      <w:pPr>
        <w:pStyle w:val="4"/>
        <w:widowControl/>
        <w:spacing w:beforeAutospacing="0" w:afterAutospacing="0" w:line="360" w:lineRule="exact"/>
        <w:ind w:firstLine="420" w:firstLineChars="200"/>
        <w:rPr>
          <w:color w:val="auto"/>
          <w:sz w:val="21"/>
          <w:szCs w:val="21"/>
          <w:highlight w:val="none"/>
        </w:rPr>
      </w:pPr>
      <w:r>
        <w:rPr>
          <w:rFonts w:hint="eastAsia"/>
          <w:color w:val="auto"/>
          <w:sz w:val="21"/>
          <w:szCs w:val="21"/>
          <w:highlight w:val="none"/>
        </w:rPr>
        <w:t>预计负债按履行相关现时义务所需的支出的最佳估计数进行初始计量。</w:t>
      </w:r>
    </w:p>
    <w:p>
      <w:pPr>
        <w:pStyle w:val="4"/>
        <w:widowControl/>
        <w:spacing w:beforeAutospacing="0" w:afterAutospacing="0" w:line="360" w:lineRule="exact"/>
        <w:ind w:firstLine="420" w:firstLineChars="200"/>
        <w:rPr>
          <w:color w:val="auto"/>
          <w:sz w:val="21"/>
          <w:szCs w:val="21"/>
          <w:highlight w:val="none"/>
        </w:rPr>
      </w:pPr>
      <w:r>
        <w:rPr>
          <w:rFonts w:hint="eastAsia"/>
          <w:color w:val="auto"/>
          <w:sz w:val="21"/>
          <w:szCs w:val="21"/>
          <w:highlight w:val="none"/>
        </w:rPr>
        <w:t>在确定最佳估计数时，综合考虑与或有事项有关的风险、不确定性和货币时间价值等因素。对于货币时间价值影响重大的，通过对相关未来现金流出进行折现后确定最佳估计数。</w:t>
      </w:r>
    </w:p>
    <w:p>
      <w:pPr>
        <w:pStyle w:val="4"/>
        <w:widowControl/>
        <w:spacing w:beforeAutospacing="0" w:afterAutospacing="0" w:line="360" w:lineRule="exact"/>
        <w:ind w:firstLine="420" w:firstLineChars="200"/>
        <w:rPr>
          <w:color w:val="auto"/>
          <w:sz w:val="21"/>
          <w:szCs w:val="21"/>
          <w:highlight w:val="none"/>
        </w:rPr>
      </w:pPr>
      <w:r>
        <w:rPr>
          <w:rFonts w:hint="eastAsia"/>
          <w:color w:val="auto"/>
          <w:sz w:val="21"/>
          <w:szCs w:val="21"/>
          <w:highlight w:val="none"/>
        </w:rPr>
        <w:t>所需支出存在一个连续范围，且该范围内各种结果发生的可能性相同的，最佳估计数按照该范围内的中间值确定；在其他情况下，最佳估计数分别下列情况处理：</w:t>
      </w:r>
    </w:p>
    <w:p>
      <w:pPr>
        <w:pStyle w:val="4"/>
        <w:widowControl/>
        <w:spacing w:beforeAutospacing="0" w:afterAutospacing="0"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①或有事项涉及单个项目的，按照最可能发生金额确定。</w:t>
      </w:r>
    </w:p>
    <w:p>
      <w:pPr>
        <w:pStyle w:val="4"/>
        <w:widowControl/>
        <w:spacing w:beforeAutospacing="0" w:afterAutospacing="0"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②或有事项涉及多个项目的，按照各种可能结果及相关概率计算确定。  </w:t>
      </w:r>
    </w:p>
    <w:p>
      <w:pPr>
        <w:pStyle w:val="4"/>
        <w:widowControl/>
        <w:spacing w:beforeAutospacing="0" w:afterAutospacing="0" w:line="360" w:lineRule="exact"/>
        <w:ind w:firstLine="420" w:firstLineChars="200"/>
        <w:rPr>
          <w:color w:val="000000"/>
          <w:sz w:val="21"/>
          <w:szCs w:val="21"/>
        </w:rPr>
      </w:pPr>
      <w:r>
        <w:rPr>
          <w:rFonts w:hint="eastAsia" w:ascii="宋体" w:hAnsi="宋体" w:eastAsia="宋体" w:cs="宋体"/>
          <w:color w:val="auto"/>
          <w:sz w:val="21"/>
          <w:szCs w:val="21"/>
          <w:highlight w:val="none"/>
        </w:rPr>
        <w:t>清偿</w:t>
      </w:r>
      <w:r>
        <w:rPr>
          <w:rFonts w:hint="eastAsia"/>
          <w:color w:val="auto"/>
          <w:sz w:val="21"/>
          <w:szCs w:val="21"/>
          <w:highlight w:val="none"/>
        </w:rPr>
        <w:t>预计负债所需支出</w:t>
      </w:r>
      <w:r>
        <w:rPr>
          <w:rFonts w:hint="eastAsia"/>
          <w:color w:val="000000"/>
          <w:sz w:val="21"/>
          <w:szCs w:val="21"/>
        </w:rPr>
        <w:t>全部或部分预期由第三方补偿的，补偿金额在基本确定能够收到时，作为资产单独确认，确认的补偿金额不超过预计负债的账面价值。</w:t>
      </w:r>
    </w:p>
    <w:p>
      <w:pPr>
        <w:pStyle w:val="4"/>
        <w:widowControl/>
        <w:spacing w:beforeAutospacing="0" w:afterAutospacing="0" w:line="360" w:lineRule="exact"/>
        <w:ind w:firstLine="420" w:firstLineChars="200"/>
        <w:rPr>
          <w:color w:val="000000"/>
          <w:sz w:val="21"/>
          <w:szCs w:val="21"/>
        </w:rPr>
      </w:pPr>
      <w:r>
        <w:rPr>
          <w:rFonts w:hint="eastAsia"/>
          <w:color w:val="000000"/>
          <w:sz w:val="21"/>
          <w:szCs w:val="21"/>
        </w:rPr>
        <w:t>本公司在资产负债表日对预计负债的账面价值进行复核，有确凿证据表明该账面价值不能反映当前最佳估计数的，按照当前最佳估计数对该账面价值进行调整。</w:t>
      </w:r>
    </w:p>
    <w:p>
      <w:pPr>
        <w:keepNext/>
        <w:keepLines/>
        <w:spacing w:before="300" w:after="300" w:line="280" w:lineRule="exact"/>
        <w:jc w:val="left"/>
        <w:outlineLvl w:val="2"/>
        <w:rPr>
          <w:rFonts w:ascii="宋体" w:hAnsi="宋体" w:eastAsia="宋体" w:cs="宋体"/>
          <w:b/>
          <w:bCs/>
          <w:sz w:val="21"/>
          <w:szCs w:val="21"/>
        </w:rPr>
      </w:pPr>
      <w:r>
        <w:rPr>
          <w:rFonts w:hint="eastAsia" w:ascii="宋体" w:hAnsi="宋体" w:cs="宋体"/>
          <w:b/>
          <w:bCs/>
          <w:sz w:val="21"/>
          <w:szCs w:val="21"/>
          <w:lang w:eastAsia="zh-CN"/>
        </w:rPr>
        <w:t>（二十五）</w:t>
      </w:r>
      <w:r>
        <w:rPr>
          <w:rFonts w:ascii="宋体" w:hAnsi="宋体" w:eastAsia="宋体" w:cs="宋体"/>
          <w:b/>
          <w:bCs/>
          <w:sz w:val="21"/>
          <w:szCs w:val="21"/>
        </w:rPr>
        <w:t>收入</w:t>
      </w:r>
      <w:bookmarkEnd w:id="222"/>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bookmarkStart w:id="223" w:name="OLE_LINK42"/>
      <w:r>
        <w:rPr>
          <w:rFonts w:hint="eastAsia" w:cs="Times New Roman"/>
          <w:color w:val="000000"/>
          <w:sz w:val="21"/>
          <w:szCs w:val="21"/>
          <w:lang w:val="en-US" w:eastAsia="zh-CN"/>
        </w:rPr>
        <w:t>按照业务类型披露收入确认和计量所采用的会计政策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t>收入确认和计量所采用的会计政策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t>本公司在履行了合同中的履约义务，即在客户取得相关商品或服务控制权时确认收入。取得相关商品或服务控制权，是指能够主导该商品或服务的使用并从中获得几乎全部的经济利益。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t>合同中包含两项或多项履约义务的，本公司在合同开始日，按照各单项履约义务所承诺商品或服务的单独售价的相对比例，将交易价格分摊至各单项履约义务。本公司按照分摊至各单项履约义务的交易价格计量收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t>交易价格是指本公司因向客户转让商品或服务而预期有权收取的对价金额，不包括代第三方收取的款项以及预期将退还给客户的款项。本公司根据合同条款，结合其以往的习惯做法确定交易价格，并在确定交易价格时，考虑可变对价、合同中存在的重大融资成分、非现金对价、应付客户对价等因素的影响。本公司以不超过在相关不确定性消除时累计已确认收入极可能不会发生重大转回的金额确定包含可变对价的交易价格。合同中存在重大融资成分的，本公司按照假定客户在取得商品或服务控制权时即以现金支付的应付金额确定交易价格，并在合同期间内采用实际利率法摊销该交易价格与合同对价之间的差额。</w:t>
      </w:r>
    </w:p>
    <w:p>
      <w:pPr>
        <w:pStyle w:val="4"/>
        <w:widowControl/>
        <w:spacing w:beforeAutospacing="0" w:afterAutospacing="0" w:line="360" w:lineRule="exact"/>
        <w:ind w:firstLine="420" w:firstLineChars="200"/>
        <w:rPr>
          <w:color w:val="000000"/>
          <w:sz w:val="21"/>
          <w:szCs w:val="21"/>
        </w:rPr>
      </w:pPr>
      <w:bookmarkStart w:id="224" w:name="_Toc989083"/>
      <w:r>
        <w:rPr>
          <w:rFonts w:hint="eastAsia"/>
          <w:color w:val="000000"/>
          <w:sz w:val="21"/>
          <w:szCs w:val="21"/>
        </w:rPr>
        <w:t>满足下列条件之一的，属于在某一时段内履行履约义务，否则，属于在某一时点履行履约义务：</w:t>
      </w:r>
    </w:p>
    <w:p>
      <w:pPr>
        <w:pStyle w:val="4"/>
        <w:widowControl/>
        <w:spacing w:beforeAutospacing="0" w:afterAutospacing="0"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 客户在本公司履约的同时即取得并消耗本公司履约所带来的经济利益。</w:t>
      </w:r>
    </w:p>
    <w:p>
      <w:pPr>
        <w:pStyle w:val="4"/>
        <w:widowControl/>
        <w:spacing w:beforeAutospacing="0" w:afterAutospacing="0"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②客户能够控制本公司履约过程中在建的商品。</w:t>
      </w:r>
    </w:p>
    <w:p>
      <w:pPr>
        <w:pStyle w:val="4"/>
        <w:widowControl/>
        <w:spacing w:beforeAutospacing="0" w:afterAutospacing="0" w:line="360" w:lineRule="exact"/>
        <w:ind w:firstLine="420" w:firstLineChars="200"/>
        <w:rPr>
          <w:color w:val="auto"/>
          <w:sz w:val="21"/>
          <w:szCs w:val="21"/>
          <w:highlight w:val="none"/>
        </w:rPr>
      </w:pPr>
      <w:r>
        <w:rPr>
          <w:rFonts w:hint="eastAsia" w:ascii="宋体" w:hAnsi="宋体" w:eastAsia="宋体" w:cs="宋体"/>
          <w:color w:val="auto"/>
          <w:sz w:val="21"/>
          <w:szCs w:val="21"/>
          <w:highlight w:val="none"/>
        </w:rPr>
        <w:t>③本公司履约过程中所产出的商品具有不可替代用途，且本公司在整个合同期内有权就累计至今已完成的</w:t>
      </w:r>
      <w:r>
        <w:rPr>
          <w:rFonts w:hint="eastAsia"/>
          <w:color w:val="auto"/>
          <w:sz w:val="21"/>
          <w:szCs w:val="21"/>
          <w:highlight w:val="none"/>
        </w:rPr>
        <w:t>履约部分收取款项。</w:t>
      </w:r>
    </w:p>
    <w:p>
      <w:pPr>
        <w:pStyle w:val="4"/>
        <w:widowControl/>
        <w:spacing w:beforeAutospacing="0" w:afterAutospacing="0" w:line="360" w:lineRule="exact"/>
        <w:ind w:firstLine="420" w:firstLineChars="200"/>
        <w:rPr>
          <w:color w:val="auto"/>
          <w:sz w:val="21"/>
          <w:szCs w:val="21"/>
          <w:highlight w:val="none"/>
        </w:rPr>
      </w:pPr>
      <w:r>
        <w:rPr>
          <w:rFonts w:hint="eastAsia"/>
          <w:color w:val="auto"/>
          <w:sz w:val="21"/>
          <w:szCs w:val="21"/>
          <w:highlight w:val="none"/>
        </w:rPr>
        <w:t>对于在某一时段内履行的履约义务，本公司在该段时间内按照履约进度确认收入，但是，履约进度不能合理确定的除外。本公司考虑商品或服务的性质，采用产出法或投入法确定履约进度。当履约进度不能合理确定时，已经发生的成本预计能够得到补偿的，本公司按照已经发生的成本金额确认收入，直到履约进度能够合理确定为止。</w:t>
      </w:r>
    </w:p>
    <w:p>
      <w:pPr>
        <w:pStyle w:val="4"/>
        <w:widowControl/>
        <w:spacing w:beforeAutospacing="0" w:afterAutospacing="0" w:line="360" w:lineRule="exact"/>
        <w:ind w:firstLine="420" w:firstLineChars="200"/>
        <w:rPr>
          <w:color w:val="auto"/>
          <w:sz w:val="21"/>
          <w:szCs w:val="21"/>
          <w:highlight w:val="none"/>
        </w:rPr>
      </w:pPr>
      <w:r>
        <w:rPr>
          <w:rFonts w:hint="eastAsia"/>
          <w:color w:val="auto"/>
          <w:sz w:val="21"/>
          <w:szCs w:val="21"/>
          <w:highlight w:val="none"/>
        </w:rPr>
        <w:t>对于在某一时点履行的履约义务，本公司在客户取得相关商品或服务控制权时点确认收入。在判断客户是否已取得商品或服务控制权时，本公司考虑下列迹象：</w:t>
      </w:r>
    </w:p>
    <w:p>
      <w:pPr>
        <w:pStyle w:val="4"/>
        <w:widowControl/>
        <w:spacing w:beforeAutospacing="0" w:afterAutospacing="0"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 本公司就该商品或服务享有现时收款权利，即客户就该商品或服务负有现时付款义务。</w:t>
      </w:r>
    </w:p>
    <w:p>
      <w:pPr>
        <w:pStyle w:val="4"/>
        <w:widowControl/>
        <w:spacing w:beforeAutospacing="0" w:afterAutospacing="0"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②本公司已将该商品的法定所有权转移给客户，即客户已拥有该商品的法定所有权。</w:t>
      </w:r>
    </w:p>
    <w:p>
      <w:pPr>
        <w:pStyle w:val="4"/>
        <w:widowControl/>
        <w:spacing w:beforeAutospacing="0" w:afterAutospacing="0"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③本公司已将该商品实物转移给客户，即客户已实物占有该商品。</w:t>
      </w:r>
    </w:p>
    <w:p>
      <w:pPr>
        <w:pStyle w:val="4"/>
        <w:widowControl/>
        <w:spacing w:beforeAutospacing="0" w:afterAutospacing="0"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本公司已将该商品所有权上的主要风险和报酬转移给客户，即客户已取得该商品所有权上的主要风险和报酬。</w:t>
      </w:r>
    </w:p>
    <w:p>
      <w:pPr>
        <w:pStyle w:val="4"/>
        <w:widowControl/>
        <w:spacing w:beforeAutospacing="0" w:afterAutospacing="0"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④客户已接受该商品或服务等。</w:t>
      </w:r>
    </w:p>
    <w:p>
      <w:pPr>
        <w:pStyle w:val="4"/>
        <w:widowControl/>
        <w:spacing w:beforeAutospacing="0" w:afterAutospacing="0" w:line="360" w:lineRule="exact"/>
        <w:ind w:firstLine="420" w:firstLineChars="200"/>
        <w:rPr>
          <w:color w:val="000000"/>
          <w:sz w:val="21"/>
          <w:szCs w:val="21"/>
        </w:rPr>
      </w:pPr>
      <w:r>
        <w:rPr>
          <w:rFonts w:hint="eastAsia" w:ascii="宋体" w:hAnsi="宋体" w:eastAsia="宋体" w:cs="宋体"/>
          <w:color w:val="auto"/>
          <w:sz w:val="21"/>
          <w:szCs w:val="21"/>
          <w:highlight w:val="none"/>
        </w:rPr>
        <w:t>本公司</w:t>
      </w:r>
      <w:r>
        <w:rPr>
          <w:rFonts w:hint="eastAsia"/>
          <w:color w:val="auto"/>
          <w:sz w:val="21"/>
          <w:szCs w:val="21"/>
          <w:highlight w:val="none"/>
        </w:rPr>
        <w:t>主要产品为飞机刹车材料、航天及民用碳</w:t>
      </w:r>
      <w:r>
        <w:rPr>
          <w:color w:val="auto"/>
          <w:sz w:val="21"/>
          <w:szCs w:val="21"/>
          <w:highlight w:val="none"/>
        </w:rPr>
        <w:t>\</w:t>
      </w:r>
      <w:r>
        <w:rPr>
          <w:rFonts w:hint="eastAsia"/>
          <w:color w:val="000000"/>
          <w:sz w:val="21"/>
          <w:szCs w:val="21"/>
        </w:rPr>
        <w:t>碳复合材料、高性能模具材料。</w:t>
      </w:r>
    </w:p>
    <w:p>
      <w:pPr>
        <w:pStyle w:val="4"/>
        <w:widowControl/>
        <w:spacing w:beforeAutospacing="0" w:afterAutospacing="0" w:line="360" w:lineRule="exact"/>
        <w:ind w:firstLine="420" w:firstLineChars="200"/>
        <w:rPr>
          <w:color w:val="000000"/>
          <w:sz w:val="21"/>
          <w:szCs w:val="21"/>
        </w:rPr>
      </w:pPr>
      <w:r>
        <w:rPr>
          <w:rFonts w:hint="eastAsia"/>
          <w:color w:val="000000"/>
          <w:sz w:val="21"/>
          <w:szCs w:val="21"/>
        </w:rPr>
        <w:t>本公司主要产品内销收入具体政策如下：</w:t>
      </w:r>
    </w:p>
    <w:p>
      <w:pPr>
        <w:pStyle w:val="4"/>
        <w:widowControl/>
        <w:spacing w:beforeAutospacing="0" w:afterAutospacing="0" w:line="360" w:lineRule="exact"/>
        <w:ind w:firstLine="420" w:firstLineChars="200"/>
        <w:rPr>
          <w:color w:val="000000"/>
          <w:sz w:val="21"/>
          <w:szCs w:val="21"/>
        </w:rPr>
      </w:pPr>
      <w:r>
        <w:rPr>
          <w:rFonts w:hint="eastAsia"/>
          <w:color w:val="000000"/>
          <w:sz w:val="21"/>
          <w:szCs w:val="21"/>
        </w:rPr>
        <w:t>飞机刹车材料：飞机刹车副，一般为客户收货后，公司开具发票，故公司主要以客户收货作为产品风险及报酬转移时点确认收入，若为寄售销售，公司向客户发出货物，由客户代为保管，客户使用后，统计当月消耗数量，于次月向公司提供结算单，公司复核无误后开具发票，故公司在寄售销售模式下以收到客户的结算单作为收入确认时点；飞机刹车系统，以客户验收作为收入确认时点。</w:t>
      </w:r>
    </w:p>
    <w:p>
      <w:pPr>
        <w:pStyle w:val="4"/>
        <w:widowControl/>
        <w:spacing w:beforeAutospacing="0" w:afterAutospacing="0" w:line="360" w:lineRule="exact"/>
        <w:ind w:firstLine="420" w:firstLineChars="200"/>
        <w:rPr>
          <w:color w:val="000000"/>
          <w:sz w:val="21"/>
          <w:szCs w:val="21"/>
        </w:rPr>
      </w:pPr>
      <w:r>
        <w:rPr>
          <w:rFonts w:hint="eastAsia"/>
          <w:color w:val="000000"/>
          <w:sz w:val="21"/>
          <w:szCs w:val="21"/>
        </w:rPr>
        <w:t>航天及民用碳</w:t>
      </w:r>
      <w:r>
        <w:rPr>
          <w:color w:val="000000"/>
          <w:sz w:val="21"/>
          <w:szCs w:val="21"/>
        </w:rPr>
        <w:t>\</w:t>
      </w:r>
      <w:r>
        <w:rPr>
          <w:rFonts w:hint="eastAsia"/>
          <w:color w:val="000000"/>
          <w:sz w:val="21"/>
          <w:szCs w:val="21"/>
        </w:rPr>
        <w:t>碳复合材料：根据合同是否约定验收合格条款而分别以客户确认收货或客户验收合格作为收入确认时点。</w:t>
      </w:r>
    </w:p>
    <w:p>
      <w:pPr>
        <w:pStyle w:val="4"/>
        <w:widowControl/>
        <w:spacing w:beforeAutospacing="0" w:afterAutospacing="0" w:line="360" w:lineRule="exact"/>
        <w:ind w:firstLine="420" w:firstLineChars="200"/>
        <w:rPr>
          <w:color w:val="000000"/>
          <w:sz w:val="21"/>
          <w:szCs w:val="21"/>
        </w:rPr>
      </w:pPr>
      <w:r>
        <w:rPr>
          <w:rFonts w:hint="eastAsia"/>
          <w:color w:val="000000"/>
          <w:sz w:val="21"/>
          <w:szCs w:val="21"/>
        </w:rPr>
        <w:t>高性能硬质合金材料：主要采取快递的运输方式，待客户确认收货后公司开具发票，故公司以客户确认收货作为收入确认时点。</w:t>
      </w:r>
    </w:p>
    <w:p>
      <w:pPr>
        <w:pStyle w:val="4"/>
        <w:widowControl/>
        <w:spacing w:beforeAutospacing="0" w:afterAutospacing="0" w:line="360" w:lineRule="exact"/>
        <w:ind w:firstLine="420" w:firstLineChars="200"/>
        <w:rPr>
          <w:color w:val="000000"/>
          <w:sz w:val="21"/>
          <w:szCs w:val="21"/>
        </w:rPr>
      </w:pPr>
      <w:r>
        <w:rPr>
          <w:rFonts w:hint="eastAsia"/>
          <w:color w:val="000000"/>
          <w:sz w:val="21"/>
          <w:szCs w:val="21"/>
        </w:rPr>
        <w:t>稀有金属粉体新材料：公司将产品交付客户，经客户验收合格后确认收入。</w:t>
      </w:r>
    </w:p>
    <w:p>
      <w:pPr>
        <w:pStyle w:val="4"/>
        <w:widowControl/>
        <w:spacing w:beforeAutospacing="0" w:afterAutospacing="0" w:line="360" w:lineRule="exact"/>
        <w:ind w:firstLine="420" w:firstLineChars="200"/>
        <w:rPr>
          <w:color w:val="000000"/>
          <w:sz w:val="21"/>
          <w:szCs w:val="21"/>
        </w:rPr>
      </w:pPr>
      <w:r>
        <w:rPr>
          <w:rFonts w:hint="eastAsia"/>
          <w:color w:val="000000"/>
          <w:sz w:val="21"/>
          <w:szCs w:val="21"/>
        </w:rPr>
        <w:t>出口销售：主要为</w:t>
      </w:r>
      <w:r>
        <w:rPr>
          <w:color w:val="000000"/>
          <w:sz w:val="21"/>
          <w:szCs w:val="21"/>
        </w:rPr>
        <w:t>FCA</w:t>
      </w:r>
      <w:r>
        <w:rPr>
          <w:rFonts w:hint="eastAsia"/>
          <w:color w:val="000000"/>
          <w:sz w:val="21"/>
          <w:szCs w:val="21"/>
        </w:rPr>
        <w:t>、</w:t>
      </w:r>
      <w:r>
        <w:rPr>
          <w:color w:val="000000"/>
          <w:sz w:val="21"/>
          <w:szCs w:val="21"/>
        </w:rPr>
        <w:t>FOB</w:t>
      </w:r>
      <w:r>
        <w:rPr>
          <w:rFonts w:hint="eastAsia"/>
          <w:color w:val="000000"/>
          <w:sz w:val="21"/>
          <w:szCs w:val="21"/>
        </w:rPr>
        <w:t>两种模式，出口报关后凭报关单、装箱单、运输发票等原始凭证确认收入。</w:t>
      </w:r>
    </w:p>
    <w:p>
      <w:pPr>
        <w:pStyle w:val="4"/>
        <w:widowControl/>
        <w:spacing w:beforeAutospacing="0" w:afterAutospacing="0" w:line="360" w:lineRule="exact"/>
        <w:ind w:firstLine="420" w:firstLineChars="200"/>
        <w:rPr>
          <w:color w:val="000000"/>
          <w:sz w:val="21"/>
          <w:szCs w:val="21"/>
        </w:rPr>
      </w:pPr>
      <w:r>
        <w:rPr>
          <w:rFonts w:hint="eastAsia"/>
          <w:color w:val="000000"/>
          <w:sz w:val="21"/>
          <w:szCs w:val="21"/>
        </w:rPr>
        <w:t>同类业务采用不同经营模式涉及不同收入确认方式及计量方法的情况</w:t>
      </w:r>
    </w:p>
    <w:bookmarkEnd w:id="223"/>
    <w:p>
      <w:pPr>
        <w:keepNext/>
        <w:keepLines/>
        <w:spacing w:before="300" w:after="300" w:line="280" w:lineRule="exact"/>
        <w:jc w:val="left"/>
        <w:outlineLvl w:val="2"/>
        <w:rPr>
          <w:rFonts w:ascii="宋体" w:hAnsi="宋体" w:eastAsia="宋体" w:cs="宋体"/>
          <w:b/>
          <w:bCs/>
          <w:sz w:val="21"/>
          <w:szCs w:val="21"/>
        </w:rPr>
      </w:pPr>
      <w:r>
        <w:rPr>
          <w:rFonts w:hint="eastAsia" w:ascii="宋体" w:hAnsi="宋体" w:cs="宋体"/>
          <w:b/>
          <w:bCs/>
          <w:sz w:val="21"/>
          <w:szCs w:val="21"/>
          <w:lang w:eastAsia="zh-CN"/>
        </w:rPr>
        <w:t>（二十六）</w:t>
      </w:r>
      <w:r>
        <w:rPr>
          <w:rFonts w:ascii="宋体" w:hAnsi="宋体" w:eastAsia="宋体" w:cs="宋体"/>
          <w:b/>
          <w:bCs/>
          <w:sz w:val="21"/>
          <w:szCs w:val="21"/>
        </w:rPr>
        <w:t>合同成本</w:t>
      </w:r>
      <w:bookmarkEnd w:id="224"/>
    </w:p>
    <w:p>
      <w:pPr>
        <w:pStyle w:val="4"/>
        <w:widowControl/>
        <w:spacing w:beforeAutospacing="0" w:afterAutospacing="0" w:line="360" w:lineRule="exact"/>
        <w:ind w:firstLine="420" w:firstLineChars="200"/>
        <w:rPr>
          <w:color w:val="auto"/>
          <w:sz w:val="21"/>
          <w:szCs w:val="21"/>
          <w:highlight w:val="none"/>
        </w:rPr>
      </w:pPr>
      <w:bookmarkStart w:id="225" w:name="OLE_LINK41"/>
      <w:bookmarkStart w:id="226" w:name="_Toc989084"/>
      <w:r>
        <w:rPr>
          <w:rFonts w:hint="eastAsia"/>
          <w:color w:val="auto"/>
          <w:sz w:val="21"/>
          <w:szCs w:val="21"/>
          <w:highlight w:val="none"/>
        </w:rPr>
        <w:t>合同成本包括合同履约成本与合同取得成本。</w:t>
      </w:r>
    </w:p>
    <w:p>
      <w:pPr>
        <w:pStyle w:val="4"/>
        <w:widowControl/>
        <w:spacing w:beforeAutospacing="0" w:afterAutospacing="0" w:line="360" w:lineRule="exact"/>
        <w:ind w:firstLine="420" w:firstLineChars="200"/>
        <w:rPr>
          <w:color w:val="auto"/>
          <w:sz w:val="21"/>
          <w:szCs w:val="21"/>
          <w:highlight w:val="none"/>
        </w:rPr>
      </w:pPr>
      <w:r>
        <w:rPr>
          <w:rFonts w:hint="eastAsia"/>
          <w:color w:val="auto"/>
          <w:sz w:val="21"/>
          <w:szCs w:val="21"/>
          <w:highlight w:val="none"/>
        </w:rPr>
        <w:t>本公司为履行合同而发生的成本，不属于存货、固定资产或无形资产等相关准则规范范围的，在满足下列条件时作为合同履约成本确认为一项资产：</w:t>
      </w:r>
    </w:p>
    <w:p>
      <w:pPr>
        <w:pStyle w:val="4"/>
        <w:widowControl/>
        <w:spacing w:beforeAutospacing="0" w:afterAutospacing="0"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①该成本与一份当前或预期取得的合同直接相关。</w:t>
      </w:r>
    </w:p>
    <w:p>
      <w:pPr>
        <w:pStyle w:val="4"/>
        <w:widowControl/>
        <w:spacing w:beforeAutospacing="0" w:afterAutospacing="0"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②该成本增加了本公司未来用于履行履约义务的资源。</w:t>
      </w:r>
    </w:p>
    <w:p>
      <w:pPr>
        <w:pStyle w:val="4"/>
        <w:widowControl/>
        <w:spacing w:beforeAutospacing="0" w:afterAutospacing="0"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③该成本预期能够收回。</w:t>
      </w:r>
    </w:p>
    <w:p>
      <w:pPr>
        <w:pStyle w:val="4"/>
        <w:widowControl/>
        <w:spacing w:beforeAutospacing="0" w:afterAutospacing="0"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本公司为取得合同发生的增量成本预期能够收回的，作为合同取得成本确认为一项资产。</w:t>
      </w:r>
    </w:p>
    <w:p>
      <w:pPr>
        <w:pStyle w:val="4"/>
        <w:widowControl/>
        <w:spacing w:beforeAutospacing="0" w:afterAutospacing="0"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与合同成本有关的资产采用与该资产相关的商品或服务收入确认相同的基础进行摊销；但是对于合同取得成本摊销期限未超过一年的，本公司在发生时将其计入当期损益。 </w:t>
      </w:r>
    </w:p>
    <w:p>
      <w:pPr>
        <w:pStyle w:val="4"/>
        <w:widowControl/>
        <w:spacing w:beforeAutospacing="0" w:afterAutospacing="0"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与合同成本有关的资产，其账面价值高于下列两项的差额的，本公司对超出部分计提减值准备，并确认为资产减值损失：</w:t>
      </w:r>
    </w:p>
    <w:p>
      <w:pPr>
        <w:pStyle w:val="4"/>
        <w:widowControl/>
        <w:spacing w:beforeAutospacing="0" w:afterAutospacing="0"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①因转让与该资产相关的商品或服务预期能够取得的剩余对价；</w:t>
      </w:r>
    </w:p>
    <w:p>
      <w:pPr>
        <w:pStyle w:val="4"/>
        <w:widowControl/>
        <w:spacing w:beforeAutospacing="0" w:afterAutospacing="0" w:line="360" w:lineRule="exact"/>
        <w:ind w:firstLine="420" w:firstLineChars="200"/>
        <w:rPr>
          <w:color w:val="auto"/>
          <w:sz w:val="21"/>
          <w:szCs w:val="21"/>
          <w:highlight w:val="none"/>
        </w:rPr>
      </w:pPr>
      <w:r>
        <w:rPr>
          <w:rFonts w:hint="eastAsia" w:ascii="宋体" w:hAnsi="宋体" w:eastAsia="宋体" w:cs="宋体"/>
          <w:color w:val="auto"/>
          <w:sz w:val="21"/>
          <w:szCs w:val="21"/>
          <w:highlight w:val="none"/>
        </w:rPr>
        <w:t>②</w:t>
      </w:r>
      <w:r>
        <w:rPr>
          <w:rFonts w:hint="eastAsia"/>
          <w:color w:val="auto"/>
          <w:sz w:val="21"/>
          <w:szCs w:val="21"/>
          <w:highlight w:val="none"/>
        </w:rPr>
        <w:t>为转让该相关商品或服务估计将要发生的成本。</w:t>
      </w:r>
    </w:p>
    <w:p>
      <w:pPr>
        <w:pStyle w:val="4"/>
        <w:widowControl/>
        <w:spacing w:beforeAutospacing="0" w:afterAutospacing="0" w:line="360" w:lineRule="exact"/>
        <w:ind w:firstLine="420" w:firstLineChars="200"/>
        <w:rPr>
          <w:color w:val="auto"/>
          <w:sz w:val="21"/>
          <w:szCs w:val="21"/>
          <w:highlight w:val="none"/>
        </w:rPr>
      </w:pPr>
      <w:r>
        <w:rPr>
          <w:rFonts w:hint="eastAsia"/>
          <w:color w:val="auto"/>
          <w:sz w:val="21"/>
          <w:szCs w:val="21"/>
          <w:highlight w:val="none"/>
        </w:rPr>
        <w:t>以前期间减值的因素之后发生变化，使得前述差额高于该资产账面价值的，本公司转回原已计提的减值准备，并计入当期损益，但转回后的资产账面价值不超过假定不计提减值准备情况下该资产在转回日的账面价值。</w:t>
      </w:r>
      <w:r>
        <w:rPr>
          <w:color w:val="auto"/>
          <w:sz w:val="21"/>
          <w:szCs w:val="21"/>
          <w:highlight w:val="none"/>
        </w:rPr>
        <w:t> </w:t>
      </w:r>
    </w:p>
    <w:bookmarkEnd w:id="225"/>
    <w:p>
      <w:pPr>
        <w:keepNext/>
        <w:keepLines/>
        <w:spacing w:before="300" w:after="300" w:line="280" w:lineRule="exact"/>
        <w:jc w:val="left"/>
        <w:outlineLvl w:val="2"/>
        <w:rPr>
          <w:rFonts w:ascii="宋体" w:hAnsi="宋体" w:eastAsia="宋体" w:cs="宋体"/>
          <w:b/>
          <w:bCs/>
          <w:sz w:val="21"/>
          <w:szCs w:val="21"/>
        </w:rPr>
      </w:pPr>
      <w:r>
        <w:rPr>
          <w:rFonts w:hint="eastAsia" w:ascii="宋体" w:hAnsi="宋体" w:cs="宋体"/>
          <w:b/>
          <w:bCs/>
          <w:sz w:val="21"/>
          <w:szCs w:val="21"/>
          <w:lang w:eastAsia="zh-CN"/>
        </w:rPr>
        <w:t>（二十七）</w:t>
      </w:r>
      <w:r>
        <w:rPr>
          <w:rFonts w:ascii="宋体" w:hAnsi="宋体" w:eastAsia="宋体" w:cs="宋体"/>
          <w:b/>
          <w:bCs/>
          <w:sz w:val="21"/>
          <w:szCs w:val="21"/>
        </w:rPr>
        <w:t>政府补助</w:t>
      </w:r>
      <w:bookmarkEnd w:id="226"/>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outlineLvl w:val="3"/>
        <w:rPr>
          <w:rFonts w:hint="eastAsia" w:ascii="Times New Roman" w:hAnsi="Times New Roman" w:eastAsia="宋体" w:cs="Times New Roman"/>
          <w:color w:val="000000"/>
          <w:sz w:val="21"/>
          <w:szCs w:val="21"/>
          <w:lang w:val="en-US" w:eastAsia="zh-CN"/>
        </w:rPr>
      </w:pPr>
      <w:bookmarkStart w:id="227" w:name="OLE_LINK43"/>
      <w:bookmarkStart w:id="228" w:name="_Toc989085"/>
      <w:r>
        <w:rPr>
          <w:rFonts w:hint="eastAsia" w:ascii="Times New Roman" w:hAnsi="Times New Roman" w:eastAsia="宋体" w:cs="Times New Roman"/>
          <w:color w:val="000000"/>
          <w:sz w:val="21"/>
          <w:szCs w:val="21"/>
          <w:lang w:val="en-US" w:eastAsia="zh-CN"/>
        </w:rPr>
        <w:t>1.类型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t>政府补助，是本公司从政府无偿取得的货币性资产或非货币性资产，分为与资产相关的政府补助和与收益相关的政府补助。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t>与资产相关的政府补助，是指本公司取得的、用于购建或以其他方式形成长期资产的政府补助。与收益相关的政府补助，是指除与资产相关的政府补助之外的政府补助。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outlineLvl w:val="3"/>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2. 确认时点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t>政府补助在本公司能够满足其所附的条件并且能够收到时，予以确认。</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outlineLvl w:val="3"/>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3. 会计处理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t>与资产相关的政府补助，冲减相关资产账面价值或确认为递延收益。确认为递延收益的，在相关资产使用寿命内按照合理、系统的方法分期计入当期损益（与本公司日常活动相关的，计入其他收益；与本公司日常活动无关的，计入营业外收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t>与收益相关的政府补助，用于补偿本公司以后期间的相关成本费用或损失的，确认为递延收益，并在确认相关成本费用或损失的期间，计入当期损益（与本公司日常活动相关的，计入其他收益；与本公司日常活动无关的，计入营业外收入）或冲减相关成本费用或损失；用于补偿本公司已发生的相关成本费用或损失的，直接计入当期损益（与本公司日常活动相关的，计入其他收益；与本公司日常活动无关的，计入营业外收入）或冲减相关成本费用或损失。</w:t>
      </w:r>
      <w:r>
        <w:rPr>
          <w:rFonts w:hint="default" w:cs="Times New Roman"/>
          <w:color w:val="000000"/>
          <w:sz w:val="21"/>
          <w:szCs w:val="21"/>
          <w:lang w:val="en-US" w:eastAsia="zh-CN"/>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t>本公司取得的政策性优惠贷款贴息，区分以下两种情况，分别进行会计处理：</w:t>
      </w:r>
    </w:p>
    <w:p>
      <w:pPr>
        <w:pStyle w:val="4"/>
        <w:widowControl/>
        <w:spacing w:beforeAutospacing="0" w:afterAutospacing="0"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①财政将贴息资金拨付给贷款银行，由贷款银行以政策性优惠利率向本公司提供贷款的，本公司以实际收到的借款金额作为借款的入账价值，按照借款本金和该政策性优惠利率计算相关借款费用。</w:t>
      </w:r>
    </w:p>
    <w:p>
      <w:pPr>
        <w:pStyle w:val="4"/>
        <w:widowControl/>
        <w:spacing w:beforeAutospacing="0" w:afterAutospacing="0" w:line="360" w:lineRule="exact"/>
        <w:ind w:firstLine="420" w:firstLineChars="200"/>
        <w:rPr>
          <w:color w:val="auto"/>
          <w:sz w:val="21"/>
          <w:szCs w:val="21"/>
          <w:highlight w:val="none"/>
        </w:rPr>
      </w:pPr>
      <w:r>
        <w:rPr>
          <w:rFonts w:hint="eastAsia" w:ascii="宋体" w:hAnsi="宋体" w:eastAsia="宋体" w:cs="宋体"/>
          <w:color w:val="auto"/>
          <w:sz w:val="21"/>
          <w:szCs w:val="21"/>
          <w:highlight w:val="none"/>
        </w:rPr>
        <w:t>②财</w:t>
      </w:r>
      <w:r>
        <w:rPr>
          <w:rFonts w:hint="eastAsia"/>
          <w:color w:val="auto"/>
          <w:sz w:val="21"/>
          <w:szCs w:val="21"/>
          <w:highlight w:val="none"/>
        </w:rPr>
        <w:t>政将贴息资金直接拨付给本公司的，本公司将对应的贴息冲减相关借款费用。</w:t>
      </w:r>
    </w:p>
    <w:bookmarkEnd w:id="227"/>
    <w:p>
      <w:pPr>
        <w:keepNext/>
        <w:keepLines/>
        <w:spacing w:before="300" w:after="300" w:line="280" w:lineRule="exact"/>
        <w:jc w:val="left"/>
        <w:outlineLvl w:val="2"/>
        <w:rPr>
          <w:rFonts w:ascii="宋体" w:hAnsi="宋体" w:eastAsia="宋体" w:cs="宋体"/>
          <w:b/>
          <w:bCs/>
          <w:sz w:val="21"/>
          <w:szCs w:val="21"/>
        </w:rPr>
      </w:pPr>
      <w:r>
        <w:rPr>
          <w:rFonts w:hint="eastAsia" w:ascii="宋体" w:hAnsi="宋体" w:cs="宋体"/>
          <w:b/>
          <w:bCs/>
          <w:sz w:val="21"/>
          <w:szCs w:val="21"/>
          <w:lang w:eastAsia="zh-CN"/>
        </w:rPr>
        <w:t>（二十八）</w:t>
      </w:r>
      <w:r>
        <w:rPr>
          <w:rFonts w:ascii="宋体" w:hAnsi="宋体" w:eastAsia="宋体" w:cs="宋体"/>
          <w:b/>
          <w:bCs/>
          <w:sz w:val="21"/>
          <w:szCs w:val="21"/>
        </w:rPr>
        <w:t>递延所得税资产/递延所得税负债</w:t>
      </w:r>
      <w:bookmarkEnd w:id="228"/>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bookmarkStart w:id="229" w:name="OLE_LINK44"/>
      <w:r>
        <w:rPr>
          <w:rFonts w:hint="eastAsia" w:cs="Times New Roman"/>
          <w:color w:val="000000"/>
          <w:sz w:val="21"/>
          <w:szCs w:val="21"/>
          <w:lang w:val="en-US" w:eastAsia="zh-CN"/>
        </w:rPr>
        <w:t>所得税包括当期所得税和递延所得税。除因企业合并和直接计入所有者权益</w:t>
      </w:r>
      <w:r>
        <w:rPr>
          <w:rFonts w:hint="default" w:cs="Times New Roman"/>
          <w:color w:val="000000"/>
          <w:sz w:val="21"/>
          <w:szCs w:val="21"/>
          <w:lang w:val="en-US" w:eastAsia="zh-CN"/>
        </w:rPr>
        <w:t>(</w:t>
      </w:r>
      <w:r>
        <w:rPr>
          <w:rFonts w:hint="eastAsia" w:cs="Times New Roman"/>
          <w:color w:val="000000"/>
          <w:sz w:val="21"/>
          <w:szCs w:val="21"/>
          <w:lang w:val="en-US" w:eastAsia="zh-CN"/>
        </w:rPr>
        <w:t>包括其他综合收益</w:t>
      </w:r>
      <w:r>
        <w:rPr>
          <w:rFonts w:hint="default" w:cs="Times New Roman"/>
          <w:color w:val="000000"/>
          <w:sz w:val="21"/>
          <w:szCs w:val="21"/>
          <w:lang w:val="en-US" w:eastAsia="zh-CN"/>
        </w:rPr>
        <w:t>)</w:t>
      </w:r>
      <w:r>
        <w:rPr>
          <w:rFonts w:hint="eastAsia" w:cs="Times New Roman"/>
          <w:color w:val="000000"/>
          <w:sz w:val="21"/>
          <w:szCs w:val="21"/>
          <w:lang w:val="en-US" w:eastAsia="zh-CN"/>
        </w:rPr>
        <w:t>的交易或者事项产生的所得税外，本公司将当期所得税和递延所得税计入当期损益。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t>递延所得税资产和递延所得税负债根据资产和负债的计税基础与其账面价值的差额</w:t>
      </w:r>
      <w:r>
        <w:rPr>
          <w:rFonts w:hint="default" w:cs="Times New Roman"/>
          <w:color w:val="000000"/>
          <w:sz w:val="21"/>
          <w:szCs w:val="21"/>
          <w:lang w:val="en-US" w:eastAsia="zh-CN"/>
        </w:rPr>
        <w:t>(</w:t>
      </w:r>
      <w:r>
        <w:rPr>
          <w:rFonts w:hint="eastAsia" w:cs="Times New Roman"/>
          <w:color w:val="000000"/>
          <w:sz w:val="21"/>
          <w:szCs w:val="21"/>
          <w:lang w:val="en-US" w:eastAsia="zh-CN"/>
        </w:rPr>
        <w:t>暂时性差异</w:t>
      </w:r>
      <w:r>
        <w:rPr>
          <w:rFonts w:hint="default" w:cs="Times New Roman"/>
          <w:color w:val="000000"/>
          <w:sz w:val="21"/>
          <w:szCs w:val="21"/>
          <w:lang w:val="en-US" w:eastAsia="zh-CN"/>
        </w:rPr>
        <w:t>)</w:t>
      </w:r>
      <w:r>
        <w:rPr>
          <w:rFonts w:hint="eastAsia" w:cs="Times New Roman"/>
          <w:color w:val="000000"/>
          <w:sz w:val="21"/>
          <w:szCs w:val="21"/>
          <w:lang w:val="en-US" w:eastAsia="zh-CN"/>
        </w:rPr>
        <w:t>计算确认。</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t>对于可抵扣暂时性差异确认递延所得税资产，以未来期间很可能取得的用来抵扣可抵扣暂时性差异的应纳税所得额为限。对于能够结转以后年度的可抵扣亏损和税款抵减，以很可能获得用来抵扣可抵扣亏损和税款抵减的未来应纳税所得额为限，确认相应的递延所得税资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t>对于应纳税暂时性差异，除特殊情况外，确认递延所得税负债。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不确认递延所得税资产或递延所得税负债的特殊情况包括：</w:t>
      </w:r>
    </w:p>
    <w:p>
      <w:pPr>
        <w:pStyle w:val="4"/>
        <w:widowControl/>
        <w:spacing w:beforeAutospacing="0" w:afterAutospacing="0"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①商誉的初始确认；</w:t>
      </w:r>
    </w:p>
    <w:p>
      <w:pPr>
        <w:pStyle w:val="4"/>
        <w:widowControl/>
        <w:spacing w:beforeAutospacing="0" w:afterAutospacing="0" w:line="360" w:lineRule="exact"/>
        <w:ind w:firstLine="420" w:firstLineChars="200"/>
        <w:rPr>
          <w:color w:val="000000"/>
          <w:sz w:val="21"/>
          <w:szCs w:val="21"/>
        </w:rPr>
      </w:pPr>
      <w:r>
        <w:rPr>
          <w:rFonts w:hint="eastAsia" w:ascii="宋体" w:hAnsi="宋体" w:eastAsia="宋体" w:cs="宋体"/>
          <w:color w:val="auto"/>
          <w:sz w:val="21"/>
          <w:szCs w:val="21"/>
          <w:highlight w:val="none"/>
        </w:rPr>
        <w:t>②</w:t>
      </w:r>
      <w:r>
        <w:rPr>
          <w:rFonts w:hint="eastAsia"/>
          <w:color w:val="auto"/>
          <w:sz w:val="21"/>
          <w:szCs w:val="21"/>
          <w:highlight w:val="none"/>
        </w:rPr>
        <w:t>既不是企业合并、发生时也不影响会计利润和应纳税所得额</w:t>
      </w:r>
      <w:r>
        <w:rPr>
          <w:color w:val="auto"/>
          <w:sz w:val="21"/>
          <w:szCs w:val="21"/>
          <w:highlight w:val="none"/>
        </w:rPr>
        <w:t>(</w:t>
      </w:r>
      <w:r>
        <w:rPr>
          <w:rFonts w:hint="eastAsia"/>
          <w:color w:val="auto"/>
          <w:sz w:val="21"/>
          <w:szCs w:val="21"/>
          <w:highlight w:val="none"/>
        </w:rPr>
        <w:t>或可抵扣亏损</w:t>
      </w:r>
      <w:r>
        <w:rPr>
          <w:color w:val="auto"/>
          <w:sz w:val="21"/>
          <w:szCs w:val="21"/>
          <w:highlight w:val="none"/>
        </w:rPr>
        <w:t>)</w:t>
      </w:r>
      <w:r>
        <w:rPr>
          <w:rFonts w:hint="eastAsia"/>
          <w:color w:val="auto"/>
          <w:sz w:val="21"/>
          <w:szCs w:val="21"/>
          <w:highlight w:val="none"/>
        </w:rPr>
        <w:t>，且初始确认的资产和负债未导致产生等额应纳税暂时性差</w:t>
      </w:r>
      <w:r>
        <w:rPr>
          <w:rFonts w:hint="eastAsia"/>
          <w:color w:val="000000"/>
          <w:sz w:val="21"/>
          <w:szCs w:val="21"/>
        </w:rPr>
        <w:t>异和可抵扣暂时性差异的交易或事项。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t>对于子公司、联营企业及合营企业投资相关的应纳税暂时性差异，确认递延所得税负债，除非本公司能够控制该暂时性差异转回的时间且该暂时性差异在可预见的未来很可能不会转回。对与子公司、联营企业及合营企业投资相关的可抵扣暂时性差异，当该暂时性差异在可预见的未来很可能转回且未来很可能获得用来抵扣可抵扣暂时性差异的应纳税所得额时，确认递延所得税资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t>资产负债表日，对于递延所得税资产和递延所得税负债，根据税法规定，按照预期收回相关资产或清偿相关负债期间的适用税率计量。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t>资产负债表日，本公司对递延所得税资产的账面价值进行复核。如果未来期间很可能无法获得足够的应纳税所得额用以抵扣递延所得税资产的利益，则减记递延所得税资产的账面价值。在很可能获得足够的应纳税所得额时，减记的金额予以转回。</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t>当拥有以净额结算的法定权利，且意图以净额结算或取得资产、清偿负债同时进行时，当期所得税资产及当期所得税负债以抵销后的净额列报。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t>资产负债表日，递延所得税资产及递延所得税负债在同时满足以下条件时以抵销后的净额列示：</w:t>
      </w:r>
    </w:p>
    <w:p>
      <w:pPr>
        <w:pStyle w:val="4"/>
        <w:widowControl/>
        <w:spacing w:beforeAutospacing="0" w:afterAutospacing="0" w:line="360" w:lineRule="exact"/>
        <w:ind w:firstLine="420" w:firstLineChars="200"/>
        <w:rPr>
          <w:rFonts w:hint="eastAsia" w:ascii="宋体" w:hAnsi="宋体" w:eastAsia="宋体" w:cs="宋体"/>
          <w:color w:val="auto"/>
          <w:sz w:val="21"/>
          <w:szCs w:val="21"/>
          <w:highlight w:val="none"/>
        </w:rPr>
      </w:pPr>
      <w:bookmarkStart w:id="230" w:name="_Toc989086"/>
      <w:r>
        <w:rPr>
          <w:rFonts w:hint="eastAsia" w:ascii="宋体" w:hAnsi="宋体" w:eastAsia="宋体" w:cs="宋体"/>
          <w:color w:val="auto"/>
          <w:sz w:val="21"/>
          <w:szCs w:val="21"/>
          <w:highlight w:val="none"/>
        </w:rPr>
        <w:t>①纳税主体拥有以净额结算当期所得税资产及当期所得税负债的法定权利；</w:t>
      </w:r>
    </w:p>
    <w:p>
      <w:pPr>
        <w:pStyle w:val="4"/>
        <w:widowControl/>
        <w:spacing w:beforeAutospacing="0" w:afterAutospacing="0" w:line="360" w:lineRule="exact"/>
        <w:ind w:firstLine="420" w:firstLineChars="200"/>
        <w:rPr>
          <w:color w:val="000000"/>
          <w:sz w:val="21"/>
          <w:szCs w:val="21"/>
        </w:rPr>
      </w:pPr>
      <w:r>
        <w:rPr>
          <w:rFonts w:hint="eastAsia" w:ascii="宋体" w:hAnsi="宋体" w:eastAsia="宋体" w:cs="宋体"/>
          <w:color w:val="auto"/>
          <w:sz w:val="21"/>
          <w:szCs w:val="21"/>
          <w:highlight w:val="none"/>
        </w:rPr>
        <w:t>②递延所</w:t>
      </w:r>
      <w:r>
        <w:rPr>
          <w:rFonts w:hint="eastAsia"/>
          <w:color w:val="auto"/>
          <w:sz w:val="21"/>
          <w:szCs w:val="21"/>
          <w:highlight w:val="none"/>
        </w:rPr>
        <w:t>得税</w:t>
      </w:r>
      <w:r>
        <w:rPr>
          <w:rFonts w:hint="eastAsia"/>
          <w:color w:val="000000"/>
          <w:sz w:val="21"/>
          <w:szCs w:val="21"/>
        </w:rPr>
        <w:t>资产及递延所得税负债是与同一税收征管部门对同一纳税主体征收的所得税相关或者是对不同的纳税主体相关，但在未来每一具有重要性的递延所得税资产及负债转回的期间内，涉及的纳税主体意图以净额结算当期所得税资产和负债或是同时取得资产、清偿负债。</w:t>
      </w:r>
    </w:p>
    <w:bookmarkEnd w:id="229"/>
    <w:p>
      <w:pPr>
        <w:keepNext/>
        <w:keepLines/>
        <w:spacing w:before="300" w:after="300" w:line="280" w:lineRule="exact"/>
        <w:jc w:val="left"/>
        <w:outlineLvl w:val="2"/>
        <w:rPr>
          <w:rFonts w:ascii="宋体" w:hAnsi="宋体" w:eastAsia="宋体" w:cs="宋体"/>
          <w:b/>
          <w:bCs/>
          <w:sz w:val="21"/>
          <w:szCs w:val="21"/>
        </w:rPr>
      </w:pPr>
      <w:r>
        <w:rPr>
          <w:rFonts w:hint="eastAsia" w:ascii="宋体" w:hAnsi="宋体" w:cs="宋体"/>
          <w:b/>
          <w:bCs/>
          <w:sz w:val="21"/>
          <w:szCs w:val="21"/>
          <w:lang w:eastAsia="zh-CN"/>
        </w:rPr>
        <w:t>（二十九）</w:t>
      </w:r>
      <w:r>
        <w:rPr>
          <w:rFonts w:ascii="宋体" w:hAnsi="宋体" w:eastAsia="宋体" w:cs="宋体"/>
          <w:b/>
          <w:bCs/>
          <w:sz w:val="21"/>
          <w:szCs w:val="21"/>
        </w:rPr>
        <w:t>租赁</w:t>
      </w:r>
      <w:bookmarkEnd w:id="230"/>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bookmarkStart w:id="231" w:name="OLE_LINK45"/>
      <w:r>
        <w:rPr>
          <w:rFonts w:hint="eastAsia" w:cs="Times New Roman"/>
          <w:color w:val="000000"/>
          <w:sz w:val="21"/>
          <w:szCs w:val="21"/>
          <w:lang w:val="en-US" w:eastAsia="zh-CN"/>
        </w:rPr>
        <w:t>租赁，是指在一定期间内，出租人将资产的使用权让与承租人以获取对价的合同。在合同开始日，本公司评估合同是否为租赁或者包含租赁。如果合同中一方让渡了在一定期间内控制一项或多项已识别资产使用的权利以换取对价，则该合同为租赁或者包含租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t>合同中同时包含多项单独租赁的，本公司将合同予以分拆，并分别各项单独租赁进行会计处理。合同中同时包含租赁和非租赁部分的，承租人和出租人将租赁和非租赁部分进行分拆。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outlineLvl w:val="3"/>
        <w:rPr>
          <w:rFonts w:hint="eastAsia" w:ascii="Times New Roman" w:hAnsi="Times New Roman" w:eastAsia="宋体" w:cs="Times New Roman"/>
          <w:color w:val="000000"/>
          <w:sz w:val="21"/>
          <w:szCs w:val="21"/>
          <w:lang w:val="en-US" w:eastAsia="zh-CN"/>
        </w:rPr>
      </w:pPr>
      <w:bookmarkStart w:id="232" w:name="_Toc989087"/>
      <w:r>
        <w:rPr>
          <w:rFonts w:hint="eastAsia" w:ascii="Times New Roman" w:hAnsi="Times New Roman" w:eastAsia="宋体" w:cs="Times New Roman"/>
          <w:color w:val="000000"/>
          <w:sz w:val="21"/>
          <w:szCs w:val="21"/>
          <w:lang w:val="en-US" w:eastAsia="zh-CN"/>
        </w:rPr>
        <w:t>1.作为承租方租赁的会计处理方法</w:t>
      </w:r>
      <w:bookmarkEnd w:id="232"/>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t>本公司作为承租人：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t>（1）使用权资产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t>在租赁期开始日，本公司对除短期租赁和低价值资产租赁以外的租赁确认使用权资产。使用权资产按照成本进行初始计量。该成本包括：</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t>租赁负债的初始计量金额；</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t>在租赁期开始日或之前支付的租赁付款额，存在租赁激励的，扣除已享受的租赁激励相关金额；</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t>本公司发生的初始直接费用；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t>本公司为拆卸及移除租赁资产、复原租赁资产所在场地或将租赁资产恢复至租赁条款约定状态预计将发生的成本，但不包括属于为生产存货而发生的成本。</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t>本公司后续采用直线法对使用权资产计提折旧。对能够合理确定租赁期届满时取得租赁资产所有权的，本公司在租赁资产剩余使用寿命内计提折旧；否则，租赁资产在租赁期与租赁资产剩余使用寿命两者孰短的期间内计提折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t>本公司按照本附注“五、20.长期资产减值”所述原则来确定使用权资产是否已发生减值，并对已识别的减值损失进行会计处理。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t>（2）租赁负债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t>在租赁期开始日，本公司对除短期租赁和低价值资产租赁以外的租赁确认租赁负债。租赁负债按照尚未支付的租赁付款额的现值进行初始计量。租赁付款额包括：</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t>固定付款额（包括实质固定付款额），存在租赁激励的，扣除租赁激励相关金额；</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t>取决于指数或比率的可变租赁付款额；</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t>根据公司提供的担保余值预计应支付的款项；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t>购买选择权的行权价格，前提是公司合理确定将行使该选择权；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t>行使终止租赁选择权需支付的款项，前提是租赁期反映出公司将行使终止租赁选择权。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t>本公司采用租赁内含利率作为折现率，但如果无法合理确定租赁内含利率的，则采用本公司的增量借款利率作为折现率。</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t>本公司按照固定的周期性利率计算租赁负债在租赁期内各期间的利息费用，并计入当期损益或相关资产成本。</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t>未纳入租赁负债计量的可变租赁付款额在实际发生时计入当期损益或相关资产成本。</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t>在租赁期开始日后，发生下列情形的，本公司重新计量租赁负债，并调整相应的使用权资产，若使用权资产的账面价值已调减至零，但租赁负债仍需进一步调减的，将差额计入当期损益：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t>当购买选择权、续租选择权或终止选择权的评估结果发生变化，或前述选择权的实际行权情况与原评估结果不一致的，本公司按变动后租赁付款额和修订后的折现率计算的现值重新计量租赁负债；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t>当实质固定付款额发生变动、担保余值预计的应付金额发生变动或用于确定租赁付款额的指数或比率发生变动，本公司按照变动后的租赁付款额和原折现率计算的现值重新计量租赁负债。但是，租赁付款额的变动源自浮动利率变动的，使用修订后的折现率计算现值。</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t>（3）短期租赁和低价值资产租赁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t>本公司选择对短期租赁和低价值资产租赁不确认使用权资产和租赁负债的，将相关的租赁付款额在租赁期内各个期间按照直线法计入当期损益或相关资产成本。短期租赁，是指在租赁期开始日，租赁期不超过</w:t>
      </w:r>
      <w:r>
        <w:rPr>
          <w:rFonts w:hint="default" w:cs="Times New Roman"/>
          <w:color w:val="000000"/>
          <w:sz w:val="21"/>
          <w:szCs w:val="21"/>
          <w:lang w:val="en-US" w:eastAsia="zh-CN"/>
        </w:rPr>
        <w:t>12</w:t>
      </w:r>
      <w:r>
        <w:rPr>
          <w:rFonts w:hint="eastAsia" w:cs="Times New Roman"/>
          <w:color w:val="000000"/>
          <w:sz w:val="21"/>
          <w:szCs w:val="21"/>
          <w:lang w:val="en-US" w:eastAsia="zh-CN"/>
        </w:rPr>
        <w:t>个月且不包含购买选择权的租赁。低价值资产租赁，是指单项租赁资产为全新资产时价值较低的租赁。公司转租或预期转租租赁资产的，原租赁不属于低价值资产租赁。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t>（4）租赁变更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t>租赁发生变更且同时符合下列条件的，公司将该租赁变更作为一项单独租赁进行会计处理：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t>该租赁变更通过增加一项或多项租赁资产的使用权而扩大了租赁范围；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t>增加的对价与租赁范围扩大部分的单独价格按该合同情况调整后的金额相当。</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t>租赁变更未作为一项单独租赁进行会计处理的，在租赁变更生效日，公司重新分摊变更后合同的对价，重新确定租赁期，并按照变更后租赁付款额和修订后的折现率计算的现值重新计量租赁负债。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t>租赁变更导致租赁范围缩小或租赁期缩短的，本公司相应调减使用权资产的账面价值，并将部分终止或完全终止租赁的相关利得或损失计入当期损益。其他租赁变更导致租赁负债重新计量的，本公司相应调整使用权资产的账面价值。</w:t>
      </w:r>
    </w:p>
    <w:bookmarkEnd w:id="231"/>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outlineLvl w:val="3"/>
        <w:rPr>
          <w:rFonts w:hint="eastAsia" w:ascii="Times New Roman" w:hAnsi="Times New Roman" w:eastAsia="宋体" w:cs="Times New Roman"/>
          <w:color w:val="000000"/>
          <w:sz w:val="21"/>
          <w:szCs w:val="21"/>
          <w:lang w:val="en-US" w:eastAsia="zh-CN"/>
        </w:rPr>
      </w:pPr>
      <w:bookmarkStart w:id="233" w:name="_Toc989088"/>
      <w:r>
        <w:rPr>
          <w:rFonts w:hint="eastAsia" w:ascii="Times New Roman" w:hAnsi="Times New Roman" w:eastAsia="宋体" w:cs="Times New Roman"/>
          <w:color w:val="000000"/>
          <w:sz w:val="21"/>
          <w:szCs w:val="21"/>
          <w:lang w:val="en-US" w:eastAsia="zh-CN"/>
        </w:rPr>
        <w:t>2.作为出租方租赁的会计处理方法</w:t>
      </w:r>
      <w:bookmarkEnd w:id="233"/>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bookmarkStart w:id="234" w:name="OLE_LINK46"/>
      <w:r>
        <w:rPr>
          <w:rFonts w:hint="eastAsia" w:cs="Times New Roman"/>
          <w:color w:val="000000"/>
          <w:sz w:val="21"/>
          <w:szCs w:val="21"/>
          <w:lang w:val="en-US" w:eastAsia="zh-CN"/>
        </w:rPr>
        <w:t>本公司作为出租人：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t>在租赁开始日，本公司将租赁分为融资租赁和经营租赁。融资租赁，是指无论所有权最终是否转移，但实质上转移了与租赁资产所有权有关的几乎全部风险和报酬的租赁。经营租赁，是指除融资租赁以外的其他租赁。本公司作为转租出租人时，基于原租赁产生的使用权资产对转租赁进行分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t>（</w:t>
      </w:r>
      <w:r>
        <w:rPr>
          <w:rFonts w:hint="default" w:cs="Times New Roman"/>
          <w:color w:val="000000"/>
          <w:sz w:val="21"/>
          <w:szCs w:val="21"/>
          <w:lang w:val="en-US" w:eastAsia="zh-CN"/>
        </w:rPr>
        <w:t>1</w:t>
      </w:r>
      <w:r>
        <w:rPr>
          <w:rFonts w:hint="eastAsia" w:cs="Times New Roman"/>
          <w:color w:val="000000"/>
          <w:sz w:val="21"/>
          <w:szCs w:val="21"/>
          <w:lang w:val="en-US" w:eastAsia="zh-CN"/>
        </w:rPr>
        <w:t>）经营租赁会计处理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t>经营租赁的租赁收款额在租赁期内各个期间按照直线法确认为租金收入。本公司将发生的与经营租赁有关的初始直接费用予以资本化，在租赁期内按照与租金收入确认相同的基础分摊计入当期损益。未计入租赁收款额的可变租赁付款额在实际发生时计入当期损益。经营租赁发生变更的，公司自变更生效日起将其作为一项新租赁进行会计处理，与变更前租赁有关的预收或应收租赁收款额视为新租赁的收款额。</w:t>
      </w:r>
      <w:r>
        <w:rPr>
          <w:rFonts w:hint="default" w:cs="Times New Roman"/>
          <w:color w:val="000000"/>
          <w:sz w:val="21"/>
          <w:szCs w:val="21"/>
          <w:lang w:val="en-US" w:eastAsia="zh-CN"/>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t>（</w:t>
      </w:r>
      <w:r>
        <w:rPr>
          <w:rFonts w:hint="default" w:cs="Times New Roman"/>
          <w:color w:val="000000"/>
          <w:sz w:val="21"/>
          <w:szCs w:val="21"/>
          <w:lang w:val="en-US" w:eastAsia="zh-CN"/>
        </w:rPr>
        <w:t>2</w:t>
      </w:r>
      <w:r>
        <w:rPr>
          <w:rFonts w:hint="eastAsia" w:cs="Times New Roman"/>
          <w:color w:val="000000"/>
          <w:sz w:val="21"/>
          <w:szCs w:val="21"/>
          <w:lang w:val="en-US" w:eastAsia="zh-CN"/>
        </w:rPr>
        <w:t>）融资租赁会计处理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t>在租赁开始日，本公司对融资租赁确认应收融资租赁款，并终止确认融资租赁资产。本公司对应收融资租赁款进行初始计量时，将租赁投资净额作为应收融资租赁款的入账价值。租赁投资净额为未担保余值和租赁期开始日尚未收到的租赁收款额按照租赁内含利率折现的现值之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t>本公司按照固定的周期性利率计算并确认租赁期内各个期间的利息收入。应收融资租赁款的终止确认和减值按照本附注“五、11.金融工具”进行会计处理。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t>未纳入租赁投资净额计量的可变租赁付款额在实际发生时计入当期损益。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t>融资租赁发生变更且同时符合下列条件的，本公司将该变更作为一项单独租赁进行会计处理：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fldChar w:fldCharType="begin"/>
      </w:r>
      <w:r>
        <w:rPr>
          <w:rFonts w:hint="eastAsia" w:ascii="宋体" w:hAnsi="宋体" w:eastAsia="宋体" w:cs="宋体"/>
          <w:color w:val="000000"/>
          <w:sz w:val="21"/>
          <w:szCs w:val="21"/>
          <w:lang w:val="en-US" w:eastAsia="zh-CN"/>
        </w:rPr>
        <w:instrText xml:space="preserve"> = 1 \* GB3 \* MERGEFORMAT </w:instrText>
      </w:r>
      <w:r>
        <w:rPr>
          <w:rFonts w:hint="eastAsia" w:ascii="宋体" w:hAnsi="宋体" w:eastAsia="宋体" w:cs="宋体"/>
          <w:color w:val="000000"/>
          <w:sz w:val="21"/>
          <w:szCs w:val="21"/>
          <w:lang w:val="en-US" w:eastAsia="zh-CN"/>
        </w:rPr>
        <w:fldChar w:fldCharType="separate"/>
      </w:r>
      <w:r>
        <w:rPr>
          <w:rFonts w:hint="eastAsia" w:ascii="宋体" w:hAnsi="宋体" w:eastAsia="宋体" w:cs="宋体"/>
        </w:rPr>
        <w:t>①</w:t>
      </w:r>
      <w:r>
        <w:rPr>
          <w:rFonts w:hint="eastAsia" w:ascii="宋体" w:hAnsi="宋体" w:eastAsia="宋体" w:cs="宋体"/>
          <w:color w:val="000000"/>
          <w:sz w:val="21"/>
          <w:szCs w:val="21"/>
          <w:lang w:val="en-US" w:eastAsia="zh-CN"/>
        </w:rPr>
        <w:fldChar w:fldCharType="end"/>
      </w:r>
      <w:r>
        <w:rPr>
          <w:rFonts w:hint="eastAsia" w:ascii="宋体" w:hAnsi="宋体" w:eastAsia="宋体" w:cs="宋体"/>
          <w:color w:val="000000"/>
          <w:sz w:val="21"/>
          <w:szCs w:val="21"/>
          <w:lang w:val="en-US" w:eastAsia="zh-CN"/>
        </w:rPr>
        <w:t>该变更通过增加一项或多项租赁资产的使用权而扩大了租赁范围；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fldChar w:fldCharType="begin"/>
      </w:r>
      <w:r>
        <w:rPr>
          <w:rFonts w:hint="eastAsia" w:ascii="宋体" w:hAnsi="宋体" w:eastAsia="宋体" w:cs="宋体"/>
          <w:color w:val="000000"/>
          <w:sz w:val="21"/>
          <w:szCs w:val="21"/>
          <w:lang w:val="en-US" w:eastAsia="zh-CN"/>
        </w:rPr>
        <w:instrText xml:space="preserve"> = 2 \* GB3 \* MERGEFORMAT </w:instrText>
      </w:r>
      <w:r>
        <w:rPr>
          <w:rFonts w:hint="eastAsia" w:ascii="宋体" w:hAnsi="宋体" w:eastAsia="宋体" w:cs="宋体"/>
          <w:color w:val="000000"/>
          <w:sz w:val="21"/>
          <w:szCs w:val="21"/>
          <w:lang w:val="en-US" w:eastAsia="zh-CN"/>
        </w:rPr>
        <w:fldChar w:fldCharType="separate"/>
      </w:r>
      <w:r>
        <w:rPr>
          <w:rFonts w:hint="eastAsia" w:ascii="宋体" w:hAnsi="宋体" w:eastAsia="宋体" w:cs="宋体"/>
        </w:rPr>
        <w:t>②</w:t>
      </w:r>
      <w:r>
        <w:rPr>
          <w:rFonts w:hint="eastAsia" w:ascii="宋体" w:hAnsi="宋体" w:eastAsia="宋体" w:cs="宋体"/>
          <w:color w:val="000000"/>
          <w:sz w:val="21"/>
          <w:szCs w:val="21"/>
          <w:lang w:val="en-US" w:eastAsia="zh-CN"/>
        </w:rPr>
        <w:fldChar w:fldCharType="end"/>
      </w:r>
      <w:r>
        <w:rPr>
          <w:rFonts w:hint="eastAsia" w:ascii="宋体" w:hAnsi="宋体" w:eastAsia="宋体" w:cs="宋体"/>
          <w:color w:val="000000"/>
          <w:sz w:val="21"/>
          <w:szCs w:val="21"/>
          <w:lang w:val="en-US" w:eastAsia="zh-CN"/>
        </w:rPr>
        <w:t>增加的对价与租赁范围扩大部分的单独价格按该合同情况调整后的金额相当。</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融资租赁的变更未作为一项单独租赁进行会计处理的，本公司分别下列情形对变更后的租赁进行处理：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fldChar w:fldCharType="begin"/>
      </w:r>
      <w:r>
        <w:rPr>
          <w:rFonts w:hint="eastAsia" w:ascii="宋体" w:hAnsi="宋体" w:eastAsia="宋体" w:cs="宋体"/>
          <w:color w:val="000000"/>
          <w:sz w:val="21"/>
          <w:szCs w:val="21"/>
          <w:lang w:val="en-US" w:eastAsia="zh-CN"/>
        </w:rPr>
        <w:instrText xml:space="preserve"> = 1 \* GB3 \* MERGEFORMAT </w:instrText>
      </w:r>
      <w:r>
        <w:rPr>
          <w:rFonts w:hint="eastAsia" w:ascii="宋体" w:hAnsi="宋体" w:eastAsia="宋体" w:cs="宋体"/>
          <w:color w:val="000000"/>
          <w:sz w:val="21"/>
          <w:szCs w:val="21"/>
          <w:lang w:val="en-US" w:eastAsia="zh-CN"/>
        </w:rPr>
        <w:fldChar w:fldCharType="separate"/>
      </w:r>
      <w:r>
        <w:rPr>
          <w:rFonts w:hint="eastAsia" w:ascii="宋体" w:hAnsi="宋体" w:eastAsia="宋体" w:cs="宋体"/>
        </w:rPr>
        <w:t>①</w:t>
      </w:r>
      <w:r>
        <w:rPr>
          <w:rFonts w:hint="eastAsia" w:ascii="宋体" w:hAnsi="宋体" w:eastAsia="宋体" w:cs="宋体"/>
          <w:color w:val="000000"/>
          <w:sz w:val="21"/>
          <w:szCs w:val="21"/>
          <w:lang w:val="en-US" w:eastAsia="zh-CN"/>
        </w:rPr>
        <w:fldChar w:fldCharType="end"/>
      </w:r>
      <w:r>
        <w:rPr>
          <w:rFonts w:hint="eastAsia" w:ascii="宋体" w:hAnsi="宋体" w:eastAsia="宋体" w:cs="宋体"/>
          <w:color w:val="000000"/>
          <w:sz w:val="21"/>
          <w:szCs w:val="21"/>
          <w:lang w:val="en-US" w:eastAsia="zh-CN"/>
        </w:rPr>
        <w:t>假如变更在租赁开始日生效，该租赁会被分类为经营租赁的，本公司自租赁变更生效日开始将其作为一项新租赁进行会计处理，并以租赁变更生效日前的租赁投资净额作为租赁资产的账面价值；</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ascii="宋体" w:hAnsi="宋体" w:eastAsia="宋体" w:cs="宋体"/>
          <w:color w:val="000000"/>
          <w:sz w:val="21"/>
          <w:szCs w:val="21"/>
          <w:lang w:val="en-US" w:eastAsia="zh-CN"/>
        </w:rPr>
        <w:fldChar w:fldCharType="begin"/>
      </w:r>
      <w:r>
        <w:rPr>
          <w:rFonts w:hint="eastAsia" w:ascii="宋体" w:hAnsi="宋体" w:eastAsia="宋体" w:cs="宋体"/>
          <w:color w:val="000000"/>
          <w:sz w:val="21"/>
          <w:szCs w:val="21"/>
          <w:lang w:val="en-US" w:eastAsia="zh-CN"/>
        </w:rPr>
        <w:instrText xml:space="preserve"> = 2 \* GB3 \* MERGEFORMAT </w:instrText>
      </w:r>
      <w:r>
        <w:rPr>
          <w:rFonts w:hint="eastAsia" w:ascii="宋体" w:hAnsi="宋体" w:eastAsia="宋体" w:cs="宋体"/>
          <w:color w:val="000000"/>
          <w:sz w:val="21"/>
          <w:szCs w:val="21"/>
          <w:lang w:val="en-US" w:eastAsia="zh-CN"/>
        </w:rPr>
        <w:fldChar w:fldCharType="separate"/>
      </w:r>
      <w:r>
        <w:rPr>
          <w:rFonts w:hint="eastAsia" w:ascii="宋体" w:hAnsi="宋体" w:eastAsia="宋体" w:cs="宋体"/>
        </w:rPr>
        <w:t>②</w:t>
      </w:r>
      <w:r>
        <w:rPr>
          <w:rFonts w:hint="eastAsia" w:ascii="宋体" w:hAnsi="宋体" w:eastAsia="宋体" w:cs="宋体"/>
          <w:color w:val="000000"/>
          <w:sz w:val="21"/>
          <w:szCs w:val="21"/>
          <w:lang w:val="en-US" w:eastAsia="zh-CN"/>
        </w:rPr>
        <w:fldChar w:fldCharType="end"/>
      </w:r>
      <w:r>
        <w:rPr>
          <w:rFonts w:hint="eastAsia" w:ascii="宋体" w:hAnsi="宋体" w:eastAsia="宋体" w:cs="宋体"/>
          <w:color w:val="000000"/>
          <w:sz w:val="21"/>
          <w:szCs w:val="21"/>
          <w:lang w:val="en-US" w:eastAsia="zh-CN"/>
        </w:rPr>
        <w:t>假</w:t>
      </w:r>
      <w:r>
        <w:rPr>
          <w:rFonts w:hint="eastAsia" w:cs="Times New Roman"/>
          <w:color w:val="000000"/>
          <w:sz w:val="21"/>
          <w:szCs w:val="21"/>
          <w:lang w:val="en-US" w:eastAsia="zh-CN"/>
        </w:rPr>
        <w:t>如变更在租赁开始日生效，该租赁会被分类为融资租赁的，本公司按照本附注“五、11.金融工具”关于修改或重新议定合同的政策进行会计处理。</w:t>
      </w:r>
    </w:p>
    <w:bookmarkEnd w:id="234"/>
    <w:p>
      <w:pPr>
        <w:keepNext/>
        <w:keepLines/>
        <w:spacing w:before="300" w:after="300" w:line="280" w:lineRule="exact"/>
        <w:jc w:val="left"/>
        <w:outlineLvl w:val="2"/>
        <w:rPr>
          <w:rFonts w:ascii="宋体" w:hAnsi="宋体" w:eastAsia="宋体" w:cs="宋体"/>
          <w:b/>
          <w:bCs/>
          <w:sz w:val="21"/>
          <w:szCs w:val="21"/>
        </w:rPr>
      </w:pPr>
      <w:bookmarkStart w:id="235" w:name="_Toc989089"/>
      <w:r>
        <w:rPr>
          <w:rFonts w:hint="eastAsia" w:ascii="宋体" w:hAnsi="宋体" w:cs="宋体"/>
          <w:b/>
          <w:bCs/>
          <w:sz w:val="21"/>
          <w:szCs w:val="21"/>
          <w:lang w:eastAsia="zh-CN"/>
        </w:rPr>
        <w:t>（三十）</w:t>
      </w:r>
      <w:r>
        <w:rPr>
          <w:rFonts w:ascii="宋体" w:hAnsi="宋体" w:eastAsia="宋体" w:cs="宋体"/>
          <w:b/>
          <w:bCs/>
          <w:sz w:val="21"/>
          <w:szCs w:val="21"/>
        </w:rPr>
        <w:t>分部报告</w:t>
      </w:r>
      <w:bookmarkEnd w:id="235"/>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bookmarkStart w:id="236" w:name="OLE_LINK47"/>
      <w:r>
        <w:rPr>
          <w:rFonts w:hint="eastAsia" w:cs="Times New Roman"/>
          <w:color w:val="000000"/>
          <w:sz w:val="21"/>
          <w:szCs w:val="21"/>
          <w:lang w:val="en-US" w:eastAsia="zh-CN"/>
        </w:rPr>
        <w:t>本公司以内部组织结构、管理要求、内部报告制度为依据确定经营分部，以经营分部为基础确定报告分部并披露分部信息。</w:t>
      </w:r>
    </w:p>
    <w:p>
      <w:pPr>
        <w:pStyle w:val="4"/>
        <w:widowControl/>
        <w:spacing w:beforeAutospacing="0" w:afterAutospacing="0" w:line="360" w:lineRule="exact"/>
        <w:ind w:firstLine="420" w:firstLineChars="200"/>
        <w:rPr>
          <w:color w:val="000000"/>
          <w:sz w:val="21"/>
          <w:szCs w:val="21"/>
        </w:rPr>
      </w:pPr>
      <w:r>
        <w:rPr>
          <w:rFonts w:hint="eastAsia"/>
          <w:color w:val="000000"/>
          <w:sz w:val="21"/>
          <w:szCs w:val="21"/>
        </w:rPr>
        <w:t>经营分部是指本公司内同时</w:t>
      </w:r>
      <w:r>
        <w:rPr>
          <w:rFonts w:hint="eastAsia"/>
          <w:color w:val="auto"/>
          <w:sz w:val="21"/>
          <w:szCs w:val="21"/>
          <w:highlight w:val="none"/>
        </w:rPr>
        <w:t>满足下列条件的组成部分：</w:t>
      </w:r>
      <w:r>
        <w:rPr>
          <w:rFonts w:hint="default" w:cs="Times New Roman"/>
          <w:color w:val="000000"/>
          <w:sz w:val="21"/>
          <w:szCs w:val="21"/>
          <w:lang w:val="en-US" w:eastAsia="zh-CN"/>
        </w:rPr>
        <w:t>①</w:t>
      </w:r>
      <w:r>
        <w:rPr>
          <w:rFonts w:hint="eastAsia" w:cs="Times New Roman"/>
          <w:color w:val="000000"/>
          <w:sz w:val="21"/>
          <w:szCs w:val="21"/>
          <w:lang w:val="en-US" w:eastAsia="zh-CN"/>
        </w:rPr>
        <w:t>该组成部分能够在日常活动中产生收入、发生费用；</w:t>
      </w:r>
      <w:r>
        <w:rPr>
          <w:rFonts w:hint="default" w:cs="Times New Roman"/>
          <w:color w:val="000000"/>
          <w:sz w:val="21"/>
          <w:szCs w:val="21"/>
          <w:lang w:val="en-US" w:eastAsia="zh-CN"/>
        </w:rPr>
        <w:t>②</w:t>
      </w:r>
      <w:r>
        <w:rPr>
          <w:rFonts w:hint="eastAsia" w:cs="Times New Roman"/>
          <w:color w:val="000000"/>
          <w:sz w:val="21"/>
          <w:szCs w:val="21"/>
          <w:lang w:val="en-US" w:eastAsia="zh-CN"/>
        </w:rPr>
        <w:t>本公司管理层能够定期评价该组成部分的经营成果，以决定向其配置资源、评价其业绩；</w:t>
      </w:r>
      <w:r>
        <w:rPr>
          <w:rFonts w:hint="default" w:cs="Times New Roman"/>
          <w:color w:val="000000"/>
          <w:sz w:val="21"/>
          <w:szCs w:val="21"/>
          <w:lang w:val="en-US" w:eastAsia="zh-CN"/>
        </w:rPr>
        <w:t>③</w:t>
      </w:r>
      <w:r>
        <w:rPr>
          <w:rFonts w:hint="eastAsia" w:cs="Times New Roman"/>
          <w:color w:val="000000"/>
          <w:sz w:val="21"/>
          <w:szCs w:val="21"/>
          <w:lang w:val="en-US" w:eastAsia="zh-CN"/>
        </w:rPr>
        <w:t xml:space="preserve"> 本公司能够取得该组成部分的财务状况、经营成果和现金流量等有关会计信息。两个或多个经营分部具有相似的经济特征，并且满足一定条件的，则可合并为一</w:t>
      </w:r>
      <w:r>
        <w:rPr>
          <w:rFonts w:hint="eastAsia"/>
          <w:color w:val="000000"/>
          <w:sz w:val="21"/>
          <w:szCs w:val="21"/>
        </w:rPr>
        <w:t>个经营分部。</w:t>
      </w:r>
    </w:p>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2"/>
        <w:rPr>
          <w:rFonts w:hint="eastAsia" w:ascii="宋体" w:hAnsi="宋体" w:cs="宋体"/>
          <w:b/>
          <w:bCs/>
          <w:sz w:val="21"/>
          <w:szCs w:val="21"/>
          <w:lang w:val="en-US" w:eastAsia="zh-CN"/>
        </w:rPr>
      </w:pPr>
      <w:bookmarkStart w:id="237" w:name="OLE_LINK48"/>
      <w:r>
        <w:rPr>
          <w:rFonts w:hint="eastAsia" w:ascii="宋体" w:hAnsi="宋体" w:cs="宋体"/>
          <w:b/>
          <w:bCs/>
          <w:sz w:val="21"/>
          <w:szCs w:val="21"/>
          <w:lang w:val="en-US" w:eastAsia="zh-CN"/>
        </w:rPr>
        <w:t>（三十一）</w:t>
      </w:r>
      <w:bookmarkEnd w:id="237"/>
      <w:r>
        <w:rPr>
          <w:rFonts w:hint="eastAsia" w:ascii="宋体" w:hAnsi="宋体" w:cs="宋体"/>
          <w:b/>
          <w:bCs/>
          <w:sz w:val="21"/>
          <w:szCs w:val="21"/>
          <w:lang w:val="en-US" w:eastAsia="zh-CN"/>
        </w:rPr>
        <w:t>重要性标准确定方法和选择依据</w:t>
      </w:r>
    </w:p>
    <w:tbl>
      <w:tblPr>
        <w:tblStyle w:val="5"/>
        <w:tblW w:w="4580"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4125"/>
        <w:gridCol w:w="490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285"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center"/>
              <w:rPr>
                <w:rFonts w:ascii="Calibri" w:hAnsi="Calibri" w:cs="Calibri"/>
                <w:sz w:val="21"/>
                <w:szCs w:val="21"/>
              </w:rPr>
            </w:pPr>
            <w:r>
              <w:rPr>
                <w:rFonts w:hint="eastAsia" w:ascii="宋体" w:hAnsi="宋体" w:eastAsia="宋体" w:cs="宋体"/>
                <w:color w:val="000000"/>
                <w:sz w:val="18"/>
                <w:szCs w:val="18"/>
              </w:rPr>
              <w:t>项目</w:t>
            </w:r>
          </w:p>
        </w:tc>
        <w:tc>
          <w:tcPr>
            <w:tcW w:w="2714"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eastAsia" w:ascii="宋体" w:hAnsi="宋体" w:eastAsia="宋体" w:cs="宋体"/>
                <w:color w:val="000000"/>
                <w:sz w:val="18"/>
                <w:szCs w:val="18"/>
              </w:rPr>
              <w:t>重要性标准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28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Fonts w:hint="eastAsia" w:ascii="宋体" w:hAnsi="宋体" w:eastAsia="宋体" w:cs="宋体"/>
                <w:color w:val="000000"/>
                <w:sz w:val="18"/>
                <w:szCs w:val="18"/>
              </w:rPr>
              <w:t>重要的单项计提坏账准备的应收账款</w:t>
            </w:r>
          </w:p>
        </w:tc>
        <w:tc>
          <w:tcPr>
            <w:tcW w:w="2714"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Fonts w:hint="eastAsia" w:ascii="宋体" w:hAnsi="宋体" w:eastAsia="宋体" w:cs="宋体"/>
                <w:color w:val="000000"/>
                <w:sz w:val="18"/>
                <w:szCs w:val="18"/>
              </w:rPr>
              <w:t>单项余额大于或等于</w:t>
            </w:r>
            <w:r>
              <w:rPr>
                <w:rFonts w:hint="default" w:ascii="Times New Roman" w:hAnsi="Times New Roman" w:eastAsia="宋体" w:cs="Times New Roman"/>
                <w:color w:val="000000"/>
                <w:sz w:val="18"/>
                <w:szCs w:val="18"/>
              </w:rPr>
              <w:t>500</w:t>
            </w:r>
            <w:r>
              <w:rPr>
                <w:rFonts w:hint="eastAsia" w:ascii="宋体" w:hAnsi="宋体" w:eastAsia="宋体" w:cs="宋体"/>
                <w:color w:val="000000"/>
                <w:sz w:val="18"/>
                <w:szCs w:val="18"/>
              </w:rPr>
              <w:t>万元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28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Fonts w:hint="eastAsia" w:ascii="宋体" w:hAnsi="宋体" w:eastAsia="宋体" w:cs="宋体"/>
                <w:color w:val="000000"/>
                <w:sz w:val="18"/>
                <w:szCs w:val="18"/>
              </w:rPr>
              <w:t>重要的单项计提坏账准备的其他应收款</w:t>
            </w:r>
          </w:p>
        </w:tc>
        <w:tc>
          <w:tcPr>
            <w:tcW w:w="2714"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Fonts w:hint="eastAsia" w:ascii="宋体" w:hAnsi="宋体" w:eastAsia="宋体" w:cs="宋体"/>
                <w:color w:val="000000"/>
                <w:sz w:val="18"/>
                <w:szCs w:val="18"/>
              </w:rPr>
              <w:t>单项余额大于或等于</w:t>
            </w:r>
            <w:r>
              <w:rPr>
                <w:rFonts w:hint="default" w:ascii="Times New Roman" w:hAnsi="Times New Roman" w:eastAsia="宋体" w:cs="Times New Roman"/>
                <w:color w:val="000000"/>
                <w:sz w:val="18"/>
                <w:szCs w:val="18"/>
              </w:rPr>
              <w:t>80</w:t>
            </w:r>
            <w:r>
              <w:rPr>
                <w:rFonts w:hint="eastAsia" w:ascii="宋体" w:hAnsi="宋体" w:eastAsia="宋体" w:cs="宋体"/>
                <w:color w:val="000000"/>
                <w:sz w:val="18"/>
                <w:szCs w:val="18"/>
              </w:rPr>
              <w:t>万元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28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Fonts w:hint="eastAsia" w:ascii="宋体" w:hAnsi="宋体" w:eastAsia="宋体" w:cs="宋体"/>
                <w:color w:val="000000"/>
                <w:sz w:val="18"/>
                <w:szCs w:val="18"/>
              </w:rPr>
              <w:t>重要的应收账款坏账准备转回或核销</w:t>
            </w:r>
          </w:p>
        </w:tc>
        <w:tc>
          <w:tcPr>
            <w:tcW w:w="2714"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Fonts w:hint="eastAsia" w:ascii="宋体" w:hAnsi="宋体" w:eastAsia="宋体" w:cs="宋体"/>
                <w:color w:val="000000"/>
                <w:sz w:val="18"/>
                <w:szCs w:val="18"/>
              </w:rPr>
              <w:t>单项余额大于或等于</w:t>
            </w:r>
            <w:r>
              <w:rPr>
                <w:rFonts w:hint="default" w:ascii="Times New Roman" w:hAnsi="Times New Roman" w:eastAsia="宋体" w:cs="Times New Roman"/>
                <w:color w:val="000000"/>
                <w:sz w:val="18"/>
                <w:szCs w:val="18"/>
              </w:rPr>
              <w:t>500</w:t>
            </w:r>
            <w:r>
              <w:rPr>
                <w:rFonts w:hint="eastAsia" w:ascii="宋体" w:hAnsi="宋体" w:eastAsia="宋体" w:cs="宋体"/>
                <w:color w:val="000000"/>
                <w:sz w:val="18"/>
                <w:szCs w:val="18"/>
              </w:rPr>
              <w:t>万元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28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Fonts w:hint="eastAsia" w:ascii="宋体" w:hAnsi="宋体" w:eastAsia="宋体" w:cs="宋体"/>
                <w:color w:val="000000"/>
                <w:sz w:val="18"/>
                <w:szCs w:val="18"/>
              </w:rPr>
              <w:t>重要的其他应收款坏账准备转回或核销</w:t>
            </w:r>
          </w:p>
        </w:tc>
        <w:tc>
          <w:tcPr>
            <w:tcW w:w="2714"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Fonts w:hint="eastAsia" w:ascii="宋体" w:hAnsi="宋体" w:eastAsia="宋体" w:cs="宋体"/>
                <w:color w:val="000000"/>
                <w:sz w:val="18"/>
                <w:szCs w:val="18"/>
              </w:rPr>
              <w:t>单项余额大于或等于</w:t>
            </w:r>
            <w:r>
              <w:rPr>
                <w:rFonts w:hint="default" w:ascii="Times New Roman" w:hAnsi="Times New Roman" w:eastAsia="宋体" w:cs="Times New Roman"/>
                <w:color w:val="000000"/>
                <w:sz w:val="18"/>
                <w:szCs w:val="18"/>
              </w:rPr>
              <w:t>80</w:t>
            </w:r>
            <w:r>
              <w:rPr>
                <w:rFonts w:hint="eastAsia" w:ascii="宋体" w:hAnsi="宋体" w:eastAsia="宋体" w:cs="宋体"/>
                <w:color w:val="000000"/>
                <w:sz w:val="18"/>
                <w:szCs w:val="18"/>
              </w:rPr>
              <w:t>万元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28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Fonts w:hint="eastAsia" w:ascii="宋体" w:hAnsi="宋体" w:eastAsia="宋体" w:cs="宋体"/>
                <w:color w:val="000000"/>
                <w:sz w:val="18"/>
                <w:szCs w:val="18"/>
              </w:rPr>
              <w:t>账龄超过</w:t>
            </w:r>
            <w:r>
              <w:rPr>
                <w:rFonts w:hint="default" w:ascii="Times New Roman" w:hAnsi="Times New Roman" w:eastAsia="宋体" w:cs="Times New Roman"/>
                <w:color w:val="000000"/>
                <w:sz w:val="18"/>
                <w:szCs w:val="18"/>
              </w:rPr>
              <w:t>1</w:t>
            </w:r>
            <w:r>
              <w:rPr>
                <w:rFonts w:hint="eastAsia" w:ascii="宋体" w:hAnsi="宋体" w:eastAsia="宋体" w:cs="宋体"/>
                <w:color w:val="000000"/>
                <w:sz w:val="18"/>
                <w:szCs w:val="18"/>
              </w:rPr>
              <w:t>年的重要预付账款</w:t>
            </w:r>
          </w:p>
        </w:tc>
        <w:tc>
          <w:tcPr>
            <w:tcW w:w="2714"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Fonts w:hint="eastAsia" w:ascii="宋体" w:hAnsi="宋体" w:eastAsia="宋体" w:cs="宋体"/>
                <w:color w:val="000000"/>
                <w:sz w:val="18"/>
                <w:szCs w:val="18"/>
              </w:rPr>
              <w:t>单项余额大于或等于预付账款余额的</w:t>
            </w:r>
            <w:r>
              <w:rPr>
                <w:rFonts w:hint="default" w:ascii="Times New Roman" w:hAnsi="Times New Roman" w:eastAsia="宋体" w:cs="Times New Roman"/>
                <w:color w:val="000000"/>
                <w:sz w:val="18"/>
                <w:szCs w:val="18"/>
              </w:rPr>
              <w:t>10%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28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Fonts w:hint="eastAsia" w:ascii="宋体" w:hAnsi="宋体" w:eastAsia="宋体" w:cs="宋体"/>
                <w:color w:val="000000"/>
                <w:sz w:val="18"/>
                <w:szCs w:val="18"/>
              </w:rPr>
              <w:t>账龄超过</w:t>
            </w:r>
            <w:r>
              <w:rPr>
                <w:rFonts w:hint="default" w:ascii="Times New Roman" w:hAnsi="Times New Roman" w:eastAsia="宋体" w:cs="Times New Roman"/>
                <w:color w:val="000000"/>
                <w:sz w:val="18"/>
                <w:szCs w:val="18"/>
              </w:rPr>
              <w:t>1</w:t>
            </w:r>
            <w:r>
              <w:rPr>
                <w:rFonts w:hint="eastAsia" w:ascii="宋体" w:hAnsi="宋体" w:eastAsia="宋体" w:cs="宋体"/>
                <w:color w:val="000000"/>
                <w:sz w:val="18"/>
                <w:szCs w:val="18"/>
              </w:rPr>
              <w:t>年的重要应付账款</w:t>
            </w:r>
          </w:p>
        </w:tc>
        <w:tc>
          <w:tcPr>
            <w:tcW w:w="2714"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Fonts w:hint="eastAsia" w:ascii="宋体" w:hAnsi="宋体" w:eastAsia="宋体" w:cs="宋体"/>
                <w:color w:val="000000"/>
                <w:sz w:val="18"/>
                <w:szCs w:val="18"/>
              </w:rPr>
              <w:t>单项余额大于或等于应付账款余额的</w:t>
            </w:r>
            <w:r>
              <w:rPr>
                <w:rFonts w:hint="default" w:ascii="Times New Roman" w:hAnsi="Times New Roman" w:eastAsia="宋体" w:cs="Times New Roman"/>
                <w:color w:val="000000"/>
                <w:sz w:val="18"/>
                <w:szCs w:val="18"/>
              </w:rPr>
              <w:t>10%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28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Fonts w:hint="eastAsia" w:ascii="宋体" w:hAnsi="宋体" w:eastAsia="宋体" w:cs="宋体"/>
                <w:color w:val="000000"/>
                <w:sz w:val="18"/>
                <w:szCs w:val="18"/>
              </w:rPr>
              <w:t>账龄超过</w:t>
            </w:r>
            <w:r>
              <w:rPr>
                <w:rFonts w:hint="default" w:ascii="Times New Roman" w:hAnsi="Times New Roman" w:eastAsia="宋体" w:cs="Times New Roman"/>
                <w:color w:val="000000"/>
                <w:sz w:val="18"/>
                <w:szCs w:val="18"/>
              </w:rPr>
              <w:t>1</w:t>
            </w:r>
            <w:r>
              <w:rPr>
                <w:rFonts w:hint="eastAsia" w:ascii="宋体" w:hAnsi="宋体" w:eastAsia="宋体" w:cs="宋体"/>
                <w:color w:val="000000"/>
                <w:sz w:val="18"/>
                <w:szCs w:val="18"/>
              </w:rPr>
              <w:t>年的重要其他应付款</w:t>
            </w:r>
          </w:p>
        </w:tc>
        <w:tc>
          <w:tcPr>
            <w:tcW w:w="2714"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Fonts w:hint="eastAsia" w:ascii="宋体" w:hAnsi="宋体" w:eastAsia="宋体" w:cs="宋体"/>
                <w:color w:val="000000"/>
                <w:sz w:val="18"/>
                <w:szCs w:val="18"/>
              </w:rPr>
              <w:t>单项余额大于或等于其他应付款余额的</w:t>
            </w:r>
            <w:r>
              <w:rPr>
                <w:rFonts w:hint="default" w:ascii="Times New Roman" w:hAnsi="Times New Roman" w:eastAsia="宋体" w:cs="Times New Roman"/>
                <w:color w:val="000000"/>
                <w:sz w:val="18"/>
                <w:szCs w:val="18"/>
              </w:rPr>
              <w:t>10%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28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Fonts w:hint="eastAsia" w:ascii="宋体" w:hAnsi="宋体" w:eastAsia="宋体" w:cs="宋体"/>
                <w:color w:val="000000"/>
                <w:sz w:val="18"/>
                <w:szCs w:val="18"/>
              </w:rPr>
              <w:t>账龄超过</w:t>
            </w:r>
            <w:r>
              <w:rPr>
                <w:rFonts w:hint="default" w:ascii="Times New Roman" w:hAnsi="Times New Roman" w:eastAsia="宋体" w:cs="Times New Roman"/>
                <w:color w:val="000000"/>
                <w:sz w:val="18"/>
                <w:szCs w:val="18"/>
              </w:rPr>
              <w:t>1</w:t>
            </w:r>
            <w:r>
              <w:rPr>
                <w:rFonts w:hint="eastAsia" w:ascii="宋体" w:hAnsi="宋体" w:eastAsia="宋体" w:cs="宋体"/>
                <w:color w:val="000000"/>
                <w:sz w:val="18"/>
                <w:szCs w:val="18"/>
              </w:rPr>
              <w:t>年的重要合同负债</w:t>
            </w:r>
          </w:p>
        </w:tc>
        <w:tc>
          <w:tcPr>
            <w:tcW w:w="2714"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Fonts w:hint="eastAsia" w:ascii="宋体" w:hAnsi="宋体" w:eastAsia="宋体" w:cs="宋体"/>
                <w:color w:val="000000"/>
                <w:sz w:val="18"/>
                <w:szCs w:val="18"/>
              </w:rPr>
              <w:t>单项余额大于或等于合同负债余额的</w:t>
            </w:r>
            <w:r>
              <w:rPr>
                <w:rFonts w:hint="default" w:ascii="Times New Roman" w:hAnsi="Times New Roman" w:eastAsia="宋体" w:cs="Times New Roman"/>
                <w:color w:val="000000"/>
                <w:sz w:val="18"/>
                <w:szCs w:val="18"/>
              </w:rPr>
              <w:t>10%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28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Fonts w:hint="eastAsia" w:ascii="宋体" w:hAnsi="宋体" w:eastAsia="宋体" w:cs="宋体"/>
                <w:color w:val="000000"/>
                <w:sz w:val="18"/>
                <w:szCs w:val="18"/>
              </w:rPr>
              <w:t>重要的在建工程</w:t>
            </w:r>
          </w:p>
        </w:tc>
        <w:tc>
          <w:tcPr>
            <w:tcW w:w="2714"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Fonts w:hint="eastAsia" w:ascii="宋体" w:hAnsi="宋体" w:eastAsia="宋体" w:cs="宋体"/>
                <w:color w:val="000000"/>
                <w:sz w:val="18"/>
                <w:szCs w:val="18"/>
              </w:rPr>
              <w:t>期末余额、本期变动金额大于或等于1000万元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28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Fonts w:hint="eastAsia" w:ascii="宋体" w:hAnsi="宋体" w:eastAsia="宋体" w:cs="宋体"/>
                <w:color w:val="000000"/>
                <w:sz w:val="18"/>
                <w:szCs w:val="18"/>
              </w:rPr>
              <w:t>收到的重要投资活动有关的现金</w:t>
            </w:r>
          </w:p>
        </w:tc>
        <w:tc>
          <w:tcPr>
            <w:tcW w:w="2714"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Fonts w:hint="eastAsia" w:ascii="宋体" w:hAnsi="宋体" w:eastAsia="宋体" w:cs="宋体"/>
                <w:color w:val="000000"/>
                <w:sz w:val="18"/>
                <w:szCs w:val="18"/>
              </w:rPr>
              <w:t>单项投资活动收到的金额大于或等于1000万元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228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Fonts w:hint="eastAsia" w:ascii="宋体" w:hAnsi="宋体" w:eastAsia="宋体" w:cs="宋体"/>
                <w:color w:val="000000"/>
                <w:sz w:val="18"/>
                <w:szCs w:val="18"/>
              </w:rPr>
              <w:t>支付的重要投资活动有关的现金</w:t>
            </w:r>
          </w:p>
        </w:tc>
        <w:tc>
          <w:tcPr>
            <w:tcW w:w="2714"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Fonts w:hint="eastAsia" w:ascii="宋体" w:hAnsi="宋体" w:eastAsia="宋体" w:cs="宋体"/>
                <w:color w:val="000000"/>
                <w:sz w:val="18"/>
                <w:szCs w:val="18"/>
              </w:rPr>
              <w:t>单项投资活动支付的金额大于或等于1000万元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228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Fonts w:hint="eastAsia" w:ascii="宋体" w:hAnsi="宋体" w:eastAsia="宋体" w:cs="宋体"/>
                <w:color w:val="000000"/>
                <w:sz w:val="18"/>
                <w:szCs w:val="18"/>
              </w:rPr>
              <w:t>重要的非全资子公司</w:t>
            </w:r>
          </w:p>
        </w:tc>
        <w:tc>
          <w:tcPr>
            <w:tcW w:w="2714"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Fonts w:hint="eastAsia" w:ascii="宋体" w:hAnsi="宋体" w:eastAsia="宋体" w:cs="宋体"/>
                <w:color w:val="000000"/>
                <w:sz w:val="18"/>
                <w:szCs w:val="18"/>
              </w:rPr>
              <w:t>少数股东损益或权益金额大于或等于合并财务报表相应项目</w:t>
            </w:r>
            <w:r>
              <w:rPr>
                <w:rFonts w:ascii="TimesNewRomanPSMT" w:hAnsi="TimesNewRomanPSMT" w:eastAsia="TimesNewRomanPSMT" w:cs="TimesNewRomanPSMT"/>
                <w:color w:val="000000"/>
                <w:sz w:val="18"/>
                <w:szCs w:val="18"/>
              </w:rPr>
              <w:t>10%</w:t>
            </w:r>
            <w:r>
              <w:rPr>
                <w:rFonts w:hint="eastAsia" w:ascii="宋体" w:hAnsi="宋体" w:eastAsia="宋体" w:cs="宋体"/>
                <w:color w:val="000000"/>
                <w:sz w:val="18"/>
                <w:szCs w:val="18"/>
              </w:rPr>
              <w:t>以上的子公司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228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Fonts w:hint="eastAsia" w:ascii="宋体" w:hAnsi="宋体" w:eastAsia="宋体" w:cs="宋体"/>
                <w:color w:val="000000"/>
                <w:sz w:val="18"/>
                <w:szCs w:val="18"/>
              </w:rPr>
              <w:t>重要的合营企业或联营企业</w:t>
            </w:r>
          </w:p>
        </w:tc>
        <w:tc>
          <w:tcPr>
            <w:tcW w:w="2714"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Fonts w:hint="eastAsia" w:ascii="宋体" w:hAnsi="宋体" w:eastAsia="宋体" w:cs="宋体"/>
                <w:color w:val="000000"/>
                <w:sz w:val="18"/>
                <w:szCs w:val="18"/>
              </w:rPr>
              <w:t>合营企业或联营企业的净利润或净资产对合并财务报表相应项目的影响在</w:t>
            </w:r>
            <w:r>
              <w:rPr>
                <w:rFonts w:hint="default" w:ascii="TimesNewRomanPSMT" w:hAnsi="TimesNewRomanPSMT" w:eastAsia="TimesNewRomanPSMT" w:cs="TimesNewRomanPSMT"/>
                <w:color w:val="000000"/>
                <w:sz w:val="18"/>
                <w:szCs w:val="18"/>
              </w:rPr>
              <w:t>5%</w:t>
            </w:r>
            <w:r>
              <w:rPr>
                <w:rFonts w:hint="eastAsia" w:ascii="宋体" w:hAnsi="宋体" w:eastAsia="宋体" w:cs="宋体"/>
                <w:color w:val="000000"/>
                <w:sz w:val="18"/>
                <w:szCs w:val="18"/>
              </w:rPr>
              <w:t>以上</w:t>
            </w:r>
          </w:p>
        </w:tc>
      </w:tr>
    </w:tbl>
    <w:p>
      <w:pPr>
        <w:keepNext/>
        <w:keepLines/>
        <w:spacing w:before="300" w:after="300" w:line="280" w:lineRule="exact"/>
        <w:jc w:val="left"/>
        <w:outlineLvl w:val="2"/>
        <w:rPr>
          <w:rFonts w:hint="eastAsia" w:ascii="宋体" w:hAnsi="宋体" w:cs="宋体"/>
          <w:b/>
          <w:bCs/>
          <w:sz w:val="21"/>
          <w:szCs w:val="21"/>
          <w:lang w:val="en-US" w:eastAsia="zh-CN"/>
        </w:rPr>
      </w:pPr>
      <w:r>
        <w:rPr>
          <w:rFonts w:hint="eastAsia" w:ascii="宋体" w:hAnsi="宋体" w:cs="宋体"/>
          <w:b/>
          <w:bCs/>
          <w:sz w:val="21"/>
          <w:szCs w:val="21"/>
          <w:lang w:val="en-US" w:eastAsia="zh-CN"/>
        </w:rPr>
        <w:t>（三十二）主要会计估计及判断</w:t>
      </w:r>
    </w:p>
    <w:p>
      <w:pPr>
        <w:pStyle w:val="4"/>
        <w:widowControl/>
        <w:spacing w:beforeAutospacing="0" w:afterAutospacing="0" w:line="360" w:lineRule="exact"/>
        <w:ind w:firstLine="420" w:firstLineChars="200"/>
        <w:rPr>
          <w:rFonts w:hint="eastAsia"/>
          <w:color w:val="000000"/>
          <w:sz w:val="21"/>
          <w:szCs w:val="21"/>
        </w:rPr>
      </w:pPr>
      <w:r>
        <w:rPr>
          <w:rFonts w:hint="eastAsia"/>
          <w:color w:val="000000"/>
          <w:sz w:val="21"/>
          <w:szCs w:val="21"/>
        </w:rPr>
        <w:t>本公司本报告期无需要披露的其他的重要会计估计及判断。</w:t>
      </w:r>
    </w:p>
    <w:bookmarkEnd w:id="236"/>
    <w:p>
      <w:pPr>
        <w:keepNext/>
        <w:keepLines/>
        <w:spacing w:before="300" w:after="300" w:line="280" w:lineRule="exact"/>
        <w:jc w:val="left"/>
        <w:outlineLvl w:val="2"/>
        <w:rPr>
          <w:rFonts w:ascii="宋体" w:hAnsi="宋体" w:eastAsia="宋体" w:cs="宋体"/>
          <w:b/>
          <w:bCs/>
          <w:sz w:val="21"/>
          <w:szCs w:val="21"/>
        </w:rPr>
      </w:pPr>
      <w:bookmarkStart w:id="238" w:name="_Toc989090"/>
      <w:r>
        <w:rPr>
          <w:rFonts w:hint="eastAsia" w:ascii="宋体" w:hAnsi="宋体" w:cs="宋体"/>
          <w:b/>
          <w:bCs/>
          <w:sz w:val="21"/>
          <w:szCs w:val="21"/>
          <w:lang w:eastAsia="zh-CN"/>
        </w:rPr>
        <w:t>（三十三）</w:t>
      </w:r>
      <w:r>
        <w:rPr>
          <w:rFonts w:ascii="宋体" w:hAnsi="宋体" w:eastAsia="宋体" w:cs="宋体"/>
          <w:b/>
          <w:bCs/>
          <w:sz w:val="21"/>
          <w:szCs w:val="21"/>
        </w:rPr>
        <w:t>重要会计政策和会计估计变更</w:t>
      </w:r>
      <w:bookmarkEnd w:id="238"/>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outlineLvl w:val="3"/>
        <w:rPr>
          <w:rFonts w:hint="eastAsia" w:ascii="Times New Roman" w:hAnsi="Times New Roman" w:eastAsia="宋体" w:cs="Times New Roman"/>
          <w:color w:val="000000"/>
          <w:sz w:val="21"/>
          <w:szCs w:val="21"/>
          <w:lang w:val="en-US" w:eastAsia="zh-CN"/>
        </w:rPr>
      </w:pPr>
      <w:bookmarkStart w:id="239" w:name="_Toc989091"/>
      <w:r>
        <w:rPr>
          <w:rFonts w:hint="eastAsia" w:ascii="Times New Roman" w:hAnsi="Times New Roman" w:eastAsia="宋体" w:cs="Times New Roman"/>
          <w:color w:val="000000"/>
          <w:sz w:val="21"/>
          <w:szCs w:val="21"/>
          <w:lang w:val="en-US" w:eastAsia="zh-CN"/>
        </w:rPr>
        <w:t>1.重要会计政策变更</w:t>
      </w:r>
      <w:bookmarkEnd w:id="239"/>
    </w:p>
    <w:p>
      <w:pPr>
        <w:spacing w:before="100" w:after="100" w:line="240" w:lineRule="exact"/>
        <w:ind w:firstLine="360" w:firstLineChars="200"/>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会计政策变更的内容和原因</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受重要影响的报表项目名称</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影响金额</w:t>
            </w:r>
          </w:p>
        </w:tc>
      </w:tr>
    </w:tbl>
    <w:p>
      <w:pPr>
        <w:spacing w:before="100" w:after="100" w:line="0" w:lineRule="exact"/>
        <w:jc w:val="left"/>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bookmarkStart w:id="240" w:name="OLE_LINK50"/>
      <w:bookmarkStart w:id="241" w:name="OLE_LINK49"/>
      <w:r>
        <w:rPr>
          <w:rFonts w:hint="eastAsia" w:cs="Times New Roman"/>
          <w:color w:val="000000"/>
          <w:sz w:val="21"/>
          <w:szCs w:val="21"/>
          <w:lang w:val="en-US" w:eastAsia="zh-CN"/>
        </w:rPr>
        <w:t>（</w:t>
      </w:r>
      <w:r>
        <w:rPr>
          <w:rFonts w:hint="default" w:cs="Times New Roman"/>
          <w:color w:val="000000"/>
          <w:sz w:val="21"/>
          <w:szCs w:val="21"/>
          <w:lang w:val="en-US" w:eastAsia="zh-CN"/>
        </w:rPr>
        <w:t>1</w:t>
      </w:r>
      <w:r>
        <w:rPr>
          <w:rFonts w:hint="eastAsia" w:cs="Times New Roman"/>
          <w:color w:val="000000"/>
          <w:sz w:val="21"/>
          <w:szCs w:val="21"/>
          <w:lang w:val="en-US" w:eastAsia="zh-CN"/>
        </w:rPr>
        <w:t>）执行《企业会计准则解释第</w:t>
      </w:r>
      <w:r>
        <w:rPr>
          <w:rFonts w:hint="default" w:cs="Times New Roman"/>
          <w:color w:val="000000"/>
          <w:sz w:val="21"/>
          <w:szCs w:val="21"/>
          <w:lang w:val="en-US" w:eastAsia="zh-CN"/>
        </w:rPr>
        <w:t>17</w:t>
      </w:r>
      <w:r>
        <w:rPr>
          <w:rFonts w:hint="eastAsia" w:cs="Times New Roman"/>
          <w:color w:val="000000"/>
          <w:sz w:val="21"/>
          <w:szCs w:val="21"/>
          <w:lang w:val="en-US" w:eastAsia="zh-CN"/>
        </w:rPr>
        <w:t>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t>财政部于</w:t>
      </w:r>
      <w:r>
        <w:rPr>
          <w:rFonts w:hint="default" w:cs="Times New Roman"/>
          <w:color w:val="000000"/>
          <w:sz w:val="21"/>
          <w:szCs w:val="21"/>
          <w:lang w:val="en-US" w:eastAsia="zh-CN"/>
        </w:rPr>
        <w:t>2023</w:t>
      </w:r>
      <w:r>
        <w:rPr>
          <w:rFonts w:hint="eastAsia" w:cs="Times New Roman"/>
          <w:color w:val="000000"/>
          <w:sz w:val="21"/>
          <w:szCs w:val="21"/>
          <w:lang w:val="en-US" w:eastAsia="zh-CN"/>
        </w:rPr>
        <w:t>年</w:t>
      </w:r>
      <w:r>
        <w:rPr>
          <w:rFonts w:hint="default" w:cs="Times New Roman"/>
          <w:color w:val="000000"/>
          <w:sz w:val="21"/>
          <w:szCs w:val="21"/>
          <w:lang w:val="en-US" w:eastAsia="zh-CN"/>
        </w:rPr>
        <w:t>10</w:t>
      </w:r>
      <w:r>
        <w:rPr>
          <w:rFonts w:hint="eastAsia" w:cs="Times New Roman"/>
          <w:color w:val="000000"/>
          <w:sz w:val="21"/>
          <w:szCs w:val="21"/>
          <w:lang w:val="en-US" w:eastAsia="zh-CN"/>
        </w:rPr>
        <w:t>月</w:t>
      </w:r>
      <w:r>
        <w:rPr>
          <w:rFonts w:hint="default" w:cs="Times New Roman"/>
          <w:color w:val="000000"/>
          <w:sz w:val="21"/>
          <w:szCs w:val="21"/>
          <w:lang w:val="en-US" w:eastAsia="zh-CN"/>
        </w:rPr>
        <w:t>25</w:t>
      </w:r>
      <w:r>
        <w:rPr>
          <w:rFonts w:hint="eastAsia" w:cs="Times New Roman"/>
          <w:color w:val="000000"/>
          <w:sz w:val="21"/>
          <w:szCs w:val="21"/>
          <w:lang w:val="en-US" w:eastAsia="zh-CN"/>
        </w:rPr>
        <w:t>日公布了《企业会计准则解释第</w:t>
      </w:r>
      <w:r>
        <w:rPr>
          <w:rFonts w:hint="default" w:cs="Times New Roman"/>
          <w:color w:val="000000"/>
          <w:sz w:val="21"/>
          <w:szCs w:val="21"/>
          <w:lang w:val="en-US" w:eastAsia="zh-CN"/>
        </w:rPr>
        <w:t>17</w:t>
      </w:r>
      <w:r>
        <w:rPr>
          <w:rFonts w:hint="eastAsia" w:cs="Times New Roman"/>
          <w:color w:val="000000"/>
          <w:sz w:val="21"/>
          <w:szCs w:val="21"/>
          <w:lang w:val="en-US" w:eastAsia="zh-CN"/>
        </w:rPr>
        <w:t>号》（财会〔</w:t>
      </w:r>
      <w:r>
        <w:rPr>
          <w:rFonts w:hint="default" w:cs="Times New Roman"/>
          <w:color w:val="000000"/>
          <w:sz w:val="21"/>
          <w:szCs w:val="21"/>
          <w:lang w:val="en-US" w:eastAsia="zh-CN"/>
        </w:rPr>
        <w:t>2023</w:t>
      </w:r>
      <w:r>
        <w:rPr>
          <w:rFonts w:hint="eastAsia" w:cs="Times New Roman"/>
          <w:color w:val="000000"/>
          <w:sz w:val="21"/>
          <w:szCs w:val="21"/>
          <w:lang w:val="en-US" w:eastAsia="zh-CN"/>
        </w:rPr>
        <w:t>〕</w:t>
      </w:r>
      <w:r>
        <w:rPr>
          <w:rFonts w:hint="default" w:cs="Times New Roman"/>
          <w:color w:val="000000"/>
          <w:sz w:val="21"/>
          <w:szCs w:val="21"/>
          <w:lang w:val="en-US" w:eastAsia="zh-CN"/>
        </w:rPr>
        <w:t>21</w:t>
      </w:r>
      <w:r>
        <w:rPr>
          <w:rFonts w:hint="eastAsia" w:cs="Times New Roman"/>
          <w:color w:val="000000"/>
          <w:sz w:val="21"/>
          <w:szCs w:val="21"/>
          <w:lang w:val="en-US" w:eastAsia="zh-CN"/>
        </w:rPr>
        <w:t>号，以下简称“解释第</w:t>
      </w:r>
      <w:r>
        <w:rPr>
          <w:rFonts w:hint="default" w:cs="Times New Roman"/>
          <w:color w:val="000000"/>
          <w:sz w:val="21"/>
          <w:szCs w:val="21"/>
          <w:lang w:val="en-US" w:eastAsia="zh-CN"/>
        </w:rPr>
        <w:t>17</w:t>
      </w:r>
      <w:r>
        <w:rPr>
          <w:rFonts w:hint="eastAsia" w:cs="Times New Roman"/>
          <w:color w:val="000000"/>
          <w:sz w:val="21"/>
          <w:szCs w:val="21"/>
          <w:lang w:val="en-US" w:eastAsia="zh-CN"/>
        </w:rPr>
        <w:t>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t>1）关于流动负债与非流动负债的划分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t>解释第</w:t>
      </w:r>
      <w:r>
        <w:rPr>
          <w:rFonts w:hint="default" w:cs="Times New Roman"/>
          <w:color w:val="000000"/>
          <w:sz w:val="21"/>
          <w:szCs w:val="21"/>
          <w:lang w:val="en-US" w:eastAsia="zh-CN"/>
        </w:rPr>
        <w:t>17</w:t>
      </w:r>
      <w:r>
        <w:rPr>
          <w:rFonts w:hint="eastAsia" w:cs="Times New Roman"/>
          <w:color w:val="000000"/>
          <w:sz w:val="21"/>
          <w:szCs w:val="21"/>
          <w:lang w:val="en-US" w:eastAsia="zh-CN"/>
        </w:rPr>
        <w:t>号明确：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t>企业在资产负债表日没有将负债清偿推迟至资产负债表日后一年以上的实质性权利的，该负债应当归类为流动负债。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t>对于企业贷款安排产生的负债，企业将负债清偿推迟至资产负债表日后一年以上的权利可能取决于企业是否遵循了贷款安排中规定的条件（以下简称契约条件），企业在判断其推迟债务清偿的实质性权利是否存在时，仅应考虑在资产负债表日或者之前应遵循的契约条件，不应考虑企业在资产负债表日之后应遵循的契约条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t xml:space="preserve">对负债的流动性进行划分时的负债清偿是指，企业向交易对手方以转移现金、其他经济资源（如商品或服务）或企业自身权益工具的方式解除负债。负债的条款导致企业在交易对手方选择的情况下通过交付自身权益工具进行清偿的，如果企业按照《企业会计准则第 </w:t>
      </w:r>
      <w:r>
        <w:rPr>
          <w:rFonts w:hint="default" w:cs="Times New Roman"/>
          <w:color w:val="000000"/>
          <w:sz w:val="21"/>
          <w:szCs w:val="21"/>
          <w:lang w:val="en-US" w:eastAsia="zh-CN"/>
        </w:rPr>
        <w:t xml:space="preserve">37 </w:t>
      </w:r>
      <w:r>
        <w:rPr>
          <w:rFonts w:hint="eastAsia" w:cs="Times New Roman"/>
          <w:color w:val="000000"/>
          <w:sz w:val="21"/>
          <w:szCs w:val="21"/>
          <w:lang w:val="en-US" w:eastAsia="zh-CN"/>
        </w:rPr>
        <w:t>号——金融工具列报》的规定将上述选择权分类为权益工具并将其作为复合金融工具的权益组成部分单独确认，则该条款不影响该项负债的流动性划分。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t>该解释规定自</w:t>
      </w:r>
      <w:r>
        <w:rPr>
          <w:rFonts w:hint="default" w:cs="Times New Roman"/>
          <w:color w:val="000000"/>
          <w:sz w:val="21"/>
          <w:szCs w:val="21"/>
          <w:lang w:val="en-US" w:eastAsia="zh-CN"/>
        </w:rPr>
        <w:t>2024</w:t>
      </w:r>
      <w:r>
        <w:rPr>
          <w:rFonts w:hint="eastAsia" w:cs="Times New Roman"/>
          <w:color w:val="000000"/>
          <w:sz w:val="21"/>
          <w:szCs w:val="21"/>
          <w:lang w:val="en-US" w:eastAsia="zh-CN"/>
        </w:rPr>
        <w:t>年</w:t>
      </w:r>
      <w:r>
        <w:rPr>
          <w:rFonts w:hint="default" w:cs="Times New Roman"/>
          <w:color w:val="000000"/>
          <w:sz w:val="21"/>
          <w:szCs w:val="21"/>
          <w:lang w:val="en-US" w:eastAsia="zh-CN"/>
        </w:rPr>
        <w:t>1</w:t>
      </w:r>
      <w:r>
        <w:rPr>
          <w:rFonts w:hint="eastAsia" w:cs="Times New Roman"/>
          <w:color w:val="000000"/>
          <w:sz w:val="21"/>
          <w:szCs w:val="21"/>
          <w:lang w:val="en-US" w:eastAsia="zh-CN"/>
        </w:rPr>
        <w:t>月</w:t>
      </w:r>
      <w:r>
        <w:rPr>
          <w:rFonts w:hint="default" w:cs="Times New Roman"/>
          <w:color w:val="000000"/>
          <w:sz w:val="21"/>
          <w:szCs w:val="21"/>
          <w:lang w:val="en-US" w:eastAsia="zh-CN"/>
        </w:rPr>
        <w:t>1</w:t>
      </w:r>
      <w:r>
        <w:rPr>
          <w:rFonts w:hint="eastAsia" w:cs="Times New Roman"/>
          <w:color w:val="000000"/>
          <w:sz w:val="21"/>
          <w:szCs w:val="21"/>
          <w:lang w:val="en-US" w:eastAsia="zh-CN"/>
        </w:rPr>
        <w:t>日起施行，企业在首次执行该解释规定时，应当按照该解释规定对可比期间信息进行调整。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t>本公司执行该规定对公司合并及公司财务报表列报无影响。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t>2）关于供应商融资安排的披露</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t>解释第</w:t>
      </w:r>
      <w:r>
        <w:rPr>
          <w:rFonts w:hint="default" w:cs="Times New Roman"/>
          <w:color w:val="000000"/>
          <w:sz w:val="21"/>
          <w:szCs w:val="21"/>
          <w:lang w:val="en-US" w:eastAsia="zh-CN"/>
        </w:rPr>
        <w:t>17</w:t>
      </w:r>
      <w:r>
        <w:rPr>
          <w:rFonts w:hint="eastAsia" w:cs="Times New Roman"/>
          <w:color w:val="000000"/>
          <w:sz w:val="21"/>
          <w:szCs w:val="21"/>
          <w:lang w:val="en-US" w:eastAsia="zh-CN"/>
        </w:rPr>
        <w:t>号要求企业在进行附注披露时，应当汇总披露与供应商融资安排有关的信息，以有助于报表使用者评估这些安排对该企业负债、现金流量以及该企业流动性风险敞口的影响。在识别和披露流动性风险信息时也应当考虑供应商融资安排的影响。该披露规定仅适用于供应商融资安排。供应商融资安排是指具有下列特征的交易：一个或多个融资提供方提供资金，为企业支付其应付供应商的款项，并约定该企业根据安排的条款和条件，在其供应商收到款项的当天或之后向融资提供方还款。与原付款到期日相比，供应商融资安排延长了该企业的付款期，或者提前了该企业供应商的收款期。该解释规定自</w:t>
      </w:r>
      <w:r>
        <w:rPr>
          <w:rFonts w:hint="default" w:cs="Times New Roman"/>
          <w:color w:val="000000"/>
          <w:sz w:val="21"/>
          <w:szCs w:val="21"/>
          <w:lang w:val="en-US" w:eastAsia="zh-CN"/>
        </w:rPr>
        <w:t>2024</w:t>
      </w:r>
      <w:r>
        <w:rPr>
          <w:rFonts w:hint="eastAsia" w:cs="Times New Roman"/>
          <w:color w:val="000000"/>
          <w:sz w:val="21"/>
          <w:szCs w:val="21"/>
          <w:lang w:val="en-US" w:eastAsia="zh-CN"/>
        </w:rPr>
        <w:t>年</w:t>
      </w:r>
      <w:r>
        <w:rPr>
          <w:rFonts w:hint="default" w:cs="Times New Roman"/>
          <w:color w:val="000000"/>
          <w:sz w:val="21"/>
          <w:szCs w:val="21"/>
          <w:lang w:val="en-US" w:eastAsia="zh-CN"/>
        </w:rPr>
        <w:t>1</w:t>
      </w:r>
      <w:r>
        <w:rPr>
          <w:rFonts w:hint="eastAsia" w:cs="Times New Roman"/>
          <w:color w:val="000000"/>
          <w:sz w:val="21"/>
          <w:szCs w:val="21"/>
          <w:lang w:val="en-US" w:eastAsia="zh-CN"/>
        </w:rPr>
        <w:t>月</w:t>
      </w:r>
      <w:r>
        <w:rPr>
          <w:rFonts w:hint="default" w:cs="Times New Roman"/>
          <w:color w:val="000000"/>
          <w:sz w:val="21"/>
          <w:szCs w:val="21"/>
          <w:lang w:val="en-US" w:eastAsia="zh-CN"/>
        </w:rPr>
        <w:t>1</w:t>
      </w:r>
      <w:r>
        <w:rPr>
          <w:rFonts w:hint="eastAsia" w:cs="Times New Roman"/>
          <w:color w:val="000000"/>
          <w:sz w:val="21"/>
          <w:szCs w:val="21"/>
          <w:lang w:val="en-US" w:eastAsia="zh-CN"/>
        </w:rPr>
        <w:t>日起施行，企业在首次执行该解释规定时，无需披露可比期间相关信息及部分期初信息。执行该规定未对本公司财务状况和经营成果产生重大影响。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t>（</w:t>
      </w:r>
      <w:r>
        <w:rPr>
          <w:rFonts w:hint="default" w:cs="Times New Roman"/>
          <w:color w:val="000000"/>
          <w:sz w:val="21"/>
          <w:szCs w:val="21"/>
          <w:lang w:val="en-US" w:eastAsia="zh-CN"/>
        </w:rPr>
        <w:t>2</w:t>
      </w:r>
      <w:r>
        <w:rPr>
          <w:rFonts w:hint="eastAsia" w:cs="Times New Roman"/>
          <w:color w:val="000000"/>
          <w:sz w:val="21"/>
          <w:szCs w:val="21"/>
          <w:lang w:val="en-US" w:eastAsia="zh-CN"/>
        </w:rPr>
        <w:t>）执行《企业数据资源相关会计处理暂行规定》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t>财政部于</w:t>
      </w:r>
      <w:r>
        <w:rPr>
          <w:rFonts w:hint="default" w:cs="Times New Roman"/>
          <w:color w:val="000000"/>
          <w:sz w:val="21"/>
          <w:szCs w:val="21"/>
          <w:lang w:val="en-US" w:eastAsia="zh-CN"/>
        </w:rPr>
        <w:t>2023</w:t>
      </w:r>
      <w:r>
        <w:rPr>
          <w:rFonts w:hint="eastAsia" w:cs="Times New Roman"/>
          <w:color w:val="000000"/>
          <w:sz w:val="21"/>
          <w:szCs w:val="21"/>
          <w:lang w:val="en-US" w:eastAsia="zh-CN"/>
        </w:rPr>
        <w:t>年</w:t>
      </w:r>
      <w:r>
        <w:rPr>
          <w:rFonts w:hint="default" w:cs="Times New Roman"/>
          <w:color w:val="000000"/>
          <w:sz w:val="21"/>
          <w:szCs w:val="21"/>
          <w:lang w:val="en-US" w:eastAsia="zh-CN"/>
        </w:rPr>
        <w:t>8</w:t>
      </w:r>
      <w:r>
        <w:rPr>
          <w:rFonts w:hint="eastAsia" w:cs="Times New Roman"/>
          <w:color w:val="000000"/>
          <w:sz w:val="21"/>
          <w:szCs w:val="21"/>
          <w:lang w:val="en-US" w:eastAsia="zh-CN"/>
        </w:rPr>
        <w:t>月</w:t>
      </w:r>
      <w:r>
        <w:rPr>
          <w:rFonts w:hint="default" w:cs="Times New Roman"/>
          <w:color w:val="000000"/>
          <w:sz w:val="21"/>
          <w:szCs w:val="21"/>
          <w:lang w:val="en-US" w:eastAsia="zh-CN"/>
        </w:rPr>
        <w:t>1</w:t>
      </w:r>
      <w:r>
        <w:rPr>
          <w:rFonts w:hint="eastAsia" w:cs="Times New Roman"/>
          <w:color w:val="000000"/>
          <w:sz w:val="21"/>
          <w:szCs w:val="21"/>
          <w:lang w:val="en-US" w:eastAsia="zh-CN"/>
        </w:rPr>
        <w:t>日发布了《企业数据资源相关会计处理暂行规定》（财会〔</w:t>
      </w:r>
      <w:r>
        <w:rPr>
          <w:rFonts w:hint="default" w:cs="Times New Roman"/>
          <w:color w:val="000000"/>
          <w:sz w:val="21"/>
          <w:szCs w:val="21"/>
          <w:lang w:val="en-US" w:eastAsia="zh-CN"/>
        </w:rPr>
        <w:t>2023</w:t>
      </w:r>
      <w:r>
        <w:rPr>
          <w:rFonts w:hint="eastAsia" w:cs="Times New Roman"/>
          <w:color w:val="000000"/>
          <w:sz w:val="21"/>
          <w:szCs w:val="21"/>
          <w:lang w:val="en-US" w:eastAsia="zh-CN"/>
        </w:rPr>
        <w:t>〕</w:t>
      </w:r>
      <w:r>
        <w:rPr>
          <w:rFonts w:hint="default" w:cs="Times New Roman"/>
          <w:color w:val="000000"/>
          <w:sz w:val="21"/>
          <w:szCs w:val="21"/>
          <w:lang w:val="en-US" w:eastAsia="zh-CN"/>
        </w:rPr>
        <w:t>11</w:t>
      </w:r>
      <w:r>
        <w:rPr>
          <w:rFonts w:hint="eastAsia" w:cs="Times New Roman"/>
          <w:color w:val="000000"/>
          <w:sz w:val="21"/>
          <w:szCs w:val="21"/>
          <w:lang w:val="en-US" w:eastAsia="zh-CN"/>
        </w:rPr>
        <w:t>号），适用于符合企业会计准则相关规定确认为无形资产或存货等资产的数据资源，以及企业合法拥有或控制的、预期会给企业带来经济利益的、但不满足资产确认条件而未予确认的数据资源的相关会计处理，并对数据资源的披露提出了具体要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t>该规定自</w:t>
      </w:r>
      <w:r>
        <w:rPr>
          <w:rFonts w:hint="default" w:cs="Times New Roman"/>
          <w:color w:val="000000"/>
          <w:sz w:val="21"/>
          <w:szCs w:val="21"/>
          <w:lang w:val="en-US" w:eastAsia="zh-CN"/>
        </w:rPr>
        <w:t>2024</w:t>
      </w:r>
      <w:r>
        <w:rPr>
          <w:rFonts w:hint="eastAsia" w:cs="Times New Roman"/>
          <w:color w:val="000000"/>
          <w:sz w:val="21"/>
          <w:szCs w:val="21"/>
          <w:lang w:val="en-US" w:eastAsia="zh-CN"/>
        </w:rPr>
        <w:t>年</w:t>
      </w:r>
      <w:r>
        <w:rPr>
          <w:rFonts w:hint="default" w:cs="Times New Roman"/>
          <w:color w:val="000000"/>
          <w:sz w:val="21"/>
          <w:szCs w:val="21"/>
          <w:lang w:val="en-US" w:eastAsia="zh-CN"/>
        </w:rPr>
        <w:t>1</w:t>
      </w:r>
      <w:r>
        <w:rPr>
          <w:rFonts w:hint="eastAsia" w:cs="Times New Roman"/>
          <w:color w:val="000000"/>
          <w:sz w:val="21"/>
          <w:szCs w:val="21"/>
          <w:lang w:val="en-US" w:eastAsia="zh-CN"/>
        </w:rPr>
        <w:t>月</w:t>
      </w:r>
      <w:r>
        <w:rPr>
          <w:rFonts w:hint="default" w:cs="Times New Roman"/>
          <w:color w:val="000000"/>
          <w:sz w:val="21"/>
          <w:szCs w:val="21"/>
          <w:lang w:val="en-US" w:eastAsia="zh-CN"/>
        </w:rPr>
        <w:t>1</w:t>
      </w:r>
      <w:r>
        <w:rPr>
          <w:rFonts w:hint="eastAsia" w:cs="Times New Roman"/>
          <w:color w:val="000000"/>
          <w:sz w:val="21"/>
          <w:szCs w:val="21"/>
          <w:lang w:val="en-US" w:eastAsia="zh-CN"/>
        </w:rPr>
        <w:t>日起施行，企业应当采用未来适用法，该规定施行前已经费用化计入损益的数据资源相关支出不再调整。执行该规定未对本公司财务状况和经营成果产生重大影响。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t>（</w:t>
      </w:r>
      <w:r>
        <w:rPr>
          <w:rFonts w:hint="default" w:cs="Times New Roman"/>
          <w:color w:val="000000"/>
          <w:sz w:val="21"/>
          <w:szCs w:val="21"/>
          <w:lang w:val="en-US" w:eastAsia="zh-CN"/>
        </w:rPr>
        <w:t>3</w:t>
      </w:r>
      <w:r>
        <w:rPr>
          <w:rFonts w:hint="eastAsia" w:cs="Times New Roman"/>
          <w:color w:val="000000"/>
          <w:sz w:val="21"/>
          <w:szCs w:val="21"/>
          <w:lang w:val="en-US" w:eastAsia="zh-CN"/>
        </w:rPr>
        <w:t>）执行《企业会计准则解释第</w:t>
      </w:r>
      <w:r>
        <w:rPr>
          <w:rFonts w:hint="default" w:cs="Times New Roman"/>
          <w:color w:val="000000"/>
          <w:sz w:val="21"/>
          <w:szCs w:val="21"/>
          <w:lang w:val="en-US" w:eastAsia="zh-CN"/>
        </w:rPr>
        <w:t>18</w:t>
      </w:r>
      <w:r>
        <w:rPr>
          <w:rFonts w:hint="eastAsia" w:cs="Times New Roman"/>
          <w:color w:val="000000"/>
          <w:sz w:val="21"/>
          <w:szCs w:val="21"/>
          <w:lang w:val="en-US" w:eastAsia="zh-CN"/>
        </w:rPr>
        <w:t>号》“关于不属于单项履约义务的保证类质量保证的会计处理”的规定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t>财政部于</w:t>
      </w:r>
      <w:r>
        <w:rPr>
          <w:rFonts w:hint="default" w:cs="Times New Roman"/>
          <w:color w:val="000000"/>
          <w:sz w:val="21"/>
          <w:szCs w:val="21"/>
          <w:lang w:val="en-US" w:eastAsia="zh-CN"/>
        </w:rPr>
        <w:t>2024</w:t>
      </w:r>
      <w:r>
        <w:rPr>
          <w:rFonts w:hint="eastAsia" w:cs="Times New Roman"/>
          <w:color w:val="000000"/>
          <w:sz w:val="21"/>
          <w:szCs w:val="21"/>
          <w:lang w:val="en-US" w:eastAsia="zh-CN"/>
        </w:rPr>
        <w:t>年</w:t>
      </w:r>
      <w:r>
        <w:rPr>
          <w:rFonts w:hint="default" w:cs="Times New Roman"/>
          <w:color w:val="000000"/>
          <w:sz w:val="21"/>
          <w:szCs w:val="21"/>
          <w:lang w:val="en-US" w:eastAsia="zh-CN"/>
        </w:rPr>
        <w:t>12</w:t>
      </w:r>
      <w:r>
        <w:rPr>
          <w:rFonts w:hint="eastAsia" w:cs="Times New Roman"/>
          <w:color w:val="000000"/>
          <w:sz w:val="21"/>
          <w:szCs w:val="21"/>
          <w:lang w:val="en-US" w:eastAsia="zh-CN"/>
        </w:rPr>
        <w:t>月</w:t>
      </w:r>
      <w:r>
        <w:rPr>
          <w:rFonts w:hint="default" w:cs="Times New Roman"/>
          <w:color w:val="000000"/>
          <w:sz w:val="21"/>
          <w:szCs w:val="21"/>
          <w:lang w:val="en-US" w:eastAsia="zh-CN"/>
        </w:rPr>
        <w:t>6</w:t>
      </w:r>
      <w:r>
        <w:rPr>
          <w:rFonts w:hint="eastAsia" w:cs="Times New Roman"/>
          <w:color w:val="000000"/>
          <w:sz w:val="21"/>
          <w:szCs w:val="21"/>
          <w:lang w:val="en-US" w:eastAsia="zh-CN"/>
        </w:rPr>
        <w:t>日发布了《企业会计准则解释第</w:t>
      </w:r>
      <w:r>
        <w:rPr>
          <w:rFonts w:hint="default" w:cs="Times New Roman"/>
          <w:color w:val="000000"/>
          <w:sz w:val="21"/>
          <w:szCs w:val="21"/>
          <w:lang w:val="en-US" w:eastAsia="zh-CN"/>
        </w:rPr>
        <w:t>18</w:t>
      </w:r>
      <w:r>
        <w:rPr>
          <w:rFonts w:hint="eastAsia" w:cs="Times New Roman"/>
          <w:color w:val="000000"/>
          <w:sz w:val="21"/>
          <w:szCs w:val="21"/>
          <w:lang w:val="en-US" w:eastAsia="zh-CN"/>
        </w:rPr>
        <w:t>号》（财会〔</w:t>
      </w:r>
      <w:r>
        <w:rPr>
          <w:rFonts w:hint="default" w:cs="Times New Roman"/>
          <w:color w:val="000000"/>
          <w:sz w:val="21"/>
          <w:szCs w:val="21"/>
          <w:lang w:val="en-US" w:eastAsia="zh-CN"/>
        </w:rPr>
        <w:t>2024</w:t>
      </w:r>
      <w:r>
        <w:rPr>
          <w:rFonts w:hint="eastAsia" w:cs="Times New Roman"/>
          <w:color w:val="000000"/>
          <w:sz w:val="21"/>
          <w:szCs w:val="21"/>
          <w:lang w:val="en-US" w:eastAsia="zh-CN"/>
        </w:rPr>
        <w:t>〕</w:t>
      </w:r>
      <w:r>
        <w:rPr>
          <w:rFonts w:hint="default" w:cs="Times New Roman"/>
          <w:color w:val="000000"/>
          <w:sz w:val="21"/>
          <w:szCs w:val="21"/>
          <w:lang w:val="en-US" w:eastAsia="zh-CN"/>
        </w:rPr>
        <w:t>24</w:t>
      </w:r>
      <w:r>
        <w:rPr>
          <w:rFonts w:hint="eastAsia" w:cs="Times New Roman"/>
          <w:color w:val="000000"/>
          <w:sz w:val="21"/>
          <w:szCs w:val="21"/>
          <w:lang w:val="en-US" w:eastAsia="zh-CN"/>
        </w:rPr>
        <w:t>号，以下简称“解释第</w:t>
      </w:r>
      <w:r>
        <w:rPr>
          <w:rFonts w:hint="default" w:cs="Times New Roman"/>
          <w:color w:val="000000"/>
          <w:sz w:val="21"/>
          <w:szCs w:val="21"/>
          <w:lang w:val="en-US" w:eastAsia="zh-CN"/>
        </w:rPr>
        <w:t>18</w:t>
      </w:r>
      <w:r>
        <w:rPr>
          <w:rFonts w:hint="eastAsia" w:cs="Times New Roman"/>
          <w:color w:val="000000"/>
          <w:sz w:val="21"/>
          <w:szCs w:val="21"/>
          <w:lang w:val="en-US" w:eastAsia="zh-CN"/>
        </w:rPr>
        <w:t>号”），该解释自印发之日起施行，允许企业自发布年度提前执行。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t>解释第</w:t>
      </w:r>
      <w:r>
        <w:rPr>
          <w:rFonts w:hint="default" w:cs="Times New Roman"/>
          <w:color w:val="000000"/>
          <w:sz w:val="21"/>
          <w:szCs w:val="21"/>
          <w:lang w:val="en-US" w:eastAsia="zh-CN"/>
        </w:rPr>
        <w:t>18</w:t>
      </w:r>
      <w:r>
        <w:rPr>
          <w:rFonts w:hint="eastAsia" w:cs="Times New Roman"/>
          <w:color w:val="000000"/>
          <w:sz w:val="21"/>
          <w:szCs w:val="21"/>
          <w:lang w:val="en-US" w:eastAsia="zh-CN"/>
        </w:rPr>
        <w:t>号规定，在对因不属于单项履约义务的保证类质量保证产生的预计负债进行会计核算时，应当根据《企业会计准则第</w:t>
      </w:r>
      <w:r>
        <w:rPr>
          <w:rFonts w:hint="default" w:cs="Times New Roman"/>
          <w:color w:val="000000"/>
          <w:sz w:val="21"/>
          <w:szCs w:val="21"/>
          <w:lang w:val="en-US" w:eastAsia="zh-CN"/>
        </w:rPr>
        <w:t>13</w:t>
      </w:r>
      <w:r>
        <w:rPr>
          <w:rFonts w:hint="eastAsia" w:cs="Times New Roman"/>
          <w:color w:val="000000"/>
          <w:sz w:val="21"/>
          <w:szCs w:val="21"/>
          <w:lang w:val="en-US" w:eastAsia="zh-CN"/>
        </w:rPr>
        <w:t>号——或有事项》有关规定，按确定的预计负债金额，借记“主营业务成本”、“其他业务成本”等科目，贷记“预计负债”科目，并相应在利润表中的“营业成本”和资产负债表中的“其他流动负债”、“一年内到期的非流动负债”、“预计负债”等项目列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t>企业在首次执行该解释内容时，如原计提保证类质量保证时计入“销售费用”等的，应当按照会计政策变更进行追溯调整。本公司自</w:t>
      </w:r>
      <w:r>
        <w:rPr>
          <w:rFonts w:hint="default" w:cs="Times New Roman"/>
          <w:color w:val="000000"/>
          <w:sz w:val="21"/>
          <w:szCs w:val="21"/>
          <w:lang w:val="en-US" w:eastAsia="zh-CN"/>
        </w:rPr>
        <w:t>2024</w:t>
      </w:r>
      <w:r>
        <w:rPr>
          <w:rFonts w:hint="eastAsia" w:cs="Times New Roman"/>
          <w:color w:val="000000"/>
          <w:sz w:val="21"/>
          <w:szCs w:val="21"/>
          <w:lang w:val="en-US" w:eastAsia="zh-CN"/>
        </w:rPr>
        <w:t>年度起执行该规定的主要影响如下：</w:t>
      </w:r>
      <w:bookmarkEnd w:id="240"/>
    </w:p>
    <w:tbl>
      <w:tblPr>
        <w:tblStyle w:val="5"/>
        <w:tblW w:w="4580"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671"/>
        <w:gridCol w:w="1274"/>
        <w:gridCol w:w="1520"/>
        <w:gridCol w:w="1522"/>
        <w:gridCol w:w="1520"/>
        <w:gridCol w:w="151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926" w:type="pct"/>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center"/>
              <w:rPr>
                <w:rFonts w:ascii="Calibri" w:hAnsi="Calibri" w:cs="Calibri"/>
                <w:sz w:val="21"/>
                <w:szCs w:val="21"/>
              </w:rPr>
            </w:pPr>
            <w:r>
              <w:rPr>
                <w:rFonts w:hint="eastAsia" w:ascii="宋体" w:hAnsi="宋体" w:eastAsia="宋体" w:cs="宋体"/>
                <w:color w:val="000000"/>
                <w:sz w:val="18"/>
                <w:szCs w:val="18"/>
              </w:rPr>
              <w:t>会计政策变更的内容和原因</w:t>
            </w:r>
          </w:p>
        </w:tc>
        <w:tc>
          <w:tcPr>
            <w:tcW w:w="706" w:type="pct"/>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eastAsia" w:ascii="宋体" w:hAnsi="宋体" w:eastAsia="宋体" w:cs="宋体"/>
                <w:color w:val="000000"/>
                <w:sz w:val="18"/>
                <w:szCs w:val="18"/>
              </w:rPr>
              <w:t>受影响的报表项目</w:t>
            </w:r>
          </w:p>
        </w:tc>
        <w:tc>
          <w:tcPr>
            <w:tcW w:w="1685" w:type="pct"/>
            <w:gridSpan w:val="2"/>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eastAsia" w:ascii="宋体" w:hAnsi="宋体" w:eastAsia="宋体" w:cs="宋体"/>
                <w:color w:val="000000"/>
                <w:sz w:val="18"/>
                <w:szCs w:val="18"/>
              </w:rPr>
              <w:t>合并</w:t>
            </w:r>
          </w:p>
        </w:tc>
        <w:tc>
          <w:tcPr>
            <w:tcW w:w="1682" w:type="pct"/>
            <w:gridSpan w:val="2"/>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eastAsia" w:ascii="宋体" w:hAnsi="宋体" w:eastAsia="宋体" w:cs="宋体"/>
                <w:color w:val="000000"/>
                <w:sz w:val="18"/>
                <w:szCs w:val="18"/>
              </w:rPr>
              <w:t>母公司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926"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706" w:type="pct"/>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842"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default" w:ascii="Times New Roman" w:hAnsi="Times New Roman" w:eastAsia="宋体" w:cs="Times New Roman"/>
                <w:color w:val="000000"/>
                <w:sz w:val="18"/>
                <w:szCs w:val="18"/>
              </w:rPr>
              <w:t>2024</w:t>
            </w:r>
            <w:r>
              <w:rPr>
                <w:rFonts w:hint="eastAsia" w:ascii="宋体" w:hAnsi="宋体" w:eastAsia="宋体" w:cs="宋体"/>
                <w:color w:val="000000"/>
                <w:sz w:val="18"/>
                <w:szCs w:val="18"/>
              </w:rPr>
              <w:t>年度</w:t>
            </w:r>
          </w:p>
        </w:tc>
        <w:tc>
          <w:tcPr>
            <w:tcW w:w="84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default" w:ascii="Times New Roman" w:hAnsi="Times New Roman" w:cs="Times New Roman"/>
                <w:color w:val="000000"/>
                <w:sz w:val="18"/>
                <w:szCs w:val="18"/>
              </w:rPr>
              <w:t>2023</w:t>
            </w:r>
            <w:r>
              <w:rPr>
                <w:rFonts w:hint="eastAsia" w:ascii="宋体" w:hAnsi="宋体" w:eastAsia="宋体" w:cs="宋体"/>
                <w:color w:val="000000"/>
                <w:sz w:val="18"/>
                <w:szCs w:val="18"/>
              </w:rPr>
              <w:t>年度</w:t>
            </w:r>
          </w:p>
        </w:tc>
        <w:tc>
          <w:tcPr>
            <w:tcW w:w="84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default" w:ascii="Times New Roman" w:hAnsi="Times New Roman" w:eastAsia="宋体" w:cs="Times New Roman"/>
                <w:color w:val="000000"/>
                <w:sz w:val="18"/>
                <w:szCs w:val="18"/>
              </w:rPr>
              <w:t>2024</w:t>
            </w:r>
            <w:r>
              <w:rPr>
                <w:rFonts w:hint="eastAsia" w:ascii="宋体" w:hAnsi="宋体" w:eastAsia="宋体" w:cs="宋体"/>
                <w:color w:val="000000"/>
                <w:sz w:val="18"/>
                <w:szCs w:val="18"/>
              </w:rPr>
              <w:t>年度</w:t>
            </w:r>
          </w:p>
        </w:tc>
        <w:tc>
          <w:tcPr>
            <w:tcW w:w="841"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default" w:ascii="Times New Roman" w:hAnsi="Times New Roman" w:cs="Times New Roman"/>
                <w:color w:val="000000"/>
                <w:sz w:val="18"/>
                <w:szCs w:val="18"/>
              </w:rPr>
              <w:t>2023</w:t>
            </w:r>
            <w:r>
              <w:rPr>
                <w:rFonts w:hint="eastAsia" w:ascii="宋体" w:hAnsi="宋体" w:eastAsia="宋体" w:cs="宋体"/>
                <w:color w:val="000000"/>
                <w:sz w:val="18"/>
                <w:szCs w:val="18"/>
              </w:rPr>
              <w:t>年度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926" w:type="pct"/>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Fonts w:hint="eastAsia" w:ascii="宋体" w:hAnsi="宋体" w:eastAsia="宋体" w:cs="宋体"/>
                <w:color w:val="000000"/>
                <w:sz w:val="18"/>
                <w:szCs w:val="18"/>
              </w:rPr>
              <w:t>执行《企业会计准则解释第</w:t>
            </w:r>
            <w:r>
              <w:rPr>
                <w:rFonts w:hint="default" w:ascii="Times New Roman" w:hAnsi="Times New Roman" w:eastAsia="宋体" w:cs="Times New Roman"/>
                <w:color w:val="000000"/>
                <w:sz w:val="18"/>
                <w:szCs w:val="18"/>
              </w:rPr>
              <w:t>18</w:t>
            </w:r>
            <w:r>
              <w:rPr>
                <w:rFonts w:hint="eastAsia" w:ascii="宋体" w:hAnsi="宋体" w:eastAsia="宋体" w:cs="宋体"/>
                <w:color w:val="000000"/>
                <w:sz w:val="18"/>
                <w:szCs w:val="18"/>
              </w:rPr>
              <w:t>号》</w:t>
            </w:r>
          </w:p>
        </w:tc>
        <w:tc>
          <w:tcPr>
            <w:tcW w:w="706"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Fonts w:hint="eastAsia" w:ascii="宋体" w:hAnsi="宋体" w:eastAsia="宋体" w:cs="宋体"/>
                <w:color w:val="000000"/>
                <w:sz w:val="18"/>
                <w:szCs w:val="18"/>
              </w:rPr>
              <w:t>营业成本</w:t>
            </w:r>
          </w:p>
        </w:tc>
        <w:tc>
          <w:tcPr>
            <w:tcW w:w="84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right"/>
              <w:rPr>
                <w:rFonts w:hint="default" w:ascii="Calibri" w:hAnsi="Calibri" w:cs="Calibri"/>
                <w:sz w:val="21"/>
                <w:szCs w:val="21"/>
              </w:rPr>
            </w:pPr>
            <w:r>
              <w:rPr>
                <w:rFonts w:hint="default" w:ascii="Times New Roman" w:hAnsi="Times New Roman" w:cs="Times New Roman"/>
                <w:color w:val="000000"/>
                <w:sz w:val="18"/>
                <w:szCs w:val="18"/>
              </w:rPr>
              <w:t>668,568.85</w:t>
            </w:r>
          </w:p>
        </w:tc>
        <w:tc>
          <w:tcPr>
            <w:tcW w:w="84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right"/>
              <w:rPr>
                <w:rFonts w:hint="default" w:ascii="Calibri" w:hAnsi="Calibri" w:cs="Calibri"/>
                <w:sz w:val="21"/>
                <w:szCs w:val="21"/>
              </w:rPr>
            </w:pPr>
            <w:r>
              <w:rPr>
                <w:rFonts w:hint="default" w:ascii="Times New Roman" w:hAnsi="Times New Roman" w:cs="Times New Roman"/>
                <w:color w:val="000000"/>
                <w:sz w:val="18"/>
                <w:szCs w:val="18"/>
              </w:rPr>
              <w:t>3,653,352.99</w:t>
            </w:r>
          </w:p>
        </w:tc>
        <w:tc>
          <w:tcPr>
            <w:tcW w:w="84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right"/>
              <w:rPr>
                <w:rFonts w:hint="default" w:ascii="Calibri" w:hAnsi="Calibri" w:cs="Calibri"/>
                <w:sz w:val="21"/>
                <w:szCs w:val="21"/>
              </w:rPr>
            </w:pPr>
            <w:r>
              <w:rPr>
                <w:rFonts w:hint="default" w:ascii="Times New Roman" w:hAnsi="Times New Roman" w:cs="Times New Roman"/>
                <w:color w:val="000000"/>
                <w:sz w:val="18"/>
                <w:szCs w:val="18"/>
              </w:rPr>
              <w:t>54,895.47</w:t>
            </w:r>
          </w:p>
        </w:tc>
        <w:tc>
          <w:tcPr>
            <w:tcW w:w="841"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right"/>
              <w:rPr>
                <w:rFonts w:hint="default" w:ascii="Calibri" w:hAnsi="Calibri" w:cs="Calibri"/>
                <w:sz w:val="21"/>
                <w:szCs w:val="21"/>
              </w:rPr>
            </w:pPr>
            <w:r>
              <w:rPr>
                <w:rFonts w:hint="default" w:ascii="Times New Roman" w:hAnsi="Times New Roman" w:cs="Times New Roman"/>
                <w:color w:val="000000"/>
                <w:sz w:val="18"/>
                <w:szCs w:val="18"/>
              </w:rPr>
              <w:t>26,201.64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926"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706"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Fonts w:hint="eastAsia" w:ascii="宋体" w:hAnsi="宋体" w:eastAsia="宋体" w:cs="宋体"/>
                <w:color w:val="000000"/>
                <w:sz w:val="18"/>
                <w:szCs w:val="18"/>
              </w:rPr>
              <w:t>销售费用</w:t>
            </w:r>
          </w:p>
        </w:tc>
        <w:tc>
          <w:tcPr>
            <w:tcW w:w="84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right"/>
              <w:rPr>
                <w:rFonts w:hint="default" w:ascii="Calibri" w:hAnsi="Calibri" w:cs="Calibri"/>
                <w:sz w:val="21"/>
                <w:szCs w:val="21"/>
              </w:rPr>
            </w:pPr>
            <w:r>
              <w:rPr>
                <w:rFonts w:hint="default" w:ascii="Times New Roman" w:hAnsi="Times New Roman" w:eastAsia="宋体" w:cs="Times New Roman"/>
                <w:color w:val="000000"/>
                <w:sz w:val="18"/>
                <w:szCs w:val="18"/>
              </w:rPr>
              <w:t>-</w:t>
            </w:r>
            <w:r>
              <w:rPr>
                <w:rFonts w:hint="default" w:ascii="Times New Roman" w:hAnsi="Times New Roman" w:cs="Times New Roman"/>
                <w:color w:val="000000"/>
                <w:sz w:val="18"/>
                <w:szCs w:val="18"/>
              </w:rPr>
              <w:t>668,568.85</w:t>
            </w:r>
          </w:p>
        </w:tc>
        <w:tc>
          <w:tcPr>
            <w:tcW w:w="84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right"/>
              <w:rPr>
                <w:rFonts w:hint="default" w:ascii="Calibri" w:hAnsi="Calibri" w:cs="Calibri"/>
                <w:sz w:val="21"/>
                <w:szCs w:val="21"/>
              </w:rPr>
            </w:pPr>
            <w:r>
              <w:rPr>
                <w:rFonts w:hint="default" w:ascii="Times New Roman" w:hAnsi="Times New Roman" w:eastAsia="宋体" w:cs="Times New Roman"/>
                <w:color w:val="000000"/>
                <w:sz w:val="18"/>
                <w:szCs w:val="18"/>
              </w:rPr>
              <w:t>-</w:t>
            </w:r>
            <w:r>
              <w:rPr>
                <w:rFonts w:hint="default" w:ascii="Times New Roman" w:hAnsi="Times New Roman" w:cs="Times New Roman"/>
                <w:color w:val="000000"/>
                <w:sz w:val="18"/>
                <w:szCs w:val="18"/>
              </w:rPr>
              <w:t>3,653,352.99</w:t>
            </w:r>
          </w:p>
        </w:tc>
        <w:tc>
          <w:tcPr>
            <w:tcW w:w="84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right"/>
              <w:rPr>
                <w:rFonts w:hint="default" w:ascii="Calibri" w:hAnsi="Calibri" w:cs="Calibri"/>
                <w:sz w:val="21"/>
                <w:szCs w:val="21"/>
              </w:rPr>
            </w:pPr>
            <w:r>
              <w:rPr>
                <w:rFonts w:hint="default" w:ascii="Times New Roman" w:hAnsi="Times New Roman" w:eastAsia="宋体" w:cs="Times New Roman"/>
                <w:color w:val="000000"/>
                <w:sz w:val="18"/>
                <w:szCs w:val="18"/>
              </w:rPr>
              <w:t>-</w:t>
            </w:r>
            <w:r>
              <w:rPr>
                <w:rFonts w:hint="default" w:ascii="Times New Roman" w:hAnsi="Times New Roman" w:cs="Times New Roman"/>
                <w:color w:val="000000"/>
                <w:sz w:val="18"/>
                <w:szCs w:val="18"/>
              </w:rPr>
              <w:t>54,895.47</w:t>
            </w:r>
          </w:p>
        </w:tc>
        <w:tc>
          <w:tcPr>
            <w:tcW w:w="841"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right"/>
              <w:rPr>
                <w:rFonts w:hint="default" w:ascii="Calibri" w:hAnsi="Calibri" w:cs="Calibri"/>
                <w:sz w:val="21"/>
                <w:szCs w:val="21"/>
              </w:rPr>
            </w:pPr>
            <w:r>
              <w:rPr>
                <w:rFonts w:hint="default" w:ascii="Times New Roman" w:hAnsi="Times New Roman" w:eastAsia="宋体" w:cs="Times New Roman"/>
                <w:color w:val="000000"/>
                <w:sz w:val="18"/>
                <w:szCs w:val="18"/>
              </w:rPr>
              <w:t>-</w:t>
            </w:r>
            <w:r>
              <w:rPr>
                <w:rFonts w:hint="default" w:ascii="Times New Roman" w:hAnsi="Times New Roman" w:cs="Times New Roman"/>
                <w:color w:val="000000"/>
                <w:sz w:val="18"/>
                <w:szCs w:val="18"/>
              </w:rPr>
              <w:t>26,201.64</w:t>
            </w:r>
          </w:p>
        </w:tc>
      </w:tr>
      <w:bookmarkEnd w:id="241"/>
    </w:tbl>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outlineLvl w:val="3"/>
        <w:rPr>
          <w:rFonts w:hint="eastAsia" w:ascii="Times New Roman" w:hAnsi="Times New Roman" w:eastAsia="宋体" w:cs="Times New Roman"/>
          <w:color w:val="000000"/>
          <w:sz w:val="21"/>
          <w:szCs w:val="21"/>
          <w:lang w:val="en-US" w:eastAsia="zh-CN"/>
        </w:rPr>
      </w:pPr>
      <w:bookmarkStart w:id="242" w:name="_Toc989092"/>
      <w:r>
        <w:rPr>
          <w:rFonts w:hint="eastAsia" w:ascii="Times New Roman" w:hAnsi="Times New Roman" w:eastAsia="宋体" w:cs="Times New Roman"/>
          <w:color w:val="000000"/>
          <w:sz w:val="21"/>
          <w:szCs w:val="21"/>
          <w:lang w:val="en-US" w:eastAsia="zh-CN"/>
        </w:rPr>
        <w:t>2.重要会计估计变更</w:t>
      </w:r>
      <w:bookmarkEnd w:id="242"/>
    </w:p>
    <w:p>
      <w:pPr>
        <w:keepNext w:val="0"/>
        <w:keepLines w:val="0"/>
        <w:pageBreakBefore w:val="0"/>
        <w:kinsoku/>
        <w:wordWrap/>
        <w:overflowPunct/>
        <w:topLinePunct w:val="0"/>
        <w:autoSpaceDE/>
        <w:autoSpaceDN/>
        <w:bidi w:val="0"/>
        <w:adjustRightInd/>
        <w:snapToGrid/>
        <w:spacing w:line="360" w:lineRule="exact"/>
        <w:ind w:firstLine="360" w:firstLineChars="200"/>
        <w:jc w:val="left"/>
        <w:textAlignment w:val="auto"/>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outlineLvl w:val="3"/>
        <w:rPr>
          <w:rFonts w:hint="eastAsia" w:ascii="Times New Roman" w:hAnsi="Times New Roman" w:eastAsia="宋体" w:cs="Times New Roman"/>
          <w:color w:val="000000"/>
          <w:sz w:val="21"/>
          <w:szCs w:val="21"/>
          <w:lang w:val="en-US" w:eastAsia="zh-CN"/>
        </w:rPr>
      </w:pPr>
      <w:bookmarkStart w:id="243" w:name="_Toc989093"/>
      <w:r>
        <w:rPr>
          <w:rFonts w:hint="eastAsia" w:ascii="Times New Roman" w:hAnsi="Times New Roman" w:eastAsia="宋体" w:cs="Times New Roman"/>
          <w:color w:val="000000"/>
          <w:sz w:val="21"/>
          <w:szCs w:val="21"/>
          <w:lang w:val="en-US" w:eastAsia="zh-CN"/>
        </w:rPr>
        <w:t>3.2024年起首次执行新会计准则调整首次执行当年年初财务报表相关项目情况</w:t>
      </w:r>
      <w:bookmarkEnd w:id="243"/>
    </w:p>
    <w:p>
      <w:pPr>
        <w:keepNext w:val="0"/>
        <w:keepLines w:val="0"/>
        <w:pageBreakBefore w:val="0"/>
        <w:kinsoku/>
        <w:wordWrap/>
        <w:overflowPunct/>
        <w:topLinePunct w:val="0"/>
        <w:autoSpaceDE/>
        <w:autoSpaceDN/>
        <w:bidi w:val="0"/>
        <w:adjustRightInd/>
        <w:snapToGrid/>
        <w:spacing w:line="360" w:lineRule="exact"/>
        <w:ind w:firstLine="360" w:firstLineChars="200"/>
        <w:jc w:val="left"/>
        <w:textAlignment w:val="auto"/>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320" w:lineRule="exact"/>
        <w:jc w:val="left"/>
        <w:outlineLvl w:val="1"/>
        <w:rPr>
          <w:rFonts w:ascii="宋体" w:hAnsi="宋体" w:eastAsia="宋体" w:cs="宋体"/>
          <w:b/>
          <w:bCs/>
          <w:sz w:val="24"/>
          <w:szCs w:val="24"/>
        </w:rPr>
      </w:pPr>
      <w:bookmarkStart w:id="244" w:name="_Toc989094"/>
      <w:r>
        <w:rPr>
          <w:rFonts w:ascii="宋体" w:hAnsi="宋体" w:eastAsia="宋体" w:cs="宋体"/>
          <w:b/>
          <w:bCs/>
          <w:sz w:val="24"/>
          <w:szCs w:val="24"/>
        </w:rPr>
        <w:t>六、税项</w:t>
      </w:r>
      <w:bookmarkEnd w:id="244"/>
    </w:p>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2"/>
        <w:rPr>
          <w:rFonts w:ascii="宋体" w:hAnsi="宋体" w:eastAsia="宋体" w:cs="宋体"/>
          <w:b/>
          <w:bCs/>
          <w:sz w:val="21"/>
          <w:szCs w:val="21"/>
        </w:rPr>
      </w:pPr>
      <w:bookmarkStart w:id="245" w:name="_Toc989095"/>
      <w:r>
        <w:rPr>
          <w:rFonts w:hint="eastAsia" w:ascii="宋体" w:hAnsi="宋体" w:cs="宋体"/>
          <w:b/>
          <w:bCs/>
          <w:sz w:val="21"/>
          <w:szCs w:val="21"/>
          <w:lang w:eastAsia="zh-CN"/>
        </w:rPr>
        <w:t>（一）</w:t>
      </w:r>
      <w:r>
        <w:rPr>
          <w:rFonts w:ascii="宋体" w:hAnsi="宋体" w:eastAsia="宋体" w:cs="宋体"/>
          <w:b/>
          <w:bCs/>
          <w:sz w:val="21"/>
          <w:szCs w:val="21"/>
        </w:rPr>
        <w:t>主要税种及税率</w:t>
      </w:r>
      <w:bookmarkEnd w:id="245"/>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税种</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计税依据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税率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增值税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按税法规定计算的销售货物和应税劳务收入为基础计算销项税额，在扣除当期允许抵扣的进项税额后，差额部分为应交增值税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0、6、9、13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城市维护建设税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按实际缴纳的增值税及消费税计缴</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企业所得税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按应纳税所得额计缴</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15</w:t>
            </w:r>
          </w:p>
        </w:tc>
      </w:tr>
    </w:tbl>
    <w:p>
      <w:pPr>
        <w:keepNext/>
        <w:keepLines/>
        <w:spacing w:before="300" w:after="300" w:line="280" w:lineRule="exact"/>
        <w:jc w:val="left"/>
        <w:outlineLvl w:val="2"/>
        <w:rPr>
          <w:rFonts w:ascii="宋体" w:hAnsi="宋体" w:eastAsia="宋体" w:cs="宋体"/>
          <w:b/>
          <w:bCs/>
          <w:sz w:val="21"/>
          <w:szCs w:val="21"/>
        </w:rPr>
      </w:pPr>
      <w:bookmarkStart w:id="246" w:name="_Toc989096"/>
      <w:r>
        <w:rPr>
          <w:rFonts w:hint="eastAsia" w:ascii="宋体" w:hAnsi="宋体" w:cs="宋体"/>
          <w:b/>
          <w:bCs/>
          <w:sz w:val="21"/>
          <w:szCs w:val="21"/>
          <w:lang w:eastAsia="zh-CN"/>
        </w:rPr>
        <w:t>（二）</w:t>
      </w:r>
      <w:r>
        <w:rPr>
          <w:rFonts w:ascii="宋体" w:hAnsi="宋体" w:eastAsia="宋体" w:cs="宋体"/>
          <w:b/>
          <w:bCs/>
          <w:sz w:val="21"/>
          <w:szCs w:val="21"/>
        </w:rPr>
        <w:t>税收优惠</w:t>
      </w:r>
      <w:bookmarkEnd w:id="246"/>
    </w:p>
    <w:p>
      <w:pPr>
        <w:pStyle w:val="4"/>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0"/>
        <w:ind w:left="0" w:right="0" w:firstLine="420" w:firstLineChars="200"/>
        <w:textAlignment w:val="auto"/>
      </w:pPr>
      <w:r>
        <w:rPr>
          <w:rFonts w:hint="eastAsia" w:ascii="宋体" w:hAnsi="宋体" w:eastAsia="宋体" w:cs="宋体"/>
          <w:sz w:val="21"/>
          <w:szCs w:val="21"/>
        </w:rPr>
        <w:t>①本公司及子公司湖南博云东方粉末冶金有限公司、长沙伟徽高科技新材料有限公司和长沙鑫航机轮刹车有限公司，均经湖南省科学技术厅、湖南省财政厅、湖南省国家税务局、湖南省地方税务局联合认定为高新技术企业，有效期三年，本期均适用</w:t>
      </w:r>
      <w:r>
        <w:rPr>
          <w:rFonts w:hint="default" w:ascii="Times New Roman" w:hAnsi="Times New Roman" w:eastAsia="宋体" w:cs="Times New Roman"/>
          <w:sz w:val="21"/>
          <w:szCs w:val="21"/>
        </w:rPr>
        <w:t>15%</w:t>
      </w:r>
      <w:r>
        <w:rPr>
          <w:rFonts w:hint="eastAsia" w:ascii="宋体" w:hAnsi="宋体" w:eastAsia="宋体" w:cs="宋体"/>
          <w:sz w:val="21"/>
          <w:szCs w:val="21"/>
        </w:rPr>
        <w:t>的企业所得税优惠税率。各公司获得高新技术证书的具体日期及证书号如下：</w:t>
      </w:r>
    </w:p>
    <w:tbl>
      <w:tblPr>
        <w:tblStyle w:val="5"/>
        <w:tblW w:w="4580"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3828"/>
        <w:gridCol w:w="3267"/>
        <w:gridCol w:w="193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121"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center"/>
              <w:rPr>
                <w:rFonts w:ascii="Calibri" w:hAnsi="Calibri" w:cs="Calibri"/>
                <w:sz w:val="21"/>
                <w:szCs w:val="21"/>
              </w:rPr>
            </w:pPr>
            <w:r>
              <w:rPr>
                <w:rStyle w:val="7"/>
                <w:rFonts w:hint="eastAsia" w:ascii="宋体" w:hAnsi="宋体" w:eastAsia="宋体" w:cs="宋体"/>
                <w:b/>
                <w:bCs/>
                <w:color w:val="000000"/>
                <w:sz w:val="18"/>
                <w:szCs w:val="18"/>
              </w:rPr>
              <w:t>公</w:t>
            </w:r>
            <w:r>
              <w:rPr>
                <w:rStyle w:val="7"/>
                <w:rFonts w:hint="default" w:ascii="Times New Roman" w:hAnsi="Times New Roman" w:cs="Times New Roman"/>
                <w:b/>
                <w:bCs/>
                <w:color w:val="000000"/>
                <w:sz w:val="18"/>
                <w:szCs w:val="18"/>
              </w:rPr>
              <w:t xml:space="preserve">  </w:t>
            </w:r>
            <w:r>
              <w:rPr>
                <w:rStyle w:val="7"/>
                <w:rFonts w:hint="eastAsia" w:ascii="宋体" w:hAnsi="宋体" w:eastAsia="宋体" w:cs="宋体"/>
                <w:b/>
                <w:bCs/>
                <w:color w:val="000000"/>
                <w:sz w:val="18"/>
                <w:szCs w:val="18"/>
              </w:rPr>
              <w:t>司</w:t>
            </w:r>
          </w:p>
        </w:tc>
        <w:tc>
          <w:tcPr>
            <w:tcW w:w="1810"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Style w:val="7"/>
                <w:rFonts w:hint="eastAsia" w:ascii="宋体" w:hAnsi="宋体" w:eastAsia="宋体" w:cs="宋体"/>
                <w:b/>
                <w:bCs/>
                <w:color w:val="000000"/>
                <w:sz w:val="18"/>
                <w:szCs w:val="18"/>
              </w:rPr>
              <w:t>获得高新技术证书的具体日期</w:t>
            </w:r>
          </w:p>
        </w:tc>
        <w:tc>
          <w:tcPr>
            <w:tcW w:w="1069"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Style w:val="7"/>
                <w:rFonts w:hint="eastAsia" w:ascii="宋体" w:hAnsi="宋体" w:eastAsia="宋体" w:cs="宋体"/>
                <w:b/>
                <w:bCs/>
                <w:color w:val="000000"/>
                <w:sz w:val="18"/>
                <w:szCs w:val="18"/>
              </w:rPr>
              <w:t>证书号</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12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Fonts w:hint="eastAsia" w:ascii="宋体" w:hAnsi="宋体" w:eastAsia="宋体" w:cs="宋体"/>
                <w:color w:val="000000"/>
                <w:sz w:val="18"/>
                <w:szCs w:val="18"/>
              </w:rPr>
              <w:t>湖南博云新材料股份有限公司</w:t>
            </w:r>
          </w:p>
        </w:tc>
        <w:tc>
          <w:tcPr>
            <w:tcW w:w="181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Fonts w:hint="default" w:ascii="Times New Roman" w:hAnsi="Times New Roman" w:cs="Times New Roman"/>
                <w:color w:val="000000"/>
                <w:sz w:val="18"/>
                <w:szCs w:val="18"/>
              </w:rPr>
              <w:t>2023</w:t>
            </w:r>
            <w:r>
              <w:rPr>
                <w:rFonts w:hint="eastAsia" w:ascii="宋体" w:hAnsi="宋体" w:eastAsia="宋体" w:cs="宋体"/>
                <w:color w:val="000000"/>
                <w:sz w:val="18"/>
                <w:szCs w:val="18"/>
              </w:rPr>
              <w:t>年</w:t>
            </w:r>
            <w:r>
              <w:rPr>
                <w:rFonts w:hint="default" w:ascii="Times New Roman" w:hAnsi="Times New Roman" w:eastAsia="宋体" w:cs="Times New Roman"/>
                <w:color w:val="000000"/>
                <w:sz w:val="18"/>
                <w:szCs w:val="18"/>
              </w:rPr>
              <w:t>1</w:t>
            </w:r>
            <w:r>
              <w:rPr>
                <w:rFonts w:hint="default" w:ascii="Times New Roman" w:hAnsi="Times New Roman" w:cs="Times New Roman"/>
                <w:color w:val="000000"/>
                <w:sz w:val="18"/>
                <w:szCs w:val="18"/>
              </w:rPr>
              <w:t>0</w:t>
            </w:r>
            <w:r>
              <w:rPr>
                <w:rFonts w:hint="eastAsia" w:ascii="宋体" w:hAnsi="宋体" w:eastAsia="宋体" w:cs="宋体"/>
                <w:color w:val="000000"/>
                <w:sz w:val="18"/>
                <w:szCs w:val="18"/>
              </w:rPr>
              <w:t>月</w:t>
            </w:r>
            <w:r>
              <w:rPr>
                <w:rFonts w:hint="default" w:ascii="Times New Roman" w:hAnsi="Times New Roman" w:cs="Times New Roman"/>
                <w:color w:val="000000"/>
                <w:sz w:val="18"/>
                <w:szCs w:val="18"/>
              </w:rPr>
              <w:t>16</w:t>
            </w:r>
            <w:r>
              <w:rPr>
                <w:rFonts w:hint="eastAsia" w:ascii="宋体" w:hAnsi="宋体" w:eastAsia="宋体" w:cs="宋体"/>
                <w:color w:val="000000"/>
                <w:sz w:val="18"/>
                <w:szCs w:val="18"/>
              </w:rPr>
              <w:t>日</w:t>
            </w:r>
          </w:p>
        </w:tc>
        <w:tc>
          <w:tcPr>
            <w:tcW w:w="1069"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default" w:ascii="Times New Roman" w:hAnsi="Times New Roman" w:cs="Times New Roman"/>
                <w:color w:val="000000"/>
                <w:sz w:val="18"/>
                <w:szCs w:val="18"/>
              </w:rPr>
              <w:t>GR202343000922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12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Fonts w:hint="eastAsia" w:ascii="宋体" w:hAnsi="宋体" w:eastAsia="宋体" w:cs="宋体"/>
                <w:color w:val="000000"/>
                <w:sz w:val="18"/>
                <w:szCs w:val="18"/>
              </w:rPr>
              <w:t>湖南博云东方粉末冶金有限公司</w:t>
            </w:r>
          </w:p>
        </w:tc>
        <w:tc>
          <w:tcPr>
            <w:tcW w:w="181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Fonts w:hint="default" w:ascii="Times New Roman" w:hAnsi="Times New Roman" w:cs="Times New Roman"/>
                <w:color w:val="000000"/>
                <w:sz w:val="18"/>
                <w:szCs w:val="18"/>
              </w:rPr>
              <w:t>2023</w:t>
            </w:r>
            <w:r>
              <w:rPr>
                <w:rFonts w:hint="eastAsia" w:ascii="宋体" w:hAnsi="宋体" w:eastAsia="宋体" w:cs="宋体"/>
                <w:color w:val="000000"/>
                <w:sz w:val="18"/>
                <w:szCs w:val="18"/>
              </w:rPr>
              <w:t>年</w:t>
            </w:r>
            <w:r>
              <w:rPr>
                <w:rFonts w:hint="default" w:ascii="Times New Roman" w:hAnsi="Times New Roman" w:cs="Times New Roman"/>
                <w:color w:val="000000"/>
                <w:sz w:val="18"/>
                <w:szCs w:val="18"/>
              </w:rPr>
              <w:t>10</w:t>
            </w:r>
            <w:r>
              <w:rPr>
                <w:rFonts w:hint="eastAsia" w:ascii="宋体" w:hAnsi="宋体" w:eastAsia="宋体" w:cs="宋体"/>
                <w:color w:val="000000"/>
                <w:sz w:val="18"/>
                <w:szCs w:val="18"/>
              </w:rPr>
              <w:t>月</w:t>
            </w:r>
            <w:r>
              <w:rPr>
                <w:rFonts w:hint="default" w:ascii="Times New Roman" w:hAnsi="Times New Roman" w:eastAsia="宋体" w:cs="Times New Roman"/>
                <w:color w:val="000000"/>
                <w:sz w:val="18"/>
                <w:szCs w:val="18"/>
              </w:rPr>
              <w:t>1</w:t>
            </w:r>
            <w:r>
              <w:rPr>
                <w:rFonts w:hint="default" w:ascii="Times New Roman" w:hAnsi="Times New Roman" w:cs="Times New Roman"/>
                <w:color w:val="000000"/>
                <w:sz w:val="18"/>
                <w:szCs w:val="18"/>
              </w:rPr>
              <w:t>6</w:t>
            </w:r>
            <w:r>
              <w:rPr>
                <w:rFonts w:hint="eastAsia" w:ascii="宋体" w:hAnsi="宋体" w:eastAsia="宋体" w:cs="宋体"/>
                <w:color w:val="000000"/>
                <w:sz w:val="18"/>
                <w:szCs w:val="18"/>
              </w:rPr>
              <w:t>日</w:t>
            </w:r>
          </w:p>
        </w:tc>
        <w:tc>
          <w:tcPr>
            <w:tcW w:w="1069"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default" w:ascii="Times New Roman" w:hAnsi="Times New Roman" w:cs="Times New Roman"/>
                <w:color w:val="000000"/>
                <w:sz w:val="18"/>
                <w:szCs w:val="18"/>
              </w:rPr>
              <w:t>GR202343003684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12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Fonts w:hint="eastAsia" w:ascii="宋体" w:hAnsi="宋体" w:eastAsia="宋体" w:cs="宋体"/>
                <w:color w:val="000000"/>
                <w:sz w:val="18"/>
                <w:szCs w:val="18"/>
              </w:rPr>
              <w:t>长沙伟徽高科技新材料有限公司</w:t>
            </w:r>
          </w:p>
        </w:tc>
        <w:tc>
          <w:tcPr>
            <w:tcW w:w="181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Fonts w:hint="default" w:ascii="Times New Roman" w:hAnsi="Times New Roman" w:cs="Times New Roman"/>
                <w:color w:val="000000"/>
                <w:sz w:val="18"/>
                <w:szCs w:val="18"/>
              </w:rPr>
              <w:t>2023</w:t>
            </w:r>
            <w:r>
              <w:rPr>
                <w:rFonts w:hint="eastAsia" w:ascii="宋体" w:hAnsi="宋体" w:eastAsia="宋体" w:cs="宋体"/>
                <w:color w:val="000000"/>
                <w:sz w:val="18"/>
                <w:szCs w:val="18"/>
              </w:rPr>
              <w:t>年</w:t>
            </w:r>
            <w:r>
              <w:rPr>
                <w:rFonts w:hint="default" w:ascii="Times New Roman" w:hAnsi="Times New Roman" w:eastAsia="宋体" w:cs="Times New Roman"/>
                <w:color w:val="000000"/>
                <w:sz w:val="18"/>
                <w:szCs w:val="18"/>
              </w:rPr>
              <w:t>1</w:t>
            </w:r>
            <w:r>
              <w:rPr>
                <w:rFonts w:hint="default" w:ascii="Times New Roman" w:hAnsi="Times New Roman" w:cs="Times New Roman"/>
                <w:color w:val="000000"/>
                <w:sz w:val="18"/>
                <w:szCs w:val="18"/>
              </w:rPr>
              <w:t>0</w:t>
            </w:r>
            <w:r>
              <w:rPr>
                <w:rFonts w:hint="eastAsia" w:ascii="宋体" w:hAnsi="宋体" w:eastAsia="宋体" w:cs="宋体"/>
                <w:color w:val="000000"/>
                <w:sz w:val="18"/>
                <w:szCs w:val="18"/>
              </w:rPr>
              <w:t>月</w:t>
            </w:r>
            <w:r>
              <w:rPr>
                <w:rFonts w:hint="default" w:ascii="Times New Roman" w:hAnsi="Times New Roman" w:cs="Times New Roman"/>
                <w:color w:val="000000"/>
                <w:sz w:val="18"/>
                <w:szCs w:val="18"/>
              </w:rPr>
              <w:t>16</w:t>
            </w:r>
            <w:r>
              <w:rPr>
                <w:rFonts w:hint="eastAsia" w:ascii="宋体" w:hAnsi="宋体" w:eastAsia="宋体" w:cs="宋体"/>
                <w:color w:val="000000"/>
                <w:sz w:val="18"/>
                <w:szCs w:val="18"/>
              </w:rPr>
              <w:t>日</w:t>
            </w:r>
          </w:p>
        </w:tc>
        <w:tc>
          <w:tcPr>
            <w:tcW w:w="1069"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default" w:ascii="Times New Roman" w:hAnsi="Times New Roman" w:cs="Times New Roman"/>
                <w:color w:val="000000"/>
                <w:sz w:val="18"/>
                <w:szCs w:val="18"/>
              </w:rPr>
              <w:t>GR202343003142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212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Fonts w:hint="eastAsia" w:ascii="宋体" w:hAnsi="宋体" w:eastAsia="宋体" w:cs="宋体"/>
                <w:color w:val="000000"/>
                <w:sz w:val="18"/>
                <w:szCs w:val="18"/>
              </w:rPr>
              <w:t>长沙鑫航机轮刹车有限公司</w:t>
            </w:r>
          </w:p>
        </w:tc>
        <w:tc>
          <w:tcPr>
            <w:tcW w:w="181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Fonts w:hint="default" w:ascii="Times New Roman" w:hAnsi="Times New Roman" w:cs="Times New Roman"/>
                <w:color w:val="000000"/>
                <w:sz w:val="18"/>
                <w:szCs w:val="18"/>
              </w:rPr>
              <w:t>20</w:t>
            </w:r>
            <w:r>
              <w:rPr>
                <w:rFonts w:hint="default" w:ascii="Times New Roman" w:hAnsi="Times New Roman" w:eastAsia="宋体" w:cs="Times New Roman"/>
                <w:color w:val="000000"/>
                <w:sz w:val="18"/>
                <w:szCs w:val="18"/>
              </w:rPr>
              <w:t>24</w:t>
            </w:r>
            <w:r>
              <w:rPr>
                <w:rFonts w:hint="eastAsia" w:ascii="宋体" w:hAnsi="宋体" w:eastAsia="宋体" w:cs="宋体"/>
                <w:color w:val="000000"/>
                <w:sz w:val="18"/>
                <w:szCs w:val="18"/>
              </w:rPr>
              <w:t>年</w:t>
            </w:r>
            <w:r>
              <w:rPr>
                <w:rFonts w:hint="default" w:ascii="Times New Roman" w:hAnsi="Times New Roman" w:eastAsia="宋体" w:cs="Times New Roman"/>
                <w:color w:val="000000"/>
                <w:sz w:val="18"/>
                <w:szCs w:val="18"/>
              </w:rPr>
              <w:t>11</w:t>
            </w:r>
            <w:r>
              <w:rPr>
                <w:rFonts w:hint="eastAsia" w:ascii="宋体" w:hAnsi="宋体" w:eastAsia="宋体" w:cs="宋体"/>
                <w:color w:val="000000"/>
                <w:sz w:val="18"/>
                <w:szCs w:val="18"/>
              </w:rPr>
              <w:t>月</w:t>
            </w:r>
            <w:r>
              <w:rPr>
                <w:rFonts w:hint="default" w:ascii="Times New Roman" w:hAnsi="Times New Roman" w:cs="Times New Roman"/>
                <w:color w:val="000000"/>
                <w:sz w:val="18"/>
                <w:szCs w:val="18"/>
              </w:rPr>
              <w:t>1</w:t>
            </w:r>
            <w:r>
              <w:rPr>
                <w:rFonts w:hint="eastAsia" w:ascii="宋体" w:hAnsi="宋体" w:eastAsia="宋体" w:cs="宋体"/>
                <w:color w:val="000000"/>
                <w:sz w:val="18"/>
                <w:szCs w:val="18"/>
              </w:rPr>
              <w:t>日</w:t>
            </w:r>
          </w:p>
        </w:tc>
        <w:tc>
          <w:tcPr>
            <w:tcW w:w="1069"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default" w:ascii="Times New Roman" w:hAnsi="Times New Roman" w:cs="Times New Roman"/>
                <w:color w:val="000000"/>
                <w:sz w:val="18"/>
                <w:szCs w:val="18"/>
              </w:rPr>
              <w:t>GR202443001321</w:t>
            </w:r>
          </w:p>
        </w:tc>
      </w:tr>
    </w:tbl>
    <w:p>
      <w:pPr>
        <w:pStyle w:val="4"/>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0"/>
        <w:ind w:left="0"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②根据《财政部、税务总局公告</w:t>
      </w:r>
      <w:r>
        <w:rPr>
          <w:rFonts w:hint="default" w:ascii="宋体" w:hAnsi="宋体" w:eastAsia="宋体" w:cs="宋体"/>
          <w:sz w:val="21"/>
          <w:szCs w:val="21"/>
        </w:rPr>
        <w:t>2023</w:t>
      </w:r>
      <w:r>
        <w:rPr>
          <w:rFonts w:hint="eastAsia" w:ascii="宋体" w:hAnsi="宋体" w:eastAsia="宋体" w:cs="宋体"/>
          <w:sz w:val="21"/>
          <w:szCs w:val="21"/>
        </w:rPr>
        <w:t>年第</w:t>
      </w:r>
      <w:r>
        <w:rPr>
          <w:rFonts w:hint="default" w:ascii="宋体" w:hAnsi="宋体" w:eastAsia="宋体" w:cs="宋体"/>
          <w:sz w:val="21"/>
          <w:szCs w:val="21"/>
        </w:rPr>
        <w:t>7</w:t>
      </w:r>
      <w:r>
        <w:rPr>
          <w:rFonts w:hint="eastAsia" w:ascii="宋体" w:hAnsi="宋体" w:eastAsia="宋体" w:cs="宋体"/>
          <w:sz w:val="21"/>
          <w:szCs w:val="21"/>
        </w:rPr>
        <w:t>号 财政部 税务总局关于进一步完善研发费用税前加计扣除政策的公告》，企业开展研发活动中实际发生的研发费用，未形成无形资产计入当期损益的，在按规定据实扣除的基础上，自</w:t>
      </w:r>
      <w:r>
        <w:rPr>
          <w:rFonts w:hint="default" w:ascii="宋体" w:hAnsi="宋体" w:eastAsia="宋体" w:cs="宋体"/>
          <w:sz w:val="21"/>
          <w:szCs w:val="21"/>
        </w:rPr>
        <w:t>2023</w:t>
      </w:r>
      <w:r>
        <w:rPr>
          <w:rFonts w:hint="eastAsia" w:ascii="宋体" w:hAnsi="宋体" w:eastAsia="宋体" w:cs="宋体"/>
          <w:sz w:val="21"/>
          <w:szCs w:val="21"/>
        </w:rPr>
        <w:t>年</w:t>
      </w:r>
      <w:r>
        <w:rPr>
          <w:rFonts w:hint="default" w:ascii="宋体" w:hAnsi="宋体" w:eastAsia="宋体" w:cs="宋体"/>
          <w:sz w:val="21"/>
          <w:szCs w:val="21"/>
        </w:rPr>
        <w:t>1</w:t>
      </w:r>
      <w:r>
        <w:rPr>
          <w:rFonts w:hint="eastAsia" w:ascii="宋体" w:hAnsi="宋体" w:eastAsia="宋体" w:cs="宋体"/>
          <w:sz w:val="21"/>
          <w:szCs w:val="21"/>
        </w:rPr>
        <w:t>月</w:t>
      </w:r>
      <w:r>
        <w:rPr>
          <w:rFonts w:hint="default" w:ascii="宋体" w:hAnsi="宋体" w:eastAsia="宋体" w:cs="宋体"/>
          <w:sz w:val="21"/>
          <w:szCs w:val="21"/>
        </w:rPr>
        <w:t>1</w:t>
      </w:r>
      <w:r>
        <w:rPr>
          <w:rFonts w:hint="eastAsia" w:ascii="宋体" w:hAnsi="宋体" w:eastAsia="宋体" w:cs="宋体"/>
          <w:sz w:val="21"/>
          <w:szCs w:val="21"/>
        </w:rPr>
        <w:t>日起，再按照实际发生额的</w:t>
      </w:r>
      <w:r>
        <w:rPr>
          <w:rFonts w:hint="default" w:ascii="宋体" w:hAnsi="宋体" w:eastAsia="宋体" w:cs="宋体"/>
          <w:sz w:val="21"/>
          <w:szCs w:val="21"/>
        </w:rPr>
        <w:t>100%</w:t>
      </w:r>
      <w:r>
        <w:rPr>
          <w:rFonts w:hint="eastAsia" w:ascii="宋体" w:hAnsi="宋体" w:eastAsia="宋体" w:cs="宋体"/>
          <w:sz w:val="21"/>
          <w:szCs w:val="21"/>
        </w:rPr>
        <w:t>在税前加计扣除</w:t>
      </w:r>
      <w:r>
        <w:rPr>
          <w:rFonts w:hint="default" w:ascii="宋体" w:hAnsi="宋体" w:eastAsia="宋体" w:cs="宋体"/>
          <w:sz w:val="21"/>
          <w:szCs w:val="21"/>
        </w:rPr>
        <w:t>;</w:t>
      </w:r>
      <w:r>
        <w:rPr>
          <w:rFonts w:hint="eastAsia" w:ascii="宋体" w:hAnsi="宋体" w:eastAsia="宋体" w:cs="宋体"/>
          <w:sz w:val="21"/>
          <w:szCs w:val="21"/>
        </w:rPr>
        <w:t>形成无形资产的，自</w:t>
      </w:r>
      <w:r>
        <w:rPr>
          <w:rFonts w:hint="default" w:ascii="宋体" w:hAnsi="宋体" w:eastAsia="宋体" w:cs="宋体"/>
          <w:sz w:val="21"/>
          <w:szCs w:val="21"/>
        </w:rPr>
        <w:t>2023</w:t>
      </w:r>
      <w:r>
        <w:rPr>
          <w:rFonts w:hint="eastAsia" w:ascii="宋体" w:hAnsi="宋体" w:eastAsia="宋体" w:cs="宋体"/>
          <w:sz w:val="21"/>
          <w:szCs w:val="21"/>
        </w:rPr>
        <w:t>年</w:t>
      </w:r>
      <w:r>
        <w:rPr>
          <w:rFonts w:hint="default" w:ascii="宋体" w:hAnsi="宋体" w:eastAsia="宋体" w:cs="宋体"/>
          <w:sz w:val="21"/>
          <w:szCs w:val="21"/>
        </w:rPr>
        <w:t>1</w:t>
      </w:r>
      <w:r>
        <w:rPr>
          <w:rFonts w:hint="eastAsia" w:ascii="宋体" w:hAnsi="宋体" w:eastAsia="宋体" w:cs="宋体"/>
          <w:sz w:val="21"/>
          <w:szCs w:val="21"/>
        </w:rPr>
        <w:t>月</w:t>
      </w:r>
      <w:r>
        <w:rPr>
          <w:rFonts w:hint="default" w:ascii="宋体" w:hAnsi="宋体" w:eastAsia="宋体" w:cs="宋体"/>
          <w:sz w:val="21"/>
          <w:szCs w:val="21"/>
        </w:rPr>
        <w:t>1</w:t>
      </w:r>
      <w:r>
        <w:rPr>
          <w:rFonts w:hint="eastAsia" w:ascii="宋体" w:hAnsi="宋体" w:eastAsia="宋体" w:cs="宋体"/>
          <w:sz w:val="21"/>
          <w:szCs w:val="21"/>
        </w:rPr>
        <w:t>日起，按照无形资产成本的</w:t>
      </w:r>
      <w:r>
        <w:rPr>
          <w:rFonts w:hint="default" w:ascii="宋体" w:hAnsi="宋体" w:eastAsia="宋体" w:cs="宋体"/>
          <w:sz w:val="21"/>
          <w:szCs w:val="21"/>
        </w:rPr>
        <w:t>200%</w:t>
      </w:r>
      <w:r>
        <w:rPr>
          <w:rFonts w:hint="eastAsia" w:ascii="宋体" w:hAnsi="宋体" w:eastAsia="宋体" w:cs="宋体"/>
          <w:sz w:val="21"/>
          <w:szCs w:val="21"/>
        </w:rPr>
        <w:t>在税前摊销。</w:t>
      </w:r>
    </w:p>
    <w:p>
      <w:pPr>
        <w:keepNext/>
        <w:keepLines/>
        <w:pageBreakBefore w:val="0"/>
        <w:widowControl w:val="0"/>
        <w:numPr>
          <w:ilvl w:val="0"/>
          <w:numId w:val="1"/>
        </w:numPr>
        <w:kinsoku/>
        <w:wordWrap/>
        <w:overflowPunct/>
        <w:topLinePunct w:val="0"/>
        <w:autoSpaceDE/>
        <w:autoSpaceDN/>
        <w:bidi w:val="0"/>
        <w:adjustRightInd/>
        <w:snapToGrid/>
        <w:spacing w:before="157" w:beforeLines="50" w:line="280" w:lineRule="exact"/>
        <w:jc w:val="left"/>
        <w:textAlignment w:val="auto"/>
        <w:outlineLvl w:val="2"/>
        <w:rPr>
          <w:rFonts w:ascii="宋体" w:hAnsi="宋体" w:eastAsia="宋体" w:cs="宋体"/>
          <w:b/>
          <w:bCs/>
          <w:sz w:val="21"/>
          <w:szCs w:val="21"/>
        </w:rPr>
      </w:pPr>
      <w:bookmarkStart w:id="247" w:name="_Toc989097"/>
      <w:r>
        <w:rPr>
          <w:rFonts w:ascii="宋体" w:hAnsi="宋体" w:eastAsia="宋体" w:cs="宋体"/>
          <w:b/>
          <w:bCs/>
          <w:sz w:val="21"/>
          <w:szCs w:val="21"/>
        </w:rPr>
        <w:t>其他</w:t>
      </w:r>
      <w:bookmarkEnd w:id="247"/>
    </w:p>
    <w:p>
      <w:pPr>
        <w:pStyle w:val="2"/>
        <w:pageBreakBefore w:val="0"/>
        <w:widowControl w:val="0"/>
        <w:numPr>
          <w:ilvl w:val="0"/>
          <w:numId w:val="0"/>
        </w:numPr>
        <w:kinsoku/>
        <w:wordWrap/>
        <w:overflowPunct/>
        <w:topLinePunct w:val="0"/>
        <w:autoSpaceDE/>
        <w:autoSpaceDN/>
        <w:bidi w:val="0"/>
        <w:adjustRightInd/>
        <w:snapToGrid/>
        <w:spacing w:before="157" w:beforeLines="50"/>
        <w:ind w:firstLine="210" w:firstLineChars="100"/>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无。</w:t>
      </w:r>
    </w:p>
    <w:p>
      <w:pPr>
        <w:keepNext/>
        <w:keepLines/>
        <w:spacing w:before="300" w:after="300" w:line="320" w:lineRule="exact"/>
        <w:jc w:val="left"/>
        <w:outlineLvl w:val="1"/>
        <w:rPr>
          <w:rFonts w:ascii="宋体" w:hAnsi="宋体" w:eastAsia="宋体" w:cs="宋体"/>
          <w:b/>
          <w:bCs/>
          <w:sz w:val="24"/>
          <w:szCs w:val="24"/>
        </w:rPr>
      </w:pPr>
      <w:r>
        <w:rPr>
          <w:rFonts w:ascii="宋体" w:hAnsi="宋体" w:eastAsia="宋体" w:cs="宋体"/>
          <w:b/>
          <w:bCs/>
          <w:sz w:val="24"/>
          <w:szCs w:val="24"/>
        </w:rPr>
        <w:t>七、合并财务报表项目注释</w:t>
      </w:r>
      <w:bookmarkEnd w:id="176"/>
    </w:p>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2"/>
        <w:rPr>
          <w:rFonts w:ascii="宋体" w:hAnsi="宋体" w:eastAsia="宋体" w:cs="宋体"/>
          <w:b/>
          <w:bCs/>
          <w:sz w:val="21"/>
          <w:szCs w:val="21"/>
        </w:rPr>
      </w:pPr>
      <w:bookmarkStart w:id="248" w:name="_Toc989099"/>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一</w:t>
      </w:r>
      <w:r>
        <w:rPr>
          <w:rFonts w:hint="eastAsia" w:ascii="宋体" w:hAnsi="宋体" w:eastAsia="宋体" w:cs="宋体"/>
          <w:b/>
          <w:bCs/>
          <w:sz w:val="21"/>
          <w:szCs w:val="21"/>
          <w:lang w:eastAsia="zh-CN"/>
        </w:rPr>
        <w:t>）</w:t>
      </w:r>
      <w:r>
        <w:rPr>
          <w:rFonts w:ascii="宋体" w:hAnsi="宋体" w:eastAsia="宋体" w:cs="宋体"/>
          <w:b/>
          <w:bCs/>
          <w:sz w:val="21"/>
          <w:szCs w:val="21"/>
        </w:rPr>
        <w:t>货币资金</w:t>
      </w:r>
      <w:bookmarkEnd w:id="248"/>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银行存款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539,568,356.57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464,550,942.21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其他货币资金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21,201,154.58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47,576,382.95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560,769,511.15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512,127,325.16</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0"/>
        <w:ind w:left="0" w:right="0"/>
        <w:textAlignment w:val="auto"/>
      </w:pPr>
      <w:r>
        <w:rPr>
          <w:rFonts w:hint="eastAsia" w:ascii="宋体" w:hAnsi="宋体" w:eastAsia="宋体" w:cs="宋体"/>
          <w:sz w:val="21"/>
          <w:szCs w:val="21"/>
        </w:rPr>
        <w:t>其中因抵押、质押或冻结等对使用有限制，因资金集中管理支取受限，以及放在境外且资金汇回受到限制的货币资金明细如下：</w:t>
      </w:r>
      <w:r>
        <w:rPr>
          <w:rFonts w:hint="eastAsia" w:ascii="宋体" w:hAnsi="宋体" w:eastAsia="宋体" w:cs="宋体"/>
          <w:sz w:val="18"/>
          <w:szCs w:val="18"/>
        </w:rPr>
        <w:t> </w:t>
      </w:r>
    </w:p>
    <w:tbl>
      <w:tblPr>
        <w:tblStyle w:val="5"/>
        <w:tblW w:w="4580"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3855"/>
        <w:gridCol w:w="2585"/>
        <w:gridCol w:w="258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33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center"/>
              <w:rPr>
                <w:rFonts w:ascii="Calibri" w:hAnsi="Calibri" w:cs="Calibri"/>
                <w:sz w:val="21"/>
                <w:szCs w:val="21"/>
              </w:rPr>
            </w:pPr>
            <w:r>
              <w:rPr>
                <w:rFonts w:hint="eastAsia" w:ascii="宋体" w:hAnsi="宋体" w:eastAsia="宋体" w:cs="宋体"/>
                <w:sz w:val="18"/>
                <w:szCs w:val="18"/>
              </w:rPr>
              <w:t>项目</w:t>
            </w:r>
          </w:p>
        </w:tc>
        <w:tc>
          <w:tcPr>
            <w:tcW w:w="223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eastAsia" w:ascii="宋体" w:hAnsi="宋体" w:eastAsia="宋体" w:cs="宋体"/>
                <w:sz w:val="18"/>
                <w:szCs w:val="18"/>
              </w:rPr>
              <w:t>期末余额</w:t>
            </w:r>
          </w:p>
        </w:tc>
        <w:tc>
          <w:tcPr>
            <w:tcW w:w="223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eastAsia" w:ascii="宋体" w:hAnsi="宋体" w:eastAsia="宋体" w:cs="宋体"/>
                <w:sz w:val="18"/>
                <w:szCs w:val="18"/>
              </w:rPr>
              <w:t>上年年末余额</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33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left"/>
              <w:rPr>
                <w:rFonts w:hint="default" w:ascii="Calibri" w:hAnsi="Calibri" w:cs="Calibri"/>
                <w:sz w:val="21"/>
                <w:szCs w:val="21"/>
              </w:rPr>
            </w:pPr>
            <w:r>
              <w:rPr>
                <w:rFonts w:hint="eastAsia" w:ascii="宋体" w:hAnsi="宋体" w:eastAsia="宋体" w:cs="宋体"/>
                <w:sz w:val="18"/>
                <w:szCs w:val="18"/>
              </w:rPr>
              <w:t>银行承兑汇票保证金</w:t>
            </w:r>
          </w:p>
        </w:tc>
        <w:tc>
          <w:tcPr>
            <w:tcW w:w="22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right"/>
              <w:rPr>
                <w:rFonts w:hint="default" w:ascii="Calibri" w:hAnsi="Calibri" w:cs="Calibri"/>
                <w:sz w:val="21"/>
                <w:szCs w:val="21"/>
              </w:rPr>
            </w:pPr>
            <w:r>
              <w:rPr>
                <w:rFonts w:hint="default" w:ascii="Times New Roman" w:hAnsi="Times New Roman" w:cs="Times New Roman"/>
                <w:color w:val="000000"/>
                <w:sz w:val="18"/>
                <w:szCs w:val="18"/>
              </w:rPr>
              <w:t>15,244,120.52</w:t>
            </w:r>
          </w:p>
        </w:tc>
        <w:tc>
          <w:tcPr>
            <w:tcW w:w="22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right"/>
              <w:rPr>
                <w:rFonts w:hint="default" w:ascii="Calibri" w:hAnsi="Calibri" w:cs="Calibri"/>
                <w:sz w:val="21"/>
                <w:szCs w:val="21"/>
              </w:rPr>
            </w:pPr>
            <w:r>
              <w:rPr>
                <w:rFonts w:hint="default" w:ascii="Times New Roman" w:hAnsi="Times New Roman" w:eastAsia="宋体" w:cs="Times New Roman"/>
                <w:color w:val="000000"/>
                <w:sz w:val="18"/>
                <w:szCs w:val="18"/>
              </w:rPr>
              <w:t>23,165,236.26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33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left"/>
              <w:rPr>
                <w:rFonts w:hint="default" w:ascii="Calibri" w:hAnsi="Calibri" w:cs="Calibri"/>
                <w:sz w:val="21"/>
                <w:szCs w:val="21"/>
              </w:rPr>
            </w:pPr>
            <w:r>
              <w:rPr>
                <w:rFonts w:hint="eastAsia" w:ascii="宋体" w:hAnsi="宋体" w:eastAsia="宋体" w:cs="宋体"/>
                <w:sz w:val="18"/>
                <w:szCs w:val="18"/>
              </w:rPr>
              <w:t>信用证保证金</w:t>
            </w:r>
          </w:p>
        </w:tc>
        <w:tc>
          <w:tcPr>
            <w:tcW w:w="22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right"/>
              <w:rPr>
                <w:rFonts w:hint="default" w:ascii="Calibri" w:hAnsi="Calibri" w:cs="Calibri"/>
                <w:sz w:val="21"/>
                <w:szCs w:val="21"/>
              </w:rPr>
            </w:pPr>
            <w:r>
              <w:rPr>
                <w:rFonts w:hint="default" w:ascii="Times New Roman" w:hAnsi="Times New Roman" w:cs="Times New Roman"/>
                <w:color w:val="000000"/>
                <w:sz w:val="18"/>
                <w:szCs w:val="18"/>
              </w:rPr>
              <w:t>5,957,034.06</w:t>
            </w:r>
          </w:p>
        </w:tc>
        <w:tc>
          <w:tcPr>
            <w:tcW w:w="22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right"/>
              <w:rPr>
                <w:rFonts w:hint="default" w:ascii="Calibri" w:hAnsi="Calibri" w:cs="Calibri"/>
                <w:sz w:val="21"/>
                <w:szCs w:val="21"/>
              </w:rPr>
            </w:pPr>
            <w:r>
              <w:rPr>
                <w:rFonts w:hint="default" w:ascii="Times New Roman" w:hAnsi="Times New Roman" w:eastAsia="宋体" w:cs="Times New Roman"/>
                <w:color w:val="000000"/>
                <w:sz w:val="18"/>
                <w:szCs w:val="18"/>
              </w:rPr>
              <w:t>23,943,458.33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333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Fonts w:hint="eastAsia" w:ascii="宋体" w:hAnsi="宋体" w:eastAsia="宋体" w:cs="宋体"/>
                <w:color w:val="000000"/>
                <w:sz w:val="18"/>
                <w:szCs w:val="18"/>
              </w:rPr>
              <w:t>保函保证金</w:t>
            </w:r>
          </w:p>
        </w:tc>
        <w:tc>
          <w:tcPr>
            <w:tcW w:w="22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right"/>
              <w:rPr>
                <w:rFonts w:hint="default" w:ascii="Calibri" w:hAnsi="Calibri" w:cs="Calibri"/>
                <w:sz w:val="21"/>
                <w:szCs w:val="21"/>
              </w:rPr>
            </w:pPr>
            <w:r>
              <w:rPr>
                <w:rFonts w:hint="default" w:ascii="Times New Roman" w:hAnsi="Times New Roman" w:cs="Times New Roman"/>
                <w:color w:val="000000"/>
                <w:sz w:val="18"/>
                <w:szCs w:val="18"/>
              </w:rPr>
              <w:t> </w:t>
            </w:r>
          </w:p>
        </w:tc>
        <w:tc>
          <w:tcPr>
            <w:tcW w:w="22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right"/>
              <w:rPr>
                <w:rFonts w:hint="default" w:ascii="Calibri" w:hAnsi="Calibri" w:cs="Calibri"/>
                <w:sz w:val="21"/>
                <w:szCs w:val="21"/>
              </w:rPr>
            </w:pPr>
            <w:r>
              <w:rPr>
                <w:rFonts w:hint="default" w:ascii="Times New Roman" w:hAnsi="Times New Roman" w:eastAsia="宋体" w:cs="Times New Roman"/>
                <w:color w:val="000000"/>
                <w:sz w:val="18"/>
                <w:szCs w:val="18"/>
              </w:rPr>
              <w:t>467,688.36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333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eastAsia" w:ascii="宋体" w:hAnsi="宋体" w:eastAsia="宋体" w:cs="宋体"/>
                <w:sz w:val="18"/>
                <w:szCs w:val="18"/>
              </w:rPr>
              <w:t>合计</w:t>
            </w:r>
          </w:p>
        </w:tc>
        <w:tc>
          <w:tcPr>
            <w:tcW w:w="22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right"/>
              <w:rPr>
                <w:rFonts w:hint="default" w:ascii="Calibri" w:hAnsi="Calibri" w:cs="Calibri"/>
                <w:sz w:val="21"/>
                <w:szCs w:val="21"/>
              </w:rPr>
            </w:pPr>
            <w:r>
              <w:rPr>
                <w:rFonts w:hint="default" w:ascii="Times New Roman" w:hAnsi="Times New Roman" w:cs="Times New Roman"/>
                <w:color w:val="000000"/>
                <w:sz w:val="18"/>
                <w:szCs w:val="18"/>
              </w:rPr>
              <w:t>21,201,154.58</w:t>
            </w:r>
          </w:p>
        </w:tc>
        <w:tc>
          <w:tcPr>
            <w:tcW w:w="22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right"/>
              <w:rPr>
                <w:rFonts w:hint="default" w:ascii="Calibri" w:hAnsi="Calibri" w:cs="Calibri"/>
                <w:sz w:val="21"/>
                <w:szCs w:val="21"/>
              </w:rPr>
            </w:pPr>
            <w:r>
              <w:rPr>
                <w:rFonts w:hint="default" w:ascii="Times New Roman" w:hAnsi="Times New Roman" w:eastAsia="宋体" w:cs="Times New Roman"/>
                <w:color w:val="000000"/>
                <w:sz w:val="18"/>
                <w:szCs w:val="18"/>
              </w:rPr>
              <w:t>47,576,382.95</w:t>
            </w:r>
          </w:p>
        </w:tc>
      </w:tr>
    </w:tbl>
    <w:p>
      <w:pPr>
        <w:keepNext/>
        <w:keepLines/>
        <w:spacing w:before="300" w:after="300" w:line="280" w:lineRule="exact"/>
        <w:jc w:val="left"/>
        <w:outlineLvl w:val="2"/>
        <w:rPr>
          <w:rFonts w:hint="eastAsia" w:ascii="宋体" w:hAnsi="宋体" w:eastAsia="宋体" w:cs="宋体"/>
          <w:b/>
          <w:bCs/>
          <w:sz w:val="21"/>
          <w:szCs w:val="21"/>
          <w:lang w:eastAsia="zh-CN"/>
        </w:rPr>
      </w:pPr>
      <w:bookmarkStart w:id="249" w:name="_Toc989100"/>
      <w:r>
        <w:rPr>
          <w:rFonts w:hint="eastAsia" w:ascii="宋体" w:hAnsi="宋体" w:eastAsia="宋体" w:cs="宋体"/>
          <w:b/>
          <w:bCs/>
          <w:sz w:val="21"/>
          <w:szCs w:val="21"/>
          <w:lang w:eastAsia="zh-CN"/>
        </w:rPr>
        <w:t>（二）应收票据</w:t>
      </w:r>
      <w:bookmarkEnd w:id="249"/>
    </w:p>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3"/>
        <w:rPr>
          <w:rFonts w:ascii="宋体" w:hAnsi="宋体" w:eastAsia="宋体" w:cs="宋体"/>
          <w:b/>
          <w:bCs/>
          <w:sz w:val="21"/>
          <w:szCs w:val="21"/>
        </w:rPr>
      </w:pPr>
      <w:bookmarkStart w:id="250" w:name="_Toc989101"/>
      <w:r>
        <w:rPr>
          <w:rFonts w:hint="eastAsia" w:ascii="宋体" w:hAnsi="宋体" w:eastAsia="宋体" w:cs="宋体"/>
          <w:b/>
          <w:bCs/>
          <w:sz w:val="21"/>
          <w:szCs w:val="21"/>
          <w:lang w:val="en-US" w:eastAsia="zh-CN"/>
        </w:rPr>
        <w:t>1.</w:t>
      </w:r>
      <w:r>
        <w:rPr>
          <w:rFonts w:ascii="宋体" w:hAnsi="宋体" w:eastAsia="宋体" w:cs="宋体"/>
          <w:b/>
          <w:bCs/>
          <w:sz w:val="21"/>
          <w:szCs w:val="21"/>
        </w:rPr>
        <w:t>应收票据分类列示</w:t>
      </w:r>
      <w:bookmarkEnd w:id="250"/>
    </w:p>
    <w:p>
      <w:pPr>
        <w:keepNext w:val="0"/>
        <w:keepLines w:val="0"/>
        <w:pageBreakBefore w:val="0"/>
        <w:widowControl w:val="0"/>
        <w:kinsoku/>
        <w:wordWrap/>
        <w:overflowPunct/>
        <w:topLinePunct w:val="0"/>
        <w:autoSpaceDE/>
        <w:autoSpaceDN/>
        <w:bidi w:val="0"/>
        <w:adjustRightInd/>
        <w:snapToGrid/>
        <w:spacing w:before="40" w:line="240" w:lineRule="exact"/>
        <w:jc w:val="right"/>
        <w:textAlignment w:val="auto"/>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银行承兑票据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49,876,008.58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53,273,853.82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商业承兑票据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5,238,636.31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36,916,113.13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55,114,644.89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90,189,966.95</w:t>
            </w:r>
          </w:p>
        </w:tc>
      </w:tr>
    </w:tbl>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3"/>
        <w:rPr>
          <w:rFonts w:ascii="宋体" w:hAnsi="宋体" w:eastAsia="宋体" w:cs="宋体"/>
          <w:b/>
          <w:bCs/>
          <w:sz w:val="21"/>
          <w:szCs w:val="21"/>
        </w:rPr>
      </w:pPr>
      <w:bookmarkStart w:id="251" w:name="_Toc989102"/>
      <w:r>
        <w:rPr>
          <w:rFonts w:hint="eastAsia" w:ascii="宋体" w:hAnsi="宋体" w:eastAsia="宋体" w:cs="宋体"/>
          <w:b/>
          <w:bCs/>
          <w:sz w:val="21"/>
          <w:szCs w:val="21"/>
          <w:lang w:val="en-US" w:eastAsia="zh-CN"/>
        </w:rPr>
        <w:t>2.</w:t>
      </w:r>
      <w:r>
        <w:rPr>
          <w:rFonts w:ascii="宋体" w:hAnsi="宋体" w:eastAsia="宋体" w:cs="宋体"/>
          <w:b/>
          <w:bCs/>
          <w:sz w:val="21"/>
          <w:szCs w:val="21"/>
        </w:rPr>
        <w:t>按坏账计提方法分类披露</w:t>
      </w:r>
      <w:bookmarkEnd w:id="251"/>
    </w:p>
    <w:p>
      <w:pPr>
        <w:pageBreakBefore w:val="0"/>
        <w:widowControl w:val="0"/>
        <w:kinsoku/>
        <w:wordWrap/>
        <w:overflowPunct/>
        <w:topLinePunct w:val="0"/>
        <w:autoSpaceDE/>
        <w:autoSpaceDN/>
        <w:bidi w:val="0"/>
        <w:adjustRightInd/>
        <w:snapToGrid/>
        <w:spacing w:before="40" w:line="240" w:lineRule="exact"/>
        <w:jc w:val="right"/>
        <w:textAlignment w:val="auto"/>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76"/>
        <w:gridCol w:w="876"/>
        <w:gridCol w:w="876"/>
        <w:gridCol w:w="876"/>
        <w:gridCol w:w="876"/>
        <w:gridCol w:w="876"/>
        <w:gridCol w:w="876"/>
        <w:gridCol w:w="876"/>
        <w:gridCol w:w="876"/>
        <w:gridCol w:w="876"/>
        <w:gridCol w:w="8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类别</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按组合计提坏账准备的应收票据</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55,624,879.93</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510,235.04</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0.92%</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55,114,644.89</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92,600,975.22</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2,411,008.27</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90,189,966.95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其中：银行承兑汇票</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49,876,008.58</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89.66%</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49,876,008.58</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53,273,853.82</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57.53%</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53,273,853.82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其中：商业承兑汇票</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5,748,871.35</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10.34%</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510,235.04</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8.88%</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5,238,636.31</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39,327,121.40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42.47%</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2,411,008.27</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6.13%</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36,916,113.13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55,624,879.93</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510,235.04</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0.92%</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55,114,644.89</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92,600,975.22</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2,411,008.27</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90,189,966.95</w:t>
            </w:r>
          </w:p>
        </w:tc>
      </w:tr>
    </w:tbl>
    <w:p>
      <w:pPr>
        <w:spacing w:before="0" w:after="0" w:line="240" w:lineRule="exact"/>
        <w:jc w:val="left"/>
        <w:rPr>
          <w:rFonts w:ascii="宋体" w:hAnsi="宋体" w:eastAsia="宋体" w:cs="宋体"/>
          <w:sz w:val="18"/>
          <w:szCs w:val="18"/>
        </w:rPr>
      </w:pPr>
      <w:r>
        <w:rPr>
          <w:rFonts w:ascii="宋体" w:hAnsi="宋体" w:eastAsia="宋体" w:cs="宋体"/>
          <w:sz w:val="18"/>
          <w:szCs w:val="18"/>
        </w:rPr>
        <w:t>按组合计提坏账准备：510,235.04元</w:t>
      </w:r>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名称</w:t>
            </w:r>
          </w:p>
        </w:tc>
        <w:tc>
          <w:tcPr>
            <w:tcW w:w="7229"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银行承兑汇票</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49,876,008.58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商业承兑汇票</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5,748,871.35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510,235.04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55,624,879.93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510,235.04</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确定该组合依据的说明：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如是按照预期信用损失一般模型计提应收票据坏账准备：</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3"/>
        <w:rPr>
          <w:rFonts w:ascii="宋体" w:hAnsi="宋体" w:eastAsia="宋体" w:cs="宋体"/>
          <w:b/>
          <w:bCs/>
          <w:sz w:val="21"/>
          <w:szCs w:val="21"/>
        </w:rPr>
      </w:pPr>
      <w:bookmarkStart w:id="252" w:name="_Toc989103"/>
      <w:r>
        <w:rPr>
          <w:rFonts w:hint="eastAsia" w:ascii="宋体" w:hAnsi="宋体" w:eastAsia="宋体" w:cs="宋体"/>
          <w:b/>
          <w:bCs/>
          <w:sz w:val="21"/>
          <w:szCs w:val="21"/>
          <w:lang w:val="en-US" w:eastAsia="zh-CN"/>
        </w:rPr>
        <w:t>3.</w:t>
      </w:r>
      <w:r>
        <w:rPr>
          <w:rFonts w:ascii="宋体" w:hAnsi="宋体" w:eastAsia="宋体" w:cs="宋体"/>
          <w:b/>
          <w:bCs/>
          <w:sz w:val="21"/>
          <w:szCs w:val="21"/>
        </w:rPr>
        <w:t>本期计提、收回或转回的坏账准备情况</w:t>
      </w:r>
      <w:bookmarkEnd w:id="252"/>
    </w:p>
    <w:p>
      <w:pPr>
        <w:spacing w:before="100" w:after="0" w:line="240" w:lineRule="exact"/>
        <w:jc w:val="left"/>
        <w:rPr>
          <w:rFonts w:ascii="宋体" w:hAnsi="宋体" w:eastAsia="宋体" w:cs="宋体"/>
          <w:sz w:val="18"/>
          <w:szCs w:val="18"/>
        </w:rPr>
      </w:pPr>
      <w:r>
        <w:rPr>
          <w:rFonts w:ascii="宋体" w:hAnsi="宋体" w:eastAsia="宋体" w:cs="宋体"/>
          <w:sz w:val="18"/>
          <w:szCs w:val="18"/>
        </w:rPr>
        <w:t>本期计提坏账准备情况：</w:t>
      </w:r>
      <w:r>
        <w:rPr>
          <w:rFonts w:hint="eastAsia" w:ascii="宋体" w:hAnsi="宋体" w:cs="宋体"/>
          <w:sz w:val="18"/>
          <w:szCs w:val="18"/>
          <w:lang w:val="en-US" w:eastAsia="zh-CN"/>
        </w:rPr>
        <w:t xml:space="preserve">                                                                          </w:t>
      </w: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类别</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5508"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本期变动金额</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收回或转回</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按账龄组合计提坏账准备</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2,411,008.27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510,235.04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2,411,008.27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510,235.04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2,411,008.27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510,235.04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2,411,008.27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510,235.04</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其中本期坏账准备收回或转回金额重要的：</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3"/>
        <w:rPr>
          <w:rFonts w:ascii="宋体" w:hAnsi="宋体" w:eastAsia="宋体" w:cs="宋体"/>
          <w:b/>
          <w:bCs/>
          <w:sz w:val="21"/>
          <w:szCs w:val="21"/>
        </w:rPr>
      </w:pPr>
      <w:bookmarkStart w:id="253" w:name="_Toc989104"/>
      <w:r>
        <w:rPr>
          <w:rFonts w:hint="eastAsia" w:ascii="宋体" w:hAnsi="宋体" w:eastAsia="宋体" w:cs="宋体"/>
          <w:b/>
          <w:bCs/>
          <w:sz w:val="21"/>
          <w:szCs w:val="21"/>
          <w:lang w:val="en-US" w:eastAsia="zh-CN"/>
        </w:rPr>
        <w:t>4.</w:t>
      </w:r>
      <w:r>
        <w:rPr>
          <w:rFonts w:ascii="宋体" w:hAnsi="宋体" w:eastAsia="宋体" w:cs="宋体"/>
          <w:b/>
          <w:bCs/>
          <w:sz w:val="21"/>
          <w:szCs w:val="21"/>
        </w:rPr>
        <w:t>期末公司已背书或贴现且在资产负债表日尚未到期的应收票据</w:t>
      </w:r>
      <w:bookmarkEnd w:id="253"/>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期末终止确认金额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期末未终止确认金额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银行承兑票据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45,228,019.45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45,228,019.45</w:t>
            </w:r>
          </w:p>
        </w:tc>
      </w:tr>
    </w:tbl>
    <w:p>
      <w:pPr>
        <w:keepNext/>
        <w:keepLines/>
        <w:spacing w:before="300" w:after="300" w:line="280" w:lineRule="exact"/>
        <w:jc w:val="left"/>
        <w:outlineLvl w:val="2"/>
        <w:rPr>
          <w:rFonts w:hint="eastAsia" w:ascii="宋体" w:hAnsi="宋体" w:eastAsia="宋体" w:cs="宋体"/>
          <w:b/>
          <w:bCs/>
          <w:sz w:val="21"/>
          <w:szCs w:val="21"/>
          <w:lang w:eastAsia="zh-CN"/>
        </w:rPr>
      </w:pPr>
      <w:bookmarkStart w:id="254" w:name="_Toc989105"/>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三</w:t>
      </w:r>
      <w:r>
        <w:rPr>
          <w:rFonts w:hint="eastAsia" w:ascii="宋体" w:hAnsi="宋体" w:eastAsia="宋体" w:cs="宋体"/>
          <w:b/>
          <w:bCs/>
          <w:sz w:val="21"/>
          <w:szCs w:val="21"/>
          <w:lang w:eastAsia="zh-CN"/>
        </w:rPr>
        <w:t>）应收账款</w:t>
      </w:r>
      <w:bookmarkEnd w:id="254"/>
    </w:p>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3"/>
        <w:rPr>
          <w:rFonts w:hint="eastAsia" w:ascii="宋体" w:hAnsi="宋体" w:eastAsia="宋体" w:cs="宋体"/>
          <w:b/>
          <w:bCs/>
          <w:sz w:val="21"/>
          <w:szCs w:val="21"/>
          <w:lang w:val="en-US" w:eastAsia="zh-CN"/>
        </w:rPr>
      </w:pPr>
      <w:bookmarkStart w:id="255" w:name="_Toc989106"/>
      <w:r>
        <w:rPr>
          <w:rFonts w:hint="eastAsia" w:ascii="宋体" w:hAnsi="宋体" w:eastAsia="宋体" w:cs="宋体"/>
          <w:b/>
          <w:bCs/>
          <w:sz w:val="21"/>
          <w:szCs w:val="21"/>
          <w:lang w:val="en-US" w:eastAsia="zh-CN"/>
        </w:rPr>
        <w:t>1.按账龄披露</w:t>
      </w:r>
      <w:bookmarkEnd w:id="255"/>
    </w:p>
    <w:p>
      <w:pPr>
        <w:keepNext w:val="0"/>
        <w:keepLines w:val="0"/>
        <w:pageBreakBefore w:val="0"/>
        <w:widowControl w:val="0"/>
        <w:kinsoku/>
        <w:wordWrap/>
        <w:overflowPunct/>
        <w:topLinePunct w:val="0"/>
        <w:autoSpaceDE/>
        <w:autoSpaceDN/>
        <w:bidi w:val="0"/>
        <w:adjustRightInd/>
        <w:snapToGrid/>
        <w:spacing w:line="240" w:lineRule="exact"/>
        <w:jc w:val="right"/>
        <w:textAlignment w:val="auto"/>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账龄</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期末账面余额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期初账面余额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1年以内（含1年）</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365,370,143.86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261,447,207.25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1至2年</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59,212,339.31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44,647,553.10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2至3年</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5,126,006.26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7,222,768.37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3年以上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57,796,369.16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58,442,952.14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3至4年</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1,998,925.70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5,915,717.89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4至5年</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3,659,457.72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780,379.45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5年以上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52,137,985.74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51,746,854.80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487,504,858.59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371,760,480.86</w:t>
            </w:r>
          </w:p>
        </w:tc>
      </w:tr>
    </w:tbl>
    <w:p>
      <w:pPr>
        <w:keepNext/>
        <w:keepLines/>
        <w:pageBreakBefore w:val="0"/>
        <w:widowControl w:val="0"/>
        <w:kinsoku/>
        <w:wordWrap/>
        <w:overflowPunct/>
        <w:topLinePunct w:val="0"/>
        <w:autoSpaceDE/>
        <w:autoSpaceDN/>
        <w:bidi w:val="0"/>
        <w:adjustRightInd/>
        <w:snapToGrid/>
        <w:spacing w:before="313" w:beforeLines="100" w:line="280" w:lineRule="exact"/>
        <w:jc w:val="left"/>
        <w:textAlignment w:val="auto"/>
        <w:outlineLvl w:val="3"/>
        <w:rPr>
          <w:rFonts w:ascii="宋体" w:hAnsi="宋体" w:eastAsia="宋体" w:cs="宋体"/>
          <w:b/>
          <w:bCs/>
          <w:sz w:val="21"/>
          <w:szCs w:val="21"/>
        </w:rPr>
      </w:pPr>
      <w:bookmarkStart w:id="256" w:name="_Toc989107"/>
      <w:r>
        <w:rPr>
          <w:rFonts w:hint="eastAsia" w:ascii="宋体" w:hAnsi="宋体" w:eastAsia="宋体" w:cs="宋体"/>
          <w:b/>
          <w:bCs/>
          <w:sz w:val="21"/>
          <w:szCs w:val="21"/>
          <w:lang w:val="en-US" w:eastAsia="zh-CN"/>
        </w:rPr>
        <w:t>2.</w:t>
      </w:r>
      <w:r>
        <w:rPr>
          <w:rFonts w:ascii="宋体" w:hAnsi="宋体" w:eastAsia="宋体" w:cs="宋体"/>
          <w:b/>
          <w:bCs/>
          <w:sz w:val="21"/>
          <w:szCs w:val="21"/>
        </w:rPr>
        <w:t>按坏账计提方法分类披露</w:t>
      </w:r>
      <w:bookmarkEnd w:id="256"/>
    </w:p>
    <w:p>
      <w:pPr>
        <w:pageBreakBefore w:val="0"/>
        <w:widowControl w:val="0"/>
        <w:kinsoku/>
        <w:wordWrap/>
        <w:overflowPunct/>
        <w:topLinePunct w:val="0"/>
        <w:autoSpaceDE/>
        <w:autoSpaceDN/>
        <w:bidi w:val="0"/>
        <w:adjustRightInd/>
        <w:snapToGrid/>
        <w:spacing w:line="240" w:lineRule="exact"/>
        <w:jc w:val="right"/>
        <w:textAlignment w:val="auto"/>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76"/>
        <w:gridCol w:w="876"/>
        <w:gridCol w:w="876"/>
        <w:gridCol w:w="876"/>
        <w:gridCol w:w="876"/>
        <w:gridCol w:w="876"/>
        <w:gridCol w:w="876"/>
        <w:gridCol w:w="876"/>
        <w:gridCol w:w="876"/>
        <w:gridCol w:w="876"/>
        <w:gridCol w:w="8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类别</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按单项计提坏账准备的应收账款</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50,078,456.73</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10.27%</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50,078,456.73</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49,342,219.64</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13.27%</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49,342,219.64</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按组合计提坏账准备的应收账款</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437,426,401.86</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89.73%</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30,430,401.74</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6.96%</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406,996,000.12</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322,418,261.22</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86.73%</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24,001,600.80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7.44%</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298,416,660.42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487,504,858.59</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80,508,858.47</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406,996,000.12</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371,760,480.86</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73,343,820.44</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298,416,660.42</w:t>
            </w:r>
          </w:p>
        </w:tc>
      </w:tr>
    </w:tbl>
    <w:p>
      <w:pPr>
        <w:keepNext w:val="0"/>
        <w:keepLines w:val="0"/>
        <w:pageBreakBefore w:val="0"/>
        <w:widowControl w:val="0"/>
        <w:kinsoku/>
        <w:wordWrap/>
        <w:overflowPunct/>
        <w:topLinePunct w:val="0"/>
        <w:autoSpaceDE/>
        <w:autoSpaceDN/>
        <w:bidi w:val="0"/>
        <w:adjustRightInd/>
        <w:snapToGrid/>
        <w:spacing w:before="340" w:line="240" w:lineRule="exact"/>
        <w:jc w:val="left"/>
        <w:textAlignment w:val="auto"/>
        <w:rPr>
          <w:rFonts w:ascii="宋体" w:hAnsi="宋体" w:eastAsia="宋体" w:cs="宋体"/>
          <w:sz w:val="18"/>
          <w:szCs w:val="18"/>
        </w:rPr>
      </w:pPr>
      <w:r>
        <w:rPr>
          <w:rFonts w:ascii="宋体" w:hAnsi="宋体" w:eastAsia="宋体" w:cs="宋体"/>
          <w:sz w:val="18"/>
          <w:szCs w:val="18"/>
        </w:rPr>
        <w:t>按单项计提坏账准备：50,078,456.73元</w:t>
      </w:r>
      <w:r>
        <w:rPr>
          <w:rFonts w:hint="eastAsia" w:ascii="宋体" w:hAnsi="宋体" w:cs="宋体"/>
          <w:sz w:val="18"/>
          <w:szCs w:val="18"/>
          <w:lang w:val="en-US" w:eastAsia="zh-CN"/>
        </w:rPr>
        <w:t xml:space="preserve">                                                           </w:t>
      </w: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名称</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5508"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计提理由</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亚洲硅业（青海）有限公司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9,856,000.00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9,856,000.00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9,856,000.00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9,856,000.00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预计无法收回</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厦门航空公司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5,660,592.00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5,660,592.00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5,660,592.00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5,660,592.00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预计无法收回</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小额难以收回应收账款合计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33,825,627.64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33,825,627.64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34,561,864.73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34,561,864.73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预计无法收回</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49,342,219.64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49,342,219.64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50,078,456.73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50,078,456.73</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keepNext w:val="0"/>
        <w:keepLines w:val="0"/>
        <w:pageBreakBefore w:val="0"/>
        <w:widowControl w:val="0"/>
        <w:kinsoku/>
        <w:wordWrap/>
        <w:overflowPunct/>
        <w:topLinePunct w:val="0"/>
        <w:autoSpaceDE/>
        <w:autoSpaceDN/>
        <w:bidi w:val="0"/>
        <w:adjustRightInd/>
        <w:snapToGrid/>
        <w:spacing w:before="340" w:line="240" w:lineRule="exact"/>
        <w:jc w:val="left"/>
        <w:textAlignment w:val="auto"/>
        <w:rPr>
          <w:rFonts w:ascii="宋体" w:hAnsi="宋体" w:eastAsia="宋体" w:cs="宋体"/>
          <w:sz w:val="18"/>
          <w:szCs w:val="18"/>
        </w:rPr>
      </w:pPr>
      <w:r>
        <w:rPr>
          <w:rFonts w:ascii="宋体" w:hAnsi="宋体" w:eastAsia="宋体" w:cs="宋体"/>
          <w:sz w:val="18"/>
          <w:szCs w:val="18"/>
        </w:rPr>
        <w:t>按组合计提坏账准备：30,430,401.74元</w:t>
      </w:r>
      <w:r>
        <w:rPr>
          <w:rFonts w:hint="eastAsia" w:ascii="宋体" w:hAnsi="宋体" w:eastAsia="宋体" w:cs="宋体"/>
          <w:sz w:val="18"/>
          <w:szCs w:val="18"/>
          <w:lang w:val="en-US" w:eastAsia="zh-CN"/>
        </w:rPr>
        <w:t xml:space="preserve">                                                             </w:t>
      </w: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名称</w:t>
            </w:r>
          </w:p>
        </w:tc>
        <w:tc>
          <w:tcPr>
            <w:tcW w:w="7229"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一年以内</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365,370,143.86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18,268,507.63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一至二年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59,212,339.31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5,921,233.94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二至三年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4,618,612.56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923,722.52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三至四年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1,939,391.74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581,817.51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四至五年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3,101,588.52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1,550,794.27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五年以上</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3,184,325.87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3,184,325.87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437,426,401.86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30,430,401.74</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确定该组合依据的说明：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如是按照预期信用损失一般模型计提应收账款坏账准备：</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3"/>
        <w:rPr>
          <w:rFonts w:ascii="宋体" w:hAnsi="宋体" w:eastAsia="宋体" w:cs="宋体"/>
          <w:b/>
          <w:bCs/>
          <w:sz w:val="21"/>
          <w:szCs w:val="21"/>
        </w:rPr>
      </w:pPr>
      <w:bookmarkStart w:id="257" w:name="_Toc989108"/>
      <w:r>
        <w:rPr>
          <w:rFonts w:hint="eastAsia" w:ascii="宋体" w:hAnsi="宋体" w:eastAsia="宋体" w:cs="宋体"/>
          <w:b/>
          <w:bCs/>
          <w:sz w:val="21"/>
          <w:szCs w:val="21"/>
          <w:lang w:val="en-US" w:eastAsia="zh-CN"/>
        </w:rPr>
        <w:t>3.</w:t>
      </w:r>
      <w:r>
        <w:rPr>
          <w:rFonts w:ascii="宋体" w:hAnsi="宋体" w:eastAsia="宋体" w:cs="宋体"/>
          <w:b/>
          <w:bCs/>
          <w:sz w:val="21"/>
          <w:szCs w:val="21"/>
        </w:rPr>
        <w:t>本期计提、收回或转回的坏账准备情况</w:t>
      </w:r>
      <w:bookmarkEnd w:id="257"/>
    </w:p>
    <w:p>
      <w:pPr>
        <w:spacing w:before="100" w:after="100" w:line="240" w:lineRule="exact"/>
        <w:jc w:val="left"/>
        <w:rPr>
          <w:rFonts w:ascii="宋体" w:hAnsi="宋体" w:eastAsia="宋体" w:cs="宋体"/>
          <w:sz w:val="18"/>
          <w:szCs w:val="18"/>
        </w:rPr>
      </w:pPr>
      <w:r>
        <w:rPr>
          <w:rFonts w:ascii="宋体" w:hAnsi="宋体" w:eastAsia="宋体" w:cs="宋体"/>
          <w:sz w:val="18"/>
          <w:szCs w:val="18"/>
        </w:rPr>
        <w:t>本期计提坏账准备情况：</w:t>
      </w:r>
      <w:r>
        <w:rPr>
          <w:rFonts w:hint="eastAsia" w:ascii="宋体" w:hAnsi="宋体" w:cs="宋体"/>
          <w:sz w:val="18"/>
          <w:szCs w:val="18"/>
          <w:lang w:val="en-US" w:eastAsia="zh-CN"/>
        </w:rPr>
        <w:t xml:space="preserve">                                                                           </w:t>
      </w: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类别</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5508"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本期变动金额</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收回或转回</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按单项计提坏账准备</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49,342,219.64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756,237.09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20,000.00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50,078,456.73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按信用风险特征组合计提坏账准备</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24,001,600.80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6,428,800.94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30,430,401.74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73,343,820.44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7,185,038.03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20,000.00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80,508,858.47</w:t>
            </w:r>
          </w:p>
        </w:tc>
      </w:tr>
    </w:tbl>
    <w:p>
      <w:pPr>
        <w:keepNext/>
        <w:keepLines/>
        <w:spacing w:before="300" w:after="300" w:line="280" w:lineRule="exact"/>
        <w:jc w:val="left"/>
        <w:outlineLvl w:val="3"/>
        <w:rPr>
          <w:rFonts w:ascii="宋体" w:hAnsi="宋体" w:eastAsia="宋体" w:cs="宋体"/>
          <w:b/>
          <w:bCs/>
          <w:sz w:val="21"/>
          <w:szCs w:val="21"/>
        </w:rPr>
      </w:pPr>
      <w:bookmarkStart w:id="258" w:name="_Toc989109"/>
      <w:r>
        <w:rPr>
          <w:rFonts w:hint="eastAsia" w:ascii="宋体" w:hAnsi="宋体" w:eastAsia="宋体" w:cs="宋体"/>
          <w:b/>
          <w:bCs/>
          <w:sz w:val="21"/>
          <w:szCs w:val="21"/>
          <w:lang w:val="en-US" w:eastAsia="zh-CN"/>
        </w:rPr>
        <w:t>4.</w:t>
      </w:r>
      <w:r>
        <w:rPr>
          <w:rFonts w:ascii="宋体" w:hAnsi="宋体" w:eastAsia="宋体" w:cs="宋体"/>
          <w:b/>
          <w:bCs/>
          <w:sz w:val="21"/>
          <w:szCs w:val="21"/>
        </w:rPr>
        <w:t>按欠款方归集的期末余额前五名的应收账款和合同资产情况</w:t>
      </w:r>
      <w:bookmarkEnd w:id="258"/>
    </w:p>
    <w:p>
      <w:pPr>
        <w:pStyle w:val="4"/>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0"/>
        <w:ind w:left="0" w:right="0"/>
        <w:textAlignment w:val="auto"/>
      </w:pPr>
      <w:r>
        <w:rPr>
          <w:rFonts w:hint="eastAsia" w:ascii="宋体" w:hAnsi="宋体" w:eastAsia="宋体" w:cs="宋体"/>
          <w:color w:val="000000"/>
          <w:sz w:val="21"/>
          <w:szCs w:val="21"/>
        </w:rPr>
        <w:t>按欠款方归集的期末余额前五名应收账款和合同资产汇总金额</w:t>
      </w:r>
      <w:r>
        <w:rPr>
          <w:rFonts w:hint="default" w:ascii="Times New Roman" w:hAnsi="Times New Roman" w:eastAsia="宋体" w:cs="Times New Roman"/>
          <w:color w:val="000000"/>
          <w:sz w:val="21"/>
          <w:szCs w:val="21"/>
        </w:rPr>
        <w:t>142,681,498.38</w:t>
      </w:r>
      <w:r>
        <w:rPr>
          <w:rFonts w:hint="eastAsia" w:ascii="宋体" w:hAnsi="宋体" w:eastAsia="宋体" w:cs="宋体"/>
          <w:color w:val="000000"/>
          <w:sz w:val="21"/>
          <w:szCs w:val="21"/>
        </w:rPr>
        <w:t>元，占应收账款和合同资产期末余额合计数的比例</w:t>
      </w:r>
      <w:r>
        <w:rPr>
          <w:rFonts w:hint="default" w:ascii="Times New Roman" w:hAnsi="Times New Roman" w:eastAsia="宋体" w:cs="Times New Roman"/>
          <w:color w:val="000000"/>
          <w:sz w:val="21"/>
          <w:szCs w:val="21"/>
        </w:rPr>
        <w:t>29.06%</w:t>
      </w:r>
      <w:r>
        <w:rPr>
          <w:rFonts w:hint="eastAsia" w:ascii="宋体" w:hAnsi="宋体" w:eastAsia="宋体" w:cs="宋体"/>
          <w:color w:val="000000"/>
          <w:sz w:val="21"/>
          <w:szCs w:val="21"/>
        </w:rPr>
        <w:t>，相应计提的坏账准备期末余额汇总金额</w:t>
      </w:r>
      <w:r>
        <w:rPr>
          <w:rFonts w:hint="default" w:ascii="Times New Roman" w:hAnsi="Times New Roman" w:eastAsia="宋体" w:cs="Times New Roman"/>
          <w:color w:val="000000"/>
          <w:sz w:val="21"/>
          <w:szCs w:val="21"/>
        </w:rPr>
        <w:t>8,369,387.27</w:t>
      </w:r>
      <w:r>
        <w:rPr>
          <w:rFonts w:hint="eastAsia" w:ascii="宋体" w:hAnsi="宋体" w:eastAsia="宋体" w:cs="宋体"/>
          <w:color w:val="000000"/>
          <w:sz w:val="21"/>
          <w:szCs w:val="21"/>
        </w:rPr>
        <w:t>元。</w:t>
      </w:r>
    </w:p>
    <w:p>
      <w:pPr>
        <w:keepNext/>
        <w:keepLines/>
        <w:spacing w:before="300" w:after="300" w:line="280" w:lineRule="exact"/>
        <w:jc w:val="left"/>
        <w:outlineLvl w:val="2"/>
        <w:rPr>
          <w:rFonts w:ascii="宋体" w:hAnsi="宋体" w:eastAsia="宋体" w:cs="宋体"/>
          <w:b/>
          <w:bCs/>
          <w:sz w:val="21"/>
          <w:szCs w:val="21"/>
        </w:rPr>
      </w:pPr>
      <w:bookmarkStart w:id="259" w:name="_Toc989110"/>
      <w:r>
        <w:rPr>
          <w:rFonts w:hint="eastAsia" w:ascii="宋体" w:hAnsi="宋体" w:eastAsia="宋体" w:cs="宋体"/>
          <w:b/>
          <w:bCs/>
          <w:sz w:val="21"/>
          <w:szCs w:val="21"/>
          <w:lang w:eastAsia="zh-CN"/>
        </w:rPr>
        <w:t>（四）</w:t>
      </w:r>
      <w:r>
        <w:rPr>
          <w:rFonts w:ascii="宋体" w:hAnsi="宋体" w:eastAsia="宋体" w:cs="宋体"/>
          <w:b/>
          <w:bCs/>
          <w:sz w:val="21"/>
          <w:szCs w:val="21"/>
        </w:rPr>
        <w:t>合同资产</w:t>
      </w:r>
      <w:bookmarkEnd w:id="259"/>
    </w:p>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3"/>
        <w:rPr>
          <w:rFonts w:ascii="宋体" w:hAnsi="宋体" w:eastAsia="宋体" w:cs="宋体"/>
          <w:b/>
          <w:bCs/>
          <w:sz w:val="21"/>
          <w:szCs w:val="21"/>
        </w:rPr>
      </w:pPr>
      <w:bookmarkStart w:id="260" w:name="_Toc989111"/>
      <w:r>
        <w:rPr>
          <w:rFonts w:hint="eastAsia" w:ascii="宋体" w:hAnsi="宋体" w:eastAsia="宋体" w:cs="宋体"/>
          <w:b/>
          <w:bCs/>
          <w:sz w:val="21"/>
          <w:szCs w:val="21"/>
          <w:lang w:val="en-US" w:eastAsia="zh-CN"/>
        </w:rPr>
        <w:t>1.</w:t>
      </w:r>
      <w:r>
        <w:rPr>
          <w:rFonts w:ascii="宋体" w:hAnsi="宋体" w:eastAsia="宋体" w:cs="宋体"/>
          <w:b/>
          <w:bCs/>
          <w:sz w:val="21"/>
          <w:szCs w:val="21"/>
        </w:rPr>
        <w:t>合同资产情况</w:t>
      </w:r>
      <w:bookmarkEnd w:id="260"/>
    </w:p>
    <w:p>
      <w:pPr>
        <w:keepNext w:val="0"/>
        <w:keepLines w:val="0"/>
        <w:pageBreakBefore w:val="0"/>
        <w:widowControl w:val="0"/>
        <w:kinsoku/>
        <w:wordWrap/>
        <w:overflowPunct/>
        <w:topLinePunct w:val="0"/>
        <w:autoSpaceDE/>
        <w:autoSpaceDN/>
        <w:bidi w:val="0"/>
        <w:adjustRightInd/>
        <w:snapToGrid/>
        <w:spacing w:before="40" w:line="240" w:lineRule="exact"/>
        <w:jc w:val="right"/>
        <w:textAlignment w:val="auto"/>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未到期质保金</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3,598,639.19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245,258.95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3,353,380.24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2,480,809.58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127,137.95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2,353,671.63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3,598,639.19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245,258.95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3,353,380.24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2,480,809.58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127,137.95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2,353,671.63</w:t>
            </w:r>
          </w:p>
        </w:tc>
      </w:tr>
    </w:tbl>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3"/>
        <w:rPr>
          <w:rFonts w:ascii="宋体" w:hAnsi="宋体" w:eastAsia="宋体" w:cs="宋体"/>
          <w:b/>
          <w:bCs/>
          <w:sz w:val="21"/>
          <w:szCs w:val="21"/>
        </w:rPr>
      </w:pPr>
      <w:bookmarkStart w:id="261" w:name="_Toc989112"/>
      <w:r>
        <w:rPr>
          <w:rFonts w:hint="eastAsia" w:ascii="宋体" w:hAnsi="宋体" w:eastAsia="宋体" w:cs="宋体"/>
          <w:b/>
          <w:bCs/>
          <w:sz w:val="21"/>
          <w:szCs w:val="21"/>
          <w:lang w:val="en-US" w:eastAsia="zh-CN"/>
        </w:rPr>
        <w:t>2.</w:t>
      </w:r>
      <w:r>
        <w:rPr>
          <w:rFonts w:ascii="宋体" w:hAnsi="宋体" w:eastAsia="宋体" w:cs="宋体"/>
          <w:b/>
          <w:bCs/>
          <w:sz w:val="21"/>
          <w:szCs w:val="21"/>
        </w:rPr>
        <w:t>报告期内账面价值发生的重大变动金额和原因</w:t>
      </w:r>
      <w:bookmarkEnd w:id="261"/>
    </w:p>
    <w:p>
      <w:pPr>
        <w:keepNext w:val="0"/>
        <w:keepLines w:val="0"/>
        <w:pageBreakBefore w:val="0"/>
        <w:widowControl w:val="0"/>
        <w:kinsoku/>
        <w:wordWrap/>
        <w:overflowPunct/>
        <w:topLinePunct w:val="0"/>
        <w:autoSpaceDE/>
        <w:autoSpaceDN/>
        <w:bidi w:val="0"/>
        <w:adjustRightInd/>
        <w:snapToGrid/>
        <w:spacing w:before="120" w:line="240" w:lineRule="exact"/>
        <w:jc w:val="right"/>
        <w:textAlignment w:val="auto"/>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变动金额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变动原因</w:t>
            </w:r>
          </w:p>
        </w:tc>
      </w:tr>
    </w:tbl>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3"/>
        <w:rPr>
          <w:rFonts w:hint="eastAsia" w:ascii="宋体" w:hAnsi="宋体" w:eastAsia="宋体" w:cs="宋体"/>
          <w:b/>
          <w:bCs/>
          <w:sz w:val="21"/>
          <w:szCs w:val="21"/>
          <w:lang w:val="en-US" w:eastAsia="zh-CN"/>
        </w:rPr>
      </w:pPr>
      <w:bookmarkStart w:id="262" w:name="_Toc989113"/>
      <w:r>
        <w:rPr>
          <w:rFonts w:hint="eastAsia" w:ascii="宋体" w:hAnsi="宋体" w:eastAsia="宋体" w:cs="宋体"/>
          <w:b/>
          <w:bCs/>
          <w:sz w:val="21"/>
          <w:szCs w:val="21"/>
          <w:lang w:val="en-US" w:eastAsia="zh-CN"/>
        </w:rPr>
        <w:t>3.按坏账计提方法分类披露</w:t>
      </w:r>
      <w:bookmarkEnd w:id="262"/>
    </w:p>
    <w:p>
      <w:pPr>
        <w:keepNext w:val="0"/>
        <w:keepLines w:val="0"/>
        <w:pageBreakBefore w:val="0"/>
        <w:widowControl w:val="0"/>
        <w:kinsoku/>
        <w:wordWrap/>
        <w:overflowPunct/>
        <w:topLinePunct w:val="0"/>
        <w:autoSpaceDE/>
        <w:autoSpaceDN/>
        <w:bidi w:val="0"/>
        <w:adjustRightInd/>
        <w:snapToGrid/>
        <w:spacing w:before="120" w:line="240" w:lineRule="exact"/>
        <w:jc w:val="right"/>
        <w:textAlignment w:val="auto"/>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76"/>
        <w:gridCol w:w="876"/>
        <w:gridCol w:w="876"/>
        <w:gridCol w:w="876"/>
        <w:gridCol w:w="876"/>
        <w:gridCol w:w="876"/>
        <w:gridCol w:w="876"/>
        <w:gridCol w:w="876"/>
        <w:gridCol w:w="876"/>
        <w:gridCol w:w="876"/>
        <w:gridCol w:w="8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类别</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按组合计提坏账准备</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3,598,639.19</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245,258.95</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6.82%</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3,353,380.24</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2,480,809.58</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127,137.95</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5.12%</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2,353,671.63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3,598,639.19</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245,258.95</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3,353,380.24</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2,480,809.58</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127,137.95</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2,353,671.63</w:t>
            </w:r>
          </w:p>
        </w:tc>
      </w:tr>
    </w:tbl>
    <w:p>
      <w:pPr>
        <w:spacing w:before="0" w:after="0" w:line="240" w:lineRule="exact"/>
        <w:jc w:val="left"/>
        <w:rPr>
          <w:rFonts w:ascii="宋体" w:hAnsi="宋体" w:eastAsia="宋体" w:cs="宋体"/>
          <w:sz w:val="18"/>
          <w:szCs w:val="18"/>
        </w:rPr>
      </w:pPr>
    </w:p>
    <w:p>
      <w:pPr>
        <w:spacing w:before="0" w:after="0" w:line="240" w:lineRule="exact"/>
        <w:jc w:val="left"/>
        <w:rPr>
          <w:rFonts w:ascii="宋体" w:hAnsi="宋体" w:eastAsia="宋体" w:cs="宋体"/>
          <w:sz w:val="18"/>
          <w:szCs w:val="18"/>
        </w:rPr>
      </w:pPr>
      <w:r>
        <w:rPr>
          <w:rFonts w:ascii="宋体" w:hAnsi="宋体" w:eastAsia="宋体" w:cs="宋体"/>
          <w:sz w:val="18"/>
          <w:szCs w:val="18"/>
        </w:rPr>
        <w:t>按组合计提坏账准备：245,258.95元</w:t>
      </w:r>
      <w:r>
        <w:rPr>
          <w:rFonts w:hint="eastAsia" w:ascii="宋体" w:hAnsi="宋体" w:cs="宋体"/>
          <w:sz w:val="18"/>
          <w:szCs w:val="18"/>
          <w:lang w:val="en-US" w:eastAsia="zh-CN"/>
        </w:rPr>
        <w:t xml:space="preserve">                                                                </w:t>
      </w: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名称</w:t>
            </w:r>
          </w:p>
        </w:tc>
        <w:tc>
          <w:tcPr>
            <w:tcW w:w="7229"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未到期质保金</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3,598,639.19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245,258.95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6.82%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3,598,639.19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245,258.95</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按预期信用损失一般模型计提坏账准备</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3"/>
        <w:rPr>
          <w:rFonts w:ascii="宋体" w:hAnsi="宋体" w:eastAsia="宋体" w:cs="宋体"/>
          <w:b/>
          <w:bCs/>
          <w:sz w:val="21"/>
          <w:szCs w:val="21"/>
        </w:rPr>
      </w:pPr>
      <w:bookmarkStart w:id="263" w:name="_Toc989114"/>
      <w:r>
        <w:rPr>
          <w:rFonts w:hint="eastAsia" w:ascii="宋体" w:hAnsi="宋体" w:eastAsia="宋体" w:cs="宋体"/>
          <w:b/>
          <w:bCs/>
          <w:sz w:val="21"/>
          <w:szCs w:val="21"/>
          <w:lang w:val="en-US" w:eastAsia="zh-CN"/>
        </w:rPr>
        <w:t>4.</w:t>
      </w:r>
      <w:r>
        <w:rPr>
          <w:rFonts w:ascii="宋体" w:hAnsi="宋体" w:eastAsia="宋体" w:cs="宋体"/>
          <w:b/>
          <w:bCs/>
          <w:sz w:val="21"/>
          <w:szCs w:val="21"/>
        </w:rPr>
        <w:t>本期计提、收回或转回的坏账准备情况</w:t>
      </w:r>
      <w:bookmarkEnd w:id="263"/>
    </w:p>
    <w:p>
      <w:pPr>
        <w:keepNext w:val="0"/>
        <w:keepLines w:val="0"/>
        <w:pageBreakBefore w:val="0"/>
        <w:widowControl w:val="0"/>
        <w:kinsoku/>
        <w:wordWrap/>
        <w:overflowPunct/>
        <w:topLinePunct w:val="0"/>
        <w:autoSpaceDE/>
        <w:autoSpaceDN/>
        <w:bidi w:val="0"/>
        <w:adjustRightInd/>
        <w:snapToGrid/>
        <w:spacing w:before="120" w:line="240" w:lineRule="exact"/>
        <w:jc w:val="right"/>
        <w:textAlignment w:val="auto"/>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本期计提</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本期收回或转回</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本期转销/核销</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原因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未到期质保金</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118,121.00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118,121.00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r>
    </w:tbl>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3"/>
        <w:rPr>
          <w:rFonts w:hint="eastAsia" w:ascii="宋体" w:hAnsi="宋体" w:eastAsia="宋体" w:cs="宋体"/>
          <w:b/>
          <w:bCs/>
          <w:sz w:val="21"/>
          <w:szCs w:val="21"/>
          <w:lang w:val="en-US" w:eastAsia="zh-CN"/>
        </w:rPr>
      </w:pPr>
      <w:bookmarkStart w:id="264" w:name="_Toc989115"/>
      <w:r>
        <w:rPr>
          <w:rFonts w:hint="eastAsia" w:ascii="宋体" w:hAnsi="宋体" w:eastAsia="宋体" w:cs="宋体"/>
          <w:b/>
          <w:bCs/>
          <w:sz w:val="21"/>
          <w:szCs w:val="21"/>
          <w:lang w:val="en-US" w:eastAsia="zh-CN"/>
        </w:rPr>
        <w:t>5.本期实际核销的合同资产情况</w:t>
      </w:r>
      <w:bookmarkEnd w:id="264"/>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核销金额</w:t>
            </w:r>
          </w:p>
        </w:tc>
      </w:tr>
    </w:tbl>
    <w:p>
      <w:pPr>
        <w:spacing w:before="0" w:after="0" w:line="240" w:lineRule="exact"/>
        <w:jc w:val="left"/>
        <w:rPr>
          <w:rFonts w:ascii="宋体" w:hAnsi="宋体" w:eastAsia="宋体" w:cs="宋体"/>
          <w:sz w:val="18"/>
          <w:szCs w:val="18"/>
        </w:rPr>
      </w:pPr>
      <w:r>
        <w:rPr>
          <w:rFonts w:ascii="宋体" w:hAnsi="宋体" w:eastAsia="宋体" w:cs="宋体"/>
          <w:sz w:val="18"/>
          <w:szCs w:val="18"/>
        </w:rPr>
        <w:t>其中重要的合同资产核销情况</w:t>
      </w:r>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款项性质</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核销原因</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履行的核销程序</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款项是否由关联交易产生</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合同资产核销说明：</w:t>
      </w:r>
    </w:p>
    <w:p>
      <w:pPr>
        <w:spacing w:before="0" w:after="0" w:line="240" w:lineRule="exact"/>
        <w:jc w:val="left"/>
        <w:rPr>
          <w:rFonts w:ascii="宋体" w:hAnsi="宋体" w:eastAsia="宋体" w:cs="宋体"/>
          <w:sz w:val="18"/>
          <w:szCs w:val="18"/>
        </w:rPr>
      </w:pPr>
      <w:r>
        <w:rPr>
          <w:rFonts w:ascii="宋体" w:hAnsi="宋体" w:eastAsia="宋体" w:cs="宋体"/>
          <w:sz w:val="18"/>
          <w:szCs w:val="18"/>
        </w:rPr>
        <w:t>其他说明：</w:t>
      </w:r>
    </w:p>
    <w:p>
      <w:pPr>
        <w:pStyle w:val="4"/>
        <w:keepNext w:val="0"/>
        <w:keepLines w:val="0"/>
        <w:widowControl/>
        <w:suppressLineNumbers w:val="0"/>
      </w:pPr>
      <w:r>
        <w:rPr>
          <w:rFonts w:hint="eastAsia" w:ascii="宋体" w:hAnsi="宋体" w:eastAsia="宋体" w:cs="宋体"/>
          <w:sz w:val="18"/>
          <w:szCs w:val="18"/>
        </w:rPr>
        <w:t>无。</w:t>
      </w:r>
    </w:p>
    <w:p>
      <w:pPr>
        <w:keepNext/>
        <w:keepLines/>
        <w:spacing w:before="300" w:after="300" w:line="280" w:lineRule="exact"/>
        <w:jc w:val="left"/>
        <w:outlineLvl w:val="2"/>
        <w:rPr>
          <w:rFonts w:ascii="宋体" w:hAnsi="宋体" w:eastAsia="宋体" w:cs="宋体"/>
          <w:b/>
          <w:bCs/>
          <w:sz w:val="21"/>
          <w:szCs w:val="21"/>
        </w:rPr>
      </w:pPr>
      <w:bookmarkStart w:id="265" w:name="_Toc989116"/>
      <w:r>
        <w:rPr>
          <w:rFonts w:hint="eastAsia" w:ascii="宋体" w:hAnsi="宋体" w:eastAsia="宋体" w:cs="宋体"/>
          <w:b/>
          <w:bCs/>
          <w:sz w:val="21"/>
          <w:szCs w:val="21"/>
          <w:lang w:eastAsia="zh-CN"/>
        </w:rPr>
        <w:t>（五）</w:t>
      </w:r>
      <w:r>
        <w:rPr>
          <w:rFonts w:ascii="宋体" w:hAnsi="宋体" w:eastAsia="宋体" w:cs="宋体"/>
          <w:b/>
          <w:bCs/>
          <w:sz w:val="21"/>
          <w:szCs w:val="21"/>
        </w:rPr>
        <w:t>应收款项融资</w:t>
      </w:r>
      <w:bookmarkEnd w:id="265"/>
    </w:p>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3"/>
        <w:rPr>
          <w:rFonts w:ascii="宋体" w:hAnsi="宋体" w:eastAsia="宋体" w:cs="宋体"/>
          <w:b/>
          <w:bCs/>
          <w:sz w:val="21"/>
          <w:szCs w:val="21"/>
        </w:rPr>
      </w:pPr>
      <w:bookmarkStart w:id="266" w:name="_Toc989117"/>
      <w:r>
        <w:rPr>
          <w:rFonts w:hint="eastAsia" w:ascii="宋体" w:hAnsi="宋体" w:eastAsia="宋体" w:cs="宋体"/>
          <w:b/>
          <w:bCs/>
          <w:sz w:val="21"/>
          <w:szCs w:val="21"/>
          <w:lang w:val="en-US" w:eastAsia="zh-CN"/>
        </w:rPr>
        <w:t>1.</w:t>
      </w:r>
      <w:r>
        <w:rPr>
          <w:rFonts w:ascii="宋体" w:hAnsi="宋体" w:eastAsia="宋体" w:cs="宋体"/>
          <w:b/>
          <w:bCs/>
          <w:sz w:val="21"/>
          <w:szCs w:val="21"/>
        </w:rPr>
        <w:t>应收款项融资分类列示</w:t>
      </w:r>
      <w:bookmarkEnd w:id="266"/>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应收票据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4,488,656.99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14,258,718.27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4,488,656.99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14,258,718.27</w:t>
            </w:r>
          </w:p>
        </w:tc>
      </w:tr>
    </w:tbl>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3"/>
        <w:rPr>
          <w:rFonts w:ascii="宋体" w:hAnsi="宋体" w:eastAsia="宋体" w:cs="宋体"/>
          <w:b/>
          <w:bCs/>
          <w:sz w:val="21"/>
          <w:szCs w:val="21"/>
        </w:rPr>
      </w:pPr>
      <w:bookmarkStart w:id="267" w:name="_Toc989118"/>
      <w:r>
        <w:rPr>
          <w:rFonts w:hint="eastAsia" w:ascii="宋体" w:hAnsi="宋体" w:eastAsia="宋体" w:cs="宋体"/>
          <w:b/>
          <w:bCs/>
          <w:sz w:val="21"/>
          <w:szCs w:val="21"/>
          <w:lang w:val="en-US" w:eastAsia="zh-CN"/>
        </w:rPr>
        <w:t>2.</w:t>
      </w:r>
      <w:r>
        <w:rPr>
          <w:rFonts w:ascii="宋体" w:hAnsi="宋体" w:eastAsia="宋体" w:cs="宋体"/>
          <w:b/>
          <w:bCs/>
          <w:sz w:val="21"/>
          <w:szCs w:val="21"/>
        </w:rPr>
        <w:t>期末公司已背书或贴现且在资产负债表日尚未到期的应收款项融资</w:t>
      </w:r>
      <w:bookmarkEnd w:id="267"/>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期末终止确认金额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期末未终止确认金额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银行承兑汇票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53,605,175.99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53,605,175.99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keepNext/>
        <w:keepLines/>
        <w:pageBreakBefore w:val="0"/>
        <w:widowControl w:val="0"/>
        <w:kinsoku/>
        <w:wordWrap/>
        <w:overflowPunct/>
        <w:topLinePunct w:val="0"/>
        <w:autoSpaceDE/>
        <w:autoSpaceDN/>
        <w:bidi w:val="0"/>
        <w:adjustRightInd/>
        <w:snapToGrid/>
        <w:spacing w:before="300" w:after="60" w:line="280" w:lineRule="exact"/>
        <w:jc w:val="left"/>
        <w:textAlignment w:val="auto"/>
        <w:outlineLvl w:val="3"/>
        <w:rPr>
          <w:rFonts w:ascii="宋体" w:hAnsi="宋体" w:eastAsia="宋体" w:cs="宋体"/>
          <w:b/>
          <w:bCs/>
          <w:sz w:val="21"/>
          <w:szCs w:val="21"/>
        </w:rPr>
      </w:pPr>
      <w:bookmarkStart w:id="268" w:name="_Toc989119"/>
      <w:r>
        <w:rPr>
          <w:rFonts w:hint="eastAsia" w:ascii="宋体" w:hAnsi="宋体" w:eastAsia="宋体" w:cs="宋体"/>
          <w:b/>
          <w:bCs/>
          <w:sz w:val="21"/>
          <w:szCs w:val="21"/>
          <w:lang w:val="en-US" w:eastAsia="zh-CN"/>
        </w:rPr>
        <w:t>3.</w:t>
      </w:r>
      <w:r>
        <w:rPr>
          <w:rFonts w:ascii="宋体" w:hAnsi="宋体" w:eastAsia="宋体" w:cs="宋体"/>
          <w:b/>
          <w:bCs/>
          <w:sz w:val="21"/>
          <w:szCs w:val="21"/>
        </w:rPr>
        <w:t>应收款项融资本期增减变动及公允价值变动情况</w:t>
      </w:r>
      <w:bookmarkEnd w:id="268"/>
    </w:p>
    <w:tbl>
      <w:tblPr>
        <w:tblStyle w:val="5"/>
        <w:tblW w:w="10185" w:type="dxa"/>
        <w:tblInd w:w="-30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95"/>
        <w:gridCol w:w="1740"/>
        <w:gridCol w:w="1740"/>
        <w:gridCol w:w="1545"/>
        <w:gridCol w:w="870"/>
        <w:gridCol w:w="1455"/>
        <w:gridCol w:w="17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bookmarkStart w:id="269" w:name="_Toc989120"/>
            <w:r>
              <w:rPr>
                <w:rFonts w:hint="eastAsia" w:ascii="宋体" w:hAnsi="宋体" w:eastAsia="宋体" w:cs="宋体"/>
                <w:i w:val="0"/>
                <w:iCs w:val="0"/>
                <w:color w:val="000000"/>
                <w:kern w:val="0"/>
                <w:sz w:val="18"/>
                <w:szCs w:val="18"/>
                <w:u w:val="none"/>
                <w:lang w:val="en-US" w:eastAsia="zh-CN" w:bidi="ar"/>
              </w:rPr>
              <w:t>项目</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上年年末余额</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本期新增</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本期终止确认</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其他变动</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期末余额</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累计在其他综合收益中确认的损失准备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1"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应收票据</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14,258,718.27</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117,111,865.53</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126,881,926.81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4,488,656.99</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tabs>
                <w:tab w:val="left" w:pos="1470"/>
              </w:tabs>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1"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14,258,718.27</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117,111,865.53</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126,881,926.81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4,488,656.99</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r>
    </w:tbl>
    <w:p>
      <w:pPr>
        <w:keepNext/>
        <w:keepLines/>
        <w:spacing w:before="300" w:after="300" w:line="280" w:lineRule="exact"/>
        <w:jc w:val="left"/>
        <w:outlineLvl w:val="3"/>
        <w:rPr>
          <w:rFonts w:ascii="宋体" w:hAnsi="宋体" w:eastAsia="宋体" w:cs="宋体"/>
          <w:b/>
          <w:bCs/>
          <w:sz w:val="21"/>
          <w:szCs w:val="21"/>
        </w:rPr>
      </w:pPr>
      <w:r>
        <w:rPr>
          <w:rFonts w:hint="eastAsia" w:ascii="宋体" w:hAnsi="宋体" w:eastAsia="宋体" w:cs="宋体"/>
          <w:b/>
          <w:bCs/>
          <w:sz w:val="21"/>
          <w:szCs w:val="21"/>
          <w:lang w:val="en-US" w:eastAsia="zh-CN"/>
        </w:rPr>
        <w:t>4.</w:t>
      </w:r>
      <w:r>
        <w:rPr>
          <w:rFonts w:ascii="宋体" w:hAnsi="宋体" w:eastAsia="宋体" w:cs="宋体"/>
          <w:b/>
          <w:bCs/>
          <w:sz w:val="21"/>
          <w:szCs w:val="21"/>
        </w:rPr>
        <w:t>其他说明</w:t>
      </w:r>
      <w:bookmarkEnd w:id="269"/>
    </w:p>
    <w:p>
      <w:pPr>
        <w:pStyle w:val="4"/>
        <w:keepNext w:val="0"/>
        <w:keepLines w:val="0"/>
        <w:widowControl/>
        <w:suppressLineNumbers w:val="0"/>
      </w:pPr>
      <w:r>
        <w:rPr>
          <w:rFonts w:hint="eastAsia" w:ascii="宋体" w:hAnsi="宋体" w:eastAsia="宋体" w:cs="宋体"/>
          <w:sz w:val="18"/>
          <w:szCs w:val="18"/>
        </w:rPr>
        <w:t>无。</w:t>
      </w:r>
    </w:p>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2"/>
        <w:rPr>
          <w:rFonts w:ascii="宋体" w:hAnsi="宋体" w:eastAsia="宋体" w:cs="宋体"/>
          <w:b/>
          <w:bCs/>
          <w:sz w:val="21"/>
          <w:szCs w:val="21"/>
        </w:rPr>
      </w:pPr>
      <w:bookmarkStart w:id="270" w:name="_Toc989121"/>
      <w:r>
        <w:rPr>
          <w:rFonts w:hint="eastAsia" w:ascii="宋体" w:hAnsi="宋体" w:eastAsia="宋体" w:cs="宋体"/>
          <w:b/>
          <w:bCs/>
          <w:sz w:val="21"/>
          <w:szCs w:val="21"/>
          <w:lang w:eastAsia="zh-CN"/>
        </w:rPr>
        <w:t>（六）</w:t>
      </w:r>
      <w:r>
        <w:rPr>
          <w:rFonts w:ascii="宋体" w:hAnsi="宋体" w:eastAsia="宋体" w:cs="宋体"/>
          <w:b/>
          <w:bCs/>
          <w:sz w:val="21"/>
          <w:szCs w:val="21"/>
        </w:rPr>
        <w:t>其他应收款</w:t>
      </w:r>
      <w:bookmarkEnd w:id="270"/>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其他应收款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2,592,082.96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1,047,840.56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2,592,082.96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1,047,840.56</w:t>
            </w:r>
          </w:p>
        </w:tc>
      </w:tr>
    </w:tbl>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3"/>
        <w:rPr>
          <w:rFonts w:hint="eastAsia" w:ascii="宋体" w:hAnsi="宋体" w:eastAsia="宋体" w:cs="宋体"/>
          <w:b/>
          <w:bCs/>
          <w:sz w:val="21"/>
          <w:szCs w:val="21"/>
          <w:lang w:val="en-US" w:eastAsia="zh-CN"/>
        </w:rPr>
      </w:pPr>
      <w:bookmarkStart w:id="271" w:name="_Toc989123"/>
      <w:r>
        <w:rPr>
          <w:rFonts w:hint="eastAsia" w:ascii="宋体" w:hAnsi="宋体" w:eastAsia="宋体" w:cs="宋体"/>
          <w:b/>
          <w:bCs/>
          <w:sz w:val="21"/>
          <w:szCs w:val="21"/>
          <w:lang w:val="en-US" w:eastAsia="zh-CN"/>
        </w:rPr>
        <w:t>1.其他应收款按款项性质分类情况</w:t>
      </w:r>
      <w:bookmarkEnd w:id="271"/>
    </w:p>
    <w:p>
      <w:pPr>
        <w:keepNext w:val="0"/>
        <w:keepLines w:val="0"/>
        <w:pageBreakBefore w:val="0"/>
        <w:widowControl w:val="0"/>
        <w:kinsoku/>
        <w:wordWrap/>
        <w:overflowPunct/>
        <w:topLinePunct w:val="0"/>
        <w:autoSpaceDE/>
        <w:autoSpaceDN/>
        <w:bidi w:val="0"/>
        <w:adjustRightInd/>
        <w:snapToGrid/>
        <w:spacing w:before="40" w:line="240" w:lineRule="exact"/>
        <w:jc w:val="right"/>
        <w:textAlignment w:val="auto"/>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款项性质</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期末账面余额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期初账面余额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往来款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5,456,733.00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3,970,419.62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保证金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20,400.00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备用金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689,648.80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506,411.12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6,166,781.80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4,516,830.74</w:t>
            </w:r>
          </w:p>
        </w:tc>
      </w:tr>
    </w:tbl>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3"/>
        <w:rPr>
          <w:rFonts w:hint="eastAsia" w:ascii="宋体" w:hAnsi="宋体" w:eastAsia="宋体" w:cs="宋体"/>
          <w:b/>
          <w:bCs/>
          <w:sz w:val="21"/>
          <w:szCs w:val="21"/>
          <w:lang w:val="en-US" w:eastAsia="zh-CN"/>
        </w:rPr>
      </w:pPr>
      <w:bookmarkStart w:id="272" w:name="_Toc989124"/>
      <w:r>
        <w:rPr>
          <w:rFonts w:hint="eastAsia" w:ascii="宋体" w:hAnsi="宋体" w:eastAsia="宋体" w:cs="宋体"/>
          <w:b/>
          <w:bCs/>
          <w:sz w:val="21"/>
          <w:szCs w:val="21"/>
          <w:lang w:val="en-US" w:eastAsia="zh-CN"/>
        </w:rPr>
        <w:t>2.按账龄披露</w:t>
      </w:r>
      <w:bookmarkEnd w:id="272"/>
    </w:p>
    <w:p>
      <w:pPr>
        <w:keepNext w:val="0"/>
        <w:keepLines w:val="0"/>
        <w:pageBreakBefore w:val="0"/>
        <w:widowControl w:val="0"/>
        <w:kinsoku/>
        <w:wordWrap/>
        <w:overflowPunct/>
        <w:topLinePunct w:val="0"/>
        <w:autoSpaceDE/>
        <w:autoSpaceDN/>
        <w:bidi w:val="0"/>
        <w:adjustRightInd/>
        <w:snapToGrid/>
        <w:spacing w:before="120" w:line="240" w:lineRule="exact"/>
        <w:jc w:val="right"/>
        <w:textAlignment w:val="auto"/>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账龄</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期末账面余额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期初账面余额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1年以内（含1年）</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2,602,119.54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1,035,218.73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1至2年</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104,025.50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813,430.25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2至3年</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812,455.00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10,200.00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3年以上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2,648,181.76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2,657,981.76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3至4年</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10,200.00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141,172.02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4至5年</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121,172.02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24,960.00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5年以上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2,516,809.74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2,491,849.74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6,166,781.80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4,516,830.74</w:t>
            </w:r>
          </w:p>
        </w:tc>
      </w:tr>
    </w:tbl>
    <w:p>
      <w:pPr>
        <w:keepNext/>
        <w:keepLines/>
        <w:pageBreakBefore w:val="0"/>
        <w:widowControl w:val="0"/>
        <w:kinsoku/>
        <w:wordWrap/>
        <w:overflowPunct/>
        <w:topLinePunct w:val="0"/>
        <w:autoSpaceDE/>
        <w:autoSpaceDN/>
        <w:bidi w:val="0"/>
        <w:adjustRightInd/>
        <w:snapToGrid/>
        <w:spacing w:before="300" w:after="300" w:line="280" w:lineRule="exact"/>
        <w:jc w:val="left"/>
        <w:textAlignment w:val="auto"/>
        <w:outlineLvl w:val="3"/>
        <w:rPr>
          <w:rFonts w:hint="eastAsia" w:ascii="宋体" w:hAnsi="宋体" w:eastAsia="宋体" w:cs="宋体"/>
          <w:b/>
          <w:bCs/>
          <w:sz w:val="21"/>
          <w:szCs w:val="21"/>
          <w:lang w:val="en-US" w:eastAsia="zh-CN"/>
        </w:rPr>
      </w:pPr>
      <w:bookmarkStart w:id="273" w:name="_Toc989125"/>
      <w:r>
        <w:rPr>
          <w:rFonts w:hint="eastAsia" w:ascii="宋体" w:hAnsi="宋体" w:eastAsia="宋体" w:cs="宋体"/>
          <w:b/>
          <w:bCs/>
          <w:sz w:val="21"/>
          <w:szCs w:val="21"/>
          <w:lang w:val="en-US" w:eastAsia="zh-CN"/>
        </w:rPr>
        <w:t>3.按坏账计提方法分类披露</w:t>
      </w:r>
      <w:bookmarkEnd w:id="273"/>
    </w:p>
    <w:p>
      <w:pPr>
        <w:spacing w:before="40" w:after="4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76"/>
        <w:gridCol w:w="876"/>
        <w:gridCol w:w="876"/>
        <w:gridCol w:w="876"/>
        <w:gridCol w:w="876"/>
        <w:gridCol w:w="876"/>
        <w:gridCol w:w="876"/>
        <w:gridCol w:w="876"/>
        <w:gridCol w:w="876"/>
        <w:gridCol w:w="876"/>
        <w:gridCol w:w="8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类别</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按单项计提坏账准备</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2,018,468.71</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32.73%</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2,018,468.71</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2,018,468.71</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44.69%</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2,018,468.71</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按组合计提坏账准备</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4,148,313.09</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67.27%</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1,556,230.13</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37.51%</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2,592,082.96</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2,498,362.03</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55.31%</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1,450,521.47</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58.06%</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1,047,840.56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6,166,781.80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3,574,698.84</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2,592,082.96</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4,516,830.74</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3,468,990.18</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1,047,840.56</w:t>
            </w:r>
          </w:p>
        </w:tc>
      </w:tr>
    </w:tbl>
    <w:p>
      <w:pPr>
        <w:spacing w:before="0" w:after="0" w:line="240" w:lineRule="exact"/>
        <w:jc w:val="left"/>
        <w:rPr>
          <w:rFonts w:ascii="宋体" w:hAnsi="宋体" w:eastAsia="宋体" w:cs="宋体"/>
          <w:sz w:val="18"/>
          <w:szCs w:val="18"/>
        </w:rPr>
      </w:pPr>
    </w:p>
    <w:p>
      <w:pPr>
        <w:spacing w:before="0" w:after="0" w:line="240" w:lineRule="exact"/>
        <w:jc w:val="left"/>
        <w:rPr>
          <w:rFonts w:ascii="宋体" w:hAnsi="宋体" w:eastAsia="宋体" w:cs="宋体"/>
          <w:sz w:val="18"/>
          <w:szCs w:val="18"/>
        </w:rPr>
      </w:pPr>
      <w:r>
        <w:rPr>
          <w:rFonts w:ascii="宋体" w:hAnsi="宋体" w:eastAsia="宋体" w:cs="宋体"/>
          <w:sz w:val="18"/>
          <w:szCs w:val="18"/>
        </w:rPr>
        <w:t>按单项计提坏账准备：2,018,468.71元</w:t>
      </w:r>
      <w:r>
        <w:rPr>
          <w:rFonts w:hint="eastAsia" w:ascii="宋体" w:hAnsi="宋体" w:cs="宋体"/>
          <w:sz w:val="18"/>
          <w:szCs w:val="18"/>
          <w:lang w:val="en-US" w:eastAsia="zh-CN"/>
        </w:rPr>
        <w:t xml:space="preserve">                                                              </w:t>
      </w: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名称</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5508"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计提理由</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田海鹏</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812,255.00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812,255.00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812,255.00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812,255.00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预计无法收回</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小额难以收回的其他应收款合计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1,206,213.71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1,206,213.71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1,206,213.71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1,206,213.71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预计无法收回</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2,018,468.71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2,018,468.71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2,018,468.71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2,018,468.71</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0" w:after="0" w:line="240" w:lineRule="exact"/>
        <w:jc w:val="left"/>
        <w:rPr>
          <w:rFonts w:ascii="宋体" w:hAnsi="宋体" w:eastAsia="宋体" w:cs="宋体"/>
          <w:sz w:val="18"/>
          <w:szCs w:val="18"/>
        </w:rPr>
      </w:pPr>
    </w:p>
    <w:p>
      <w:pPr>
        <w:spacing w:before="0" w:after="0" w:line="240" w:lineRule="exact"/>
        <w:jc w:val="left"/>
        <w:rPr>
          <w:rFonts w:ascii="宋体" w:hAnsi="宋体" w:eastAsia="宋体" w:cs="宋体"/>
          <w:sz w:val="18"/>
          <w:szCs w:val="18"/>
        </w:rPr>
      </w:pPr>
      <w:r>
        <w:rPr>
          <w:rFonts w:ascii="宋体" w:hAnsi="宋体" w:eastAsia="宋体" w:cs="宋体"/>
          <w:sz w:val="18"/>
          <w:szCs w:val="18"/>
        </w:rPr>
        <w:t>按组合计提坏账准备：1,556,230.13元</w:t>
      </w:r>
      <w:r>
        <w:rPr>
          <w:rFonts w:hint="eastAsia" w:ascii="宋体" w:hAnsi="宋体" w:cs="宋体"/>
          <w:sz w:val="18"/>
          <w:szCs w:val="18"/>
          <w:lang w:val="en-US" w:eastAsia="zh-CN"/>
        </w:rPr>
        <w:t xml:space="preserve">                                                             </w:t>
      </w: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名称</w:t>
            </w:r>
          </w:p>
        </w:tc>
        <w:tc>
          <w:tcPr>
            <w:tcW w:w="7229"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1年以内（含1年）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2,602,119.54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130,105.98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1至2年（含2年）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104,025.50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10,402.55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2-3年（含3年）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3-4年（含4年）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4-5年（含5年）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52,892.90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26,446.45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5年以上</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1,389,275.15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1,389,275.15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4,148,313.09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1,556,230.13</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0" w:after="0" w:line="240" w:lineRule="exact"/>
        <w:jc w:val="left"/>
        <w:rPr>
          <w:rFonts w:ascii="宋体" w:hAnsi="宋体" w:eastAsia="宋体" w:cs="宋体"/>
          <w:sz w:val="18"/>
          <w:szCs w:val="18"/>
        </w:rPr>
      </w:pPr>
    </w:p>
    <w:p>
      <w:pPr>
        <w:spacing w:before="0" w:after="0" w:line="240" w:lineRule="exact"/>
        <w:jc w:val="left"/>
        <w:rPr>
          <w:rFonts w:ascii="宋体" w:hAnsi="宋体" w:eastAsia="宋体" w:cs="宋体"/>
          <w:sz w:val="18"/>
          <w:szCs w:val="18"/>
        </w:rPr>
      </w:pPr>
      <w:r>
        <w:rPr>
          <w:rFonts w:ascii="宋体" w:hAnsi="宋体" w:eastAsia="宋体" w:cs="宋体"/>
          <w:sz w:val="18"/>
          <w:szCs w:val="18"/>
        </w:rPr>
        <w:t>按预期信用损失一般模型计提坏账准备：</w:t>
      </w:r>
      <w:r>
        <w:rPr>
          <w:rFonts w:hint="eastAsia" w:ascii="宋体" w:hAnsi="宋体" w:cs="宋体"/>
          <w:sz w:val="18"/>
          <w:szCs w:val="18"/>
          <w:lang w:val="en-US" w:eastAsia="zh-CN"/>
        </w:rPr>
        <w:t xml:space="preserve">                                                           </w:t>
      </w: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第一阶段</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第二阶段</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第三阶段</w:t>
            </w:r>
          </w:p>
        </w:tc>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未来12个月预期信用损失</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整个存续期预期信用损失（未发生信用减值）</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整个存续期预期信用损失（已发生信用减值）</w:t>
            </w:r>
          </w:p>
        </w:tc>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2024年1月1日余额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133,985.07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3,335,005.11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3,468,990.18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2024年1月1日余额在本期</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本期计提</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105,708.66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105,708.66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2024年12月31日余额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239,693.73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3,335,005.11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3,574,698.84</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各阶段划分依据和坏账准备计提比例</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损失准备本期变动金额重大的账面余额变动情况</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pageBreakBefore w:val="0"/>
        <w:widowControl w:val="0"/>
        <w:kinsoku/>
        <w:wordWrap/>
        <w:overflowPunct/>
        <w:topLinePunct w:val="0"/>
        <w:autoSpaceDE/>
        <w:autoSpaceDN/>
        <w:bidi w:val="0"/>
        <w:adjustRightInd/>
        <w:snapToGrid/>
        <w:spacing w:before="300" w:after="300" w:line="280" w:lineRule="exact"/>
        <w:jc w:val="left"/>
        <w:textAlignment w:val="auto"/>
        <w:outlineLvl w:val="3"/>
        <w:rPr>
          <w:rFonts w:hint="eastAsia" w:ascii="宋体" w:hAnsi="宋体" w:eastAsia="宋体" w:cs="宋体"/>
          <w:b/>
          <w:bCs/>
          <w:sz w:val="21"/>
          <w:szCs w:val="21"/>
          <w:lang w:val="en-US" w:eastAsia="zh-CN"/>
        </w:rPr>
      </w:pPr>
      <w:bookmarkStart w:id="274" w:name="_Toc989126"/>
      <w:r>
        <w:rPr>
          <w:rFonts w:hint="eastAsia" w:ascii="宋体" w:hAnsi="宋体" w:eastAsia="宋体" w:cs="宋体"/>
          <w:b/>
          <w:bCs/>
          <w:sz w:val="21"/>
          <w:szCs w:val="21"/>
          <w:lang w:val="en-US" w:eastAsia="zh-CN"/>
        </w:rPr>
        <w:t>4.本期计提、收回或转回的坏账准备情况</w:t>
      </w:r>
      <w:bookmarkEnd w:id="274"/>
    </w:p>
    <w:p>
      <w:pPr>
        <w:spacing w:before="100" w:after="100" w:line="240" w:lineRule="exact"/>
        <w:jc w:val="left"/>
        <w:rPr>
          <w:rFonts w:ascii="宋体" w:hAnsi="宋体" w:eastAsia="宋体" w:cs="宋体"/>
          <w:sz w:val="18"/>
          <w:szCs w:val="18"/>
        </w:rPr>
      </w:pPr>
      <w:r>
        <w:rPr>
          <w:rFonts w:ascii="宋体" w:hAnsi="宋体" w:eastAsia="宋体" w:cs="宋体"/>
          <w:sz w:val="18"/>
          <w:szCs w:val="18"/>
        </w:rPr>
        <w:t>本期计提坏账准备情况：</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类别</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5508"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本期变动金额</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收回或转回</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转销或核销</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按单项计提坏账准备</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2,018,468.71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2,018,468.71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按信用风险特征组合计提坏账准备</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1,450,521.47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105,708.66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1,556,230.13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3,468,990.18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105,708.66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3,574,698.84</w:t>
            </w:r>
          </w:p>
        </w:tc>
      </w:tr>
    </w:tbl>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3"/>
        <w:rPr>
          <w:rFonts w:ascii="宋体" w:hAnsi="宋体" w:eastAsia="宋体" w:cs="宋体"/>
          <w:b/>
          <w:bCs/>
          <w:sz w:val="21"/>
          <w:szCs w:val="21"/>
        </w:rPr>
      </w:pPr>
      <w:bookmarkStart w:id="275" w:name="_Toc989127"/>
      <w:r>
        <w:rPr>
          <w:rFonts w:hint="eastAsia" w:ascii="宋体" w:hAnsi="宋体" w:eastAsia="宋体" w:cs="宋体"/>
          <w:b/>
          <w:bCs/>
          <w:sz w:val="21"/>
          <w:szCs w:val="21"/>
          <w:lang w:val="en-US" w:eastAsia="zh-CN"/>
        </w:rPr>
        <w:t>5.</w:t>
      </w:r>
      <w:r>
        <w:rPr>
          <w:rFonts w:ascii="宋体" w:hAnsi="宋体" w:eastAsia="宋体" w:cs="宋体"/>
          <w:b/>
          <w:bCs/>
          <w:sz w:val="21"/>
          <w:szCs w:val="21"/>
        </w:rPr>
        <w:t>按欠款方归集的期末余额前五名的其他应收款情况</w:t>
      </w:r>
      <w:bookmarkEnd w:id="27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款项的性质</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账龄</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占其他应收款期末余额合计数的比例</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长沙市工伤保险服务中心</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往来款</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1,080,000.00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1年以内</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17.51%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54,000.00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上海雍丰国际贸易有限公司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往来款</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843,000.00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5年以上</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13.67%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843,000.00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田海鹏</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往来款</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812,255.00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2至3年</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13.17%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812,255.00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长沙怡和有色新金属有限公司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往来款</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473,536.40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5年以上</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7.68%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473,536.40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宝鸡市天河钛业有限公司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往来款</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448,534.00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5年以上</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448,534.00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3,657,325.40</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59.30%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2,631,325.40</w:t>
            </w:r>
          </w:p>
        </w:tc>
      </w:tr>
    </w:tbl>
    <w:p>
      <w:pPr>
        <w:keepNext/>
        <w:keepLines/>
        <w:spacing w:before="300" w:after="300" w:line="280" w:lineRule="exact"/>
        <w:jc w:val="left"/>
        <w:outlineLvl w:val="2"/>
        <w:rPr>
          <w:rFonts w:ascii="宋体" w:hAnsi="宋体" w:eastAsia="宋体" w:cs="宋体"/>
          <w:b/>
          <w:bCs/>
          <w:sz w:val="21"/>
          <w:szCs w:val="21"/>
        </w:rPr>
      </w:pPr>
      <w:bookmarkStart w:id="276" w:name="_Toc989129"/>
      <w:r>
        <w:rPr>
          <w:rFonts w:hint="eastAsia" w:ascii="宋体" w:hAnsi="宋体" w:eastAsia="宋体" w:cs="宋体"/>
          <w:b/>
          <w:bCs/>
          <w:sz w:val="21"/>
          <w:szCs w:val="21"/>
          <w:lang w:eastAsia="zh-CN"/>
        </w:rPr>
        <w:t>（七）</w:t>
      </w:r>
      <w:r>
        <w:rPr>
          <w:rFonts w:ascii="宋体" w:hAnsi="宋体" w:eastAsia="宋体" w:cs="宋体"/>
          <w:b/>
          <w:bCs/>
          <w:sz w:val="21"/>
          <w:szCs w:val="21"/>
        </w:rPr>
        <w:t>预付款项</w:t>
      </w:r>
      <w:bookmarkEnd w:id="276"/>
    </w:p>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3"/>
        <w:rPr>
          <w:rFonts w:hint="eastAsia" w:ascii="宋体" w:hAnsi="宋体" w:eastAsia="宋体" w:cs="宋体"/>
          <w:b/>
          <w:bCs/>
          <w:sz w:val="21"/>
          <w:szCs w:val="21"/>
          <w:lang w:val="en-US" w:eastAsia="zh-CN"/>
        </w:rPr>
      </w:pPr>
      <w:bookmarkStart w:id="277" w:name="_Toc989130"/>
      <w:r>
        <w:rPr>
          <w:rFonts w:hint="eastAsia" w:ascii="宋体" w:hAnsi="宋体" w:eastAsia="宋体" w:cs="宋体"/>
          <w:b/>
          <w:bCs/>
          <w:sz w:val="21"/>
          <w:szCs w:val="21"/>
          <w:lang w:val="en-US" w:eastAsia="zh-CN"/>
        </w:rPr>
        <w:t>1.预付款项按账龄列示</w:t>
      </w:r>
      <w:bookmarkEnd w:id="277"/>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账龄</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比例</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比例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1年以内</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11,605,277.01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95.31%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9,941,837.02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93.99%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1至2年</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481,409.22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617,222.25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2至3年</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89,758.00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0.74%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18,879.40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0.18%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12,176,444.23</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10,577,938.67</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100" w:after="100" w:line="240" w:lineRule="exact"/>
        <w:jc w:val="left"/>
        <w:rPr>
          <w:rFonts w:ascii="宋体" w:hAnsi="宋体" w:eastAsia="宋体" w:cs="宋体"/>
          <w:sz w:val="18"/>
          <w:szCs w:val="18"/>
        </w:rPr>
      </w:pPr>
    </w:p>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3"/>
        <w:rPr>
          <w:rFonts w:ascii="宋体" w:hAnsi="宋体" w:eastAsia="宋体" w:cs="宋体"/>
          <w:b/>
          <w:bCs/>
          <w:sz w:val="21"/>
          <w:szCs w:val="21"/>
        </w:rPr>
      </w:pPr>
      <w:bookmarkStart w:id="278" w:name="_Toc989131"/>
      <w:r>
        <w:rPr>
          <w:rFonts w:hint="eastAsia" w:ascii="宋体" w:hAnsi="宋体" w:eastAsia="宋体" w:cs="宋体"/>
          <w:b/>
          <w:bCs/>
          <w:sz w:val="21"/>
          <w:szCs w:val="21"/>
          <w:lang w:val="en-US" w:eastAsia="zh-CN"/>
        </w:rPr>
        <w:t>2.</w:t>
      </w:r>
      <w:r>
        <w:rPr>
          <w:rFonts w:ascii="宋体" w:hAnsi="宋体" w:eastAsia="宋体" w:cs="宋体"/>
          <w:b/>
          <w:bCs/>
          <w:sz w:val="21"/>
          <w:szCs w:val="21"/>
        </w:rPr>
        <w:t>按预付对象归集的期末余额前五名的预付款情况</w:t>
      </w:r>
      <w:bookmarkEnd w:id="278"/>
    </w:p>
    <w:tbl>
      <w:tblPr>
        <w:tblStyle w:val="5"/>
        <w:tblW w:w="922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289"/>
        <w:gridCol w:w="2380"/>
        <w:gridCol w:w="25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3" w:hRule="atLeast"/>
        </w:trPr>
        <w:tc>
          <w:tcPr>
            <w:tcW w:w="428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国网汇通金财（北京）信息科技有限公司</w:t>
            </w: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4,273,227.88</w:t>
            </w:r>
          </w:p>
        </w:tc>
        <w:tc>
          <w:tcPr>
            <w:tcW w:w="25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1" w:hRule="atLeast"/>
        </w:trPr>
        <w:tc>
          <w:tcPr>
            <w:tcW w:w="428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国网湖南省电力公司长沙供电分公司</w:t>
            </w: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1,018,839.12</w:t>
            </w:r>
          </w:p>
        </w:tc>
        <w:tc>
          <w:tcPr>
            <w:tcW w:w="25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auto"/>
                <w:kern w:val="0"/>
                <w:sz w:val="18"/>
                <w:szCs w:val="18"/>
                <w:u w:val="none"/>
                <w:shd w:val="clear" w:color="auto" w:fill="auto"/>
                <w:lang w:val="en-US" w:eastAsia="zh-CN" w:bidi="ar"/>
              </w:rPr>
              <w:t>8.37%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1" w:hRule="atLeast"/>
        </w:trPr>
        <w:tc>
          <w:tcPr>
            <w:tcW w:w="428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长沙双合盛企业管理有限公司</w:t>
            </w: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647,169.81</w:t>
            </w:r>
          </w:p>
        </w:tc>
        <w:tc>
          <w:tcPr>
            <w:tcW w:w="25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auto"/>
                <w:kern w:val="0"/>
                <w:sz w:val="18"/>
                <w:szCs w:val="18"/>
                <w:u w:val="none"/>
                <w:shd w:val="clear" w:color="auto" w:fill="auto"/>
                <w:lang w:val="en-US" w:eastAsia="zh-CN" w:bidi="ar"/>
              </w:rPr>
              <w:t>5.31%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1" w:hRule="atLeast"/>
        </w:trPr>
        <w:tc>
          <w:tcPr>
            <w:tcW w:w="428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重庆航铝物资有限责任公司</w:t>
            </w: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632,791.80</w:t>
            </w:r>
          </w:p>
        </w:tc>
        <w:tc>
          <w:tcPr>
            <w:tcW w:w="25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auto"/>
                <w:kern w:val="0"/>
                <w:sz w:val="18"/>
                <w:szCs w:val="18"/>
                <w:u w:val="none"/>
                <w:shd w:val="clear" w:color="auto" w:fill="auto"/>
                <w:lang w:val="en-US" w:eastAsia="zh-CN" w:bidi="ar"/>
              </w:rPr>
              <w:t>5.20%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1" w:hRule="atLeast"/>
        </w:trPr>
        <w:tc>
          <w:tcPr>
            <w:tcW w:w="428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中国石化销售股份有限公司湖南长沙石油分公司</w:t>
            </w: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596,662.39</w:t>
            </w:r>
          </w:p>
        </w:tc>
        <w:tc>
          <w:tcPr>
            <w:tcW w:w="25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auto"/>
                <w:kern w:val="0"/>
                <w:sz w:val="18"/>
                <w:szCs w:val="18"/>
                <w:u w:val="none"/>
                <w:shd w:val="clear" w:color="auto" w:fill="auto"/>
                <w:lang w:val="en-US" w:eastAsia="zh-CN" w:bidi="ar"/>
              </w:rPr>
              <w:t>4.90%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1" w:hRule="atLeast"/>
        </w:trPr>
        <w:tc>
          <w:tcPr>
            <w:tcW w:w="428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7,168,691.00</w:t>
            </w:r>
          </w:p>
        </w:tc>
        <w:tc>
          <w:tcPr>
            <w:tcW w:w="25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auto"/>
                <w:kern w:val="0"/>
                <w:sz w:val="18"/>
                <w:szCs w:val="18"/>
                <w:u w:val="none"/>
                <w:shd w:val="clear" w:color="auto" w:fill="auto"/>
                <w:lang w:val="en-US" w:eastAsia="zh-CN" w:bidi="ar"/>
              </w:rPr>
              <w:t>58.87%</w:t>
            </w:r>
          </w:p>
        </w:tc>
      </w:tr>
    </w:tbl>
    <w:p>
      <w:pPr>
        <w:keepNext/>
        <w:keepLines/>
        <w:spacing w:before="300" w:after="300" w:line="280" w:lineRule="exact"/>
        <w:jc w:val="left"/>
        <w:outlineLvl w:val="2"/>
        <w:rPr>
          <w:rFonts w:ascii="宋体" w:hAnsi="宋体" w:eastAsia="宋体" w:cs="宋体"/>
          <w:b/>
          <w:bCs/>
          <w:sz w:val="21"/>
          <w:szCs w:val="21"/>
        </w:rPr>
      </w:pPr>
      <w:bookmarkStart w:id="279" w:name="_Toc989132"/>
      <w:r>
        <w:rPr>
          <w:rFonts w:hint="eastAsia" w:ascii="宋体" w:hAnsi="宋体" w:eastAsia="宋体" w:cs="宋体"/>
          <w:b/>
          <w:bCs/>
          <w:sz w:val="21"/>
          <w:szCs w:val="21"/>
          <w:lang w:eastAsia="zh-CN"/>
        </w:rPr>
        <w:t>（八）</w:t>
      </w:r>
      <w:r>
        <w:rPr>
          <w:rFonts w:ascii="宋体" w:hAnsi="宋体" w:eastAsia="宋体" w:cs="宋体"/>
          <w:b/>
          <w:bCs/>
          <w:sz w:val="21"/>
          <w:szCs w:val="21"/>
        </w:rPr>
        <w:t>存货</w:t>
      </w:r>
      <w:bookmarkEnd w:id="279"/>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公司是否需要遵守房地产行业的披露要求</w:t>
      </w:r>
    </w:p>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3"/>
        <w:rPr>
          <w:rFonts w:ascii="宋体" w:hAnsi="宋体" w:eastAsia="宋体" w:cs="宋体"/>
          <w:b/>
          <w:bCs/>
          <w:sz w:val="21"/>
          <w:szCs w:val="21"/>
        </w:rPr>
      </w:pPr>
      <w:bookmarkStart w:id="280" w:name="_Toc989133"/>
      <w:r>
        <w:rPr>
          <w:rFonts w:hint="eastAsia" w:ascii="宋体" w:hAnsi="宋体" w:eastAsia="宋体" w:cs="宋体"/>
          <w:b/>
          <w:bCs/>
          <w:sz w:val="21"/>
          <w:szCs w:val="21"/>
          <w:lang w:val="en-US" w:eastAsia="zh-CN"/>
        </w:rPr>
        <w:t>1.</w:t>
      </w:r>
      <w:r>
        <w:rPr>
          <w:rFonts w:ascii="宋体" w:hAnsi="宋体" w:eastAsia="宋体" w:cs="宋体"/>
          <w:b/>
          <w:bCs/>
          <w:sz w:val="21"/>
          <w:szCs w:val="21"/>
        </w:rPr>
        <w:t>存货分类</w:t>
      </w:r>
      <w:bookmarkEnd w:id="280"/>
    </w:p>
    <w:p>
      <w:pPr>
        <w:keepNext w:val="0"/>
        <w:keepLines w:val="0"/>
        <w:pageBreakBefore w:val="0"/>
        <w:widowControl w:val="0"/>
        <w:kinsoku/>
        <w:wordWrap/>
        <w:overflowPunct/>
        <w:topLinePunct w:val="0"/>
        <w:autoSpaceDE/>
        <w:autoSpaceDN/>
        <w:bidi w:val="0"/>
        <w:adjustRightInd/>
        <w:snapToGrid/>
        <w:spacing w:before="40" w:line="240" w:lineRule="exact"/>
        <w:jc w:val="right"/>
        <w:textAlignment w:val="auto"/>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存货跌价准备或合同履约成本减值准备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存货跌价准备或合同履约成本减值准备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原材料</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175,930,026.85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20,118,580.70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155,811,446.15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166,210,843.66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16,081,073.39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150,129,770.27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在产品</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169,964,613.23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29,815,978.84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140,148,634.39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163,945,213.59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28,012,049.35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135,933,164.24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库存商品</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257,642,203.62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53,425,817.15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204,216,386.47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240,987,543.01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28,780,234.50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212,207,308.51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周转材料</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10,460,988.77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10,460,988.77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11,466,182.69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11,466,182.69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发出商品</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34,796,378.20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11,900,063.57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22,896,314.63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43,092,777.86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12,523,249.46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30,569,528.40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委托加工物资</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5,365,624.81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2,165,173.04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3,200,451.77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6,478,428.06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1,854,244.84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4,624,183.22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654,159,835.48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117,425,613.30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536,734,222.18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632,180,988.87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87,250,851.54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544,930,137.33</w:t>
            </w:r>
          </w:p>
        </w:tc>
      </w:tr>
    </w:tbl>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3"/>
        <w:rPr>
          <w:rFonts w:hint="eastAsia" w:ascii="宋体" w:hAnsi="宋体" w:eastAsia="宋体" w:cs="宋体"/>
          <w:b/>
          <w:bCs/>
          <w:sz w:val="21"/>
          <w:szCs w:val="21"/>
          <w:lang w:val="en-US" w:eastAsia="zh-CN"/>
        </w:rPr>
      </w:pPr>
      <w:bookmarkStart w:id="281" w:name="_Toc989134"/>
      <w:r>
        <w:rPr>
          <w:rFonts w:hint="eastAsia" w:ascii="宋体" w:hAnsi="宋体" w:eastAsia="宋体" w:cs="宋体"/>
          <w:b/>
          <w:bCs/>
          <w:sz w:val="21"/>
          <w:szCs w:val="21"/>
          <w:lang w:val="en-US" w:eastAsia="zh-CN"/>
        </w:rPr>
        <w:t>2.存货跌价准备和合同履约成本减值准备</w:t>
      </w:r>
      <w:bookmarkEnd w:id="28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本期增加金额</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本期减少金额</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转回或转销</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原材料</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16,081,073.39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4,037,507.31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20,118,580.70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在产品</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28,012,049.35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1,803,929.49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29,815,978.84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库存商品</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28,780,234.50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28,499,185.50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3,853,602.85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53,425,817.15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发出商品</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12,523,249.46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1,485,016.31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2,108,202.20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11,900,063.57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委托加工物资</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1,854,244.84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978,602.44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667,674.24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2,165,173.04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87,250,851.54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36,804,241.05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6,629,479.29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117,425,613.30</w:t>
            </w:r>
          </w:p>
        </w:tc>
      </w:tr>
    </w:tbl>
    <w:p>
      <w:pPr>
        <w:pStyle w:val="4"/>
        <w:keepNext w:val="0"/>
        <w:keepLines w:val="0"/>
        <w:widowControl/>
        <w:suppressLineNumbers w:val="0"/>
        <w:spacing w:before="0" w:beforeAutospacing="1" w:after="0" w:afterAutospacing="1"/>
        <w:ind w:left="0" w:right="0"/>
      </w:pPr>
      <w:r>
        <w:rPr>
          <w:rFonts w:hint="eastAsia" w:ascii="宋体" w:hAnsi="宋体" w:eastAsia="宋体" w:cs="宋体"/>
          <w:color w:val="000000"/>
          <w:sz w:val="21"/>
          <w:szCs w:val="21"/>
        </w:rPr>
        <w:t>本公司存货资产负债表日按成本与可变现净值孰低计量，当存货成本低于可变现净值时，存货按成本计量；当存货成本高于可变现净值时，存货按可变现净值计量，同时按照成本高于可变现净值的差额计提存货跌价准备，计入当期损益。</w:t>
      </w:r>
    </w:p>
    <w:p>
      <w:pPr>
        <w:keepNext w:val="0"/>
        <w:keepLines w:val="0"/>
        <w:pageBreakBefore w:val="0"/>
        <w:widowControl w:val="0"/>
        <w:kinsoku/>
        <w:wordWrap/>
        <w:overflowPunct/>
        <w:topLinePunct w:val="0"/>
        <w:autoSpaceDE/>
        <w:autoSpaceDN/>
        <w:bidi w:val="0"/>
        <w:adjustRightInd/>
        <w:snapToGrid/>
        <w:spacing w:before="100" w:line="240" w:lineRule="exact"/>
        <w:jc w:val="left"/>
        <w:textAlignment w:val="auto"/>
        <w:rPr>
          <w:rFonts w:ascii="宋体" w:hAnsi="宋体" w:eastAsia="宋体" w:cs="宋体"/>
          <w:sz w:val="18"/>
          <w:szCs w:val="18"/>
        </w:rPr>
      </w:pPr>
      <w:r>
        <w:rPr>
          <w:rFonts w:ascii="宋体" w:hAnsi="宋体" w:eastAsia="宋体" w:cs="宋体"/>
          <w:sz w:val="18"/>
          <w:szCs w:val="18"/>
        </w:rPr>
        <w:t>按组合计提存货跌价准备</w:t>
      </w:r>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组合名称</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跌价准备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跌价准备计提比例</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跌价准备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跌价准备计提比例</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按组合计提存货跌价准备的计提标准</w:t>
      </w:r>
    </w:p>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2"/>
        <w:rPr>
          <w:rFonts w:ascii="宋体" w:hAnsi="宋体" w:eastAsia="宋体" w:cs="宋体"/>
          <w:b/>
          <w:bCs/>
          <w:sz w:val="21"/>
          <w:szCs w:val="21"/>
        </w:rPr>
      </w:pPr>
      <w:bookmarkStart w:id="282" w:name="_Toc989135"/>
      <w:r>
        <w:rPr>
          <w:rFonts w:hint="eastAsia" w:ascii="宋体" w:hAnsi="宋体" w:eastAsia="宋体" w:cs="宋体"/>
          <w:b/>
          <w:bCs/>
          <w:sz w:val="21"/>
          <w:szCs w:val="21"/>
          <w:lang w:eastAsia="zh-CN"/>
        </w:rPr>
        <w:t>（九）</w:t>
      </w:r>
      <w:r>
        <w:rPr>
          <w:rFonts w:ascii="宋体" w:hAnsi="宋体" w:eastAsia="宋体" w:cs="宋体"/>
          <w:b/>
          <w:bCs/>
          <w:sz w:val="21"/>
          <w:szCs w:val="21"/>
        </w:rPr>
        <w:t>一年内到期的非流动资产</w:t>
      </w:r>
      <w:bookmarkEnd w:id="282"/>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bl>
    <w:p>
      <w:pPr>
        <w:keepNext/>
        <w:keepLines/>
        <w:spacing w:before="300" w:after="300" w:line="280" w:lineRule="exact"/>
        <w:jc w:val="left"/>
        <w:outlineLvl w:val="3"/>
        <w:rPr>
          <w:rFonts w:ascii="宋体" w:hAnsi="宋体" w:eastAsia="宋体" w:cs="宋体"/>
          <w:b/>
          <w:bCs/>
          <w:sz w:val="21"/>
          <w:szCs w:val="21"/>
        </w:rPr>
      </w:pPr>
      <w:bookmarkStart w:id="283" w:name="_Toc989136"/>
      <w:r>
        <w:rPr>
          <w:rFonts w:hint="eastAsia" w:ascii="宋体" w:hAnsi="宋体" w:eastAsia="宋体" w:cs="宋体"/>
          <w:b/>
          <w:bCs/>
          <w:sz w:val="21"/>
          <w:szCs w:val="21"/>
          <w:lang w:val="en-US" w:eastAsia="zh-CN"/>
        </w:rPr>
        <w:t>1.</w:t>
      </w:r>
      <w:r>
        <w:rPr>
          <w:rFonts w:ascii="宋体" w:hAnsi="宋体" w:eastAsia="宋体" w:cs="宋体"/>
          <w:b/>
          <w:bCs/>
          <w:sz w:val="21"/>
          <w:szCs w:val="21"/>
        </w:rPr>
        <w:t>一年内到期的债权投资</w:t>
      </w:r>
      <w:bookmarkEnd w:id="283"/>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3"/>
        <w:rPr>
          <w:rFonts w:ascii="宋体" w:hAnsi="宋体" w:eastAsia="宋体" w:cs="宋体"/>
          <w:b/>
          <w:bCs/>
          <w:sz w:val="21"/>
          <w:szCs w:val="21"/>
        </w:rPr>
      </w:pPr>
      <w:bookmarkStart w:id="284" w:name="_Toc989137"/>
      <w:r>
        <w:rPr>
          <w:rFonts w:hint="eastAsia" w:ascii="宋体" w:hAnsi="宋体" w:eastAsia="宋体" w:cs="宋体"/>
          <w:b/>
          <w:bCs/>
          <w:sz w:val="21"/>
          <w:szCs w:val="21"/>
          <w:lang w:val="en-US" w:eastAsia="zh-CN"/>
        </w:rPr>
        <w:t>2.</w:t>
      </w:r>
      <w:r>
        <w:rPr>
          <w:rFonts w:ascii="宋体" w:hAnsi="宋体" w:eastAsia="宋体" w:cs="宋体"/>
          <w:b/>
          <w:bCs/>
          <w:sz w:val="21"/>
          <w:szCs w:val="21"/>
        </w:rPr>
        <w:t>一年内到期的其他债权投资</w:t>
      </w:r>
      <w:bookmarkEnd w:id="284"/>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2"/>
        <w:rPr>
          <w:rFonts w:ascii="宋体" w:hAnsi="宋体" w:eastAsia="宋体" w:cs="宋体"/>
          <w:b/>
          <w:bCs/>
          <w:sz w:val="21"/>
          <w:szCs w:val="21"/>
        </w:rPr>
      </w:pPr>
      <w:bookmarkStart w:id="285" w:name="_Toc989138"/>
      <w:r>
        <w:rPr>
          <w:rFonts w:hint="eastAsia" w:ascii="宋体" w:hAnsi="宋体" w:eastAsia="宋体" w:cs="宋体"/>
          <w:b/>
          <w:bCs/>
          <w:sz w:val="21"/>
          <w:szCs w:val="21"/>
          <w:lang w:eastAsia="zh-CN"/>
        </w:rPr>
        <w:t>（十）</w:t>
      </w:r>
      <w:r>
        <w:rPr>
          <w:rFonts w:ascii="宋体" w:hAnsi="宋体" w:eastAsia="宋体" w:cs="宋体"/>
          <w:b/>
          <w:bCs/>
          <w:sz w:val="21"/>
          <w:szCs w:val="21"/>
        </w:rPr>
        <w:t>其他流动资产</w:t>
      </w:r>
      <w:bookmarkEnd w:id="28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待抵扣增值税进项税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4,738,881.15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7,906,608.06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预缴企业所得税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721,444.31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691,653.06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待认证进项税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266,296.45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预提通知存款利息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1,308,810.55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218,750.00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6,769,136.01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9,083,307.57</w:t>
            </w:r>
          </w:p>
        </w:tc>
      </w:tr>
    </w:tbl>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2"/>
        <w:rPr>
          <w:rFonts w:hint="eastAsia" w:ascii="宋体" w:hAnsi="宋体" w:eastAsia="宋体" w:cs="宋体"/>
          <w:b/>
          <w:bCs/>
          <w:sz w:val="21"/>
          <w:szCs w:val="21"/>
          <w:lang w:eastAsia="zh-CN"/>
        </w:rPr>
      </w:pPr>
      <w:bookmarkStart w:id="286" w:name="_Toc989139"/>
      <w:r>
        <w:rPr>
          <w:rFonts w:hint="eastAsia" w:ascii="宋体" w:hAnsi="宋体" w:eastAsia="宋体" w:cs="宋体"/>
          <w:b/>
          <w:bCs/>
          <w:sz w:val="21"/>
          <w:szCs w:val="21"/>
          <w:lang w:eastAsia="zh-CN"/>
        </w:rPr>
        <w:t>（十一）其他权益工具投资</w:t>
      </w:r>
      <w:bookmarkEnd w:id="286"/>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47"/>
        <w:gridCol w:w="995"/>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14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项目名称</w:t>
            </w:r>
          </w:p>
        </w:tc>
        <w:tc>
          <w:tcPr>
            <w:tcW w:w="99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本期计入其他综合收益的利得</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本期计入其他综合收益的损失</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本期末累计计入其他综合收益的利得</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本期末累计计入其他综合收益的损失</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本期确认的股利收入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指定为以公允价值计量且其变动计入其他综合收益的原因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14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湖南沃尔博精密工具有限公司（曾用名：上海钨夫投资管理有限公司）</w:t>
            </w:r>
          </w:p>
        </w:tc>
        <w:tc>
          <w:tcPr>
            <w:tcW w:w="99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51,350,000.00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41,849,364.04</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9,500,635.96</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7,989,090.91</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公司战略投资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14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上海海通创新锦程投资管理中心(有限合伙)</w:t>
            </w:r>
          </w:p>
        </w:tc>
        <w:tc>
          <w:tcPr>
            <w:tcW w:w="99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30,051,200.00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15,863,073.39</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1,828,492.00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公司战略投资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14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深圳富联智能制造产业创新中心有限公司</w:t>
            </w:r>
          </w:p>
        </w:tc>
        <w:tc>
          <w:tcPr>
            <w:tcW w:w="99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2,971,401.05</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3,133,559.51</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162,158.46</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28,598.95</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公司战略投资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14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湖南飞机起降系统技术研发有限公司</w:t>
            </w:r>
          </w:p>
        </w:tc>
        <w:tc>
          <w:tcPr>
            <w:tcW w:w="99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34,790,000.00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30,000,000.00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4,790,000.00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4,790,000.00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公司战略投资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14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湖南博云汽车制动材料有限公司</w:t>
            </w:r>
          </w:p>
        </w:tc>
        <w:tc>
          <w:tcPr>
            <w:tcW w:w="99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8,532,755.92</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公司战略投资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14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99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89,111,401.05</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105,034,123.55</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14,290,635.96</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16,025,231.85</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12,779,090.91</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8,561,354.87</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1,828,492.00</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本期存在终止确认</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项目名称</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转入留存收益的累计利得</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转入留存收益的累计损失</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终止确认的原因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上海海通创新锦程投资管理中心(有限合伙)</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6,427,685.98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项目到期结束</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分项披露本期非交易性权益工具投资</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项目名称</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确认的股利收入</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累计利得</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累计损失</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其他综合收益转入留存收益的金额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指定为以公允价值计量且其变动计入其他综合收益的原因</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其他综合收益转入留存收益的原因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湖南沃尔博精密工具有限公司（曾用名：上海钨夫投资管理有限公司）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7,989,090.91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公司战略投资</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上海海通创新锦程投资管理中心(有限合伙)</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1,828,492.00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公司战略投资</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到期清算</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深圳富联智能制造产业创新中心有限公司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28,598.95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公司战略投资</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湖南飞机起降系统技术研发有限公司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4,790,000.00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公司战略投资</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湖南博云汽车制动材料有限公司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8,532,755.92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公司战略投资</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bl>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2"/>
        <w:rPr>
          <w:rFonts w:ascii="宋体" w:hAnsi="宋体" w:eastAsia="宋体" w:cs="宋体"/>
          <w:b/>
          <w:bCs/>
          <w:sz w:val="21"/>
          <w:szCs w:val="21"/>
        </w:rPr>
      </w:pPr>
      <w:bookmarkStart w:id="287" w:name="_Toc989140"/>
      <w:r>
        <w:rPr>
          <w:rFonts w:hint="eastAsia" w:ascii="宋体" w:hAnsi="宋体" w:eastAsia="宋体" w:cs="宋体"/>
          <w:b/>
          <w:bCs/>
          <w:sz w:val="21"/>
          <w:szCs w:val="21"/>
          <w:lang w:eastAsia="zh-CN"/>
        </w:rPr>
        <w:t>（十二）</w:t>
      </w:r>
      <w:r>
        <w:rPr>
          <w:rFonts w:ascii="宋体" w:hAnsi="宋体" w:eastAsia="宋体" w:cs="宋体"/>
          <w:b/>
          <w:bCs/>
          <w:sz w:val="21"/>
          <w:szCs w:val="21"/>
        </w:rPr>
        <w:t>长期股权投资</w:t>
      </w:r>
      <w:bookmarkEnd w:id="287"/>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41"/>
        <w:gridCol w:w="741"/>
        <w:gridCol w:w="741"/>
        <w:gridCol w:w="741"/>
        <w:gridCol w:w="741"/>
        <w:gridCol w:w="741"/>
        <w:gridCol w:w="741"/>
        <w:gridCol w:w="741"/>
        <w:gridCol w:w="741"/>
        <w:gridCol w:w="741"/>
        <w:gridCol w:w="741"/>
        <w:gridCol w:w="741"/>
        <w:gridCol w:w="74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被投资单位</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期初余额（账面价值）</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减值准备期初余额</w:t>
            </w:r>
          </w:p>
        </w:tc>
        <w:tc>
          <w:tcPr>
            <w:tcW w:w="5932" w:type="dxa"/>
            <w:gridSpan w:val="8"/>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本期增减变动</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期末余额（账面价值）</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追加投资</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减少投资</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权益法下确认的投资损益</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其他综合收益调整</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其他权益变动</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宣告发放现金股利或利润</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计提减值准备</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一、合营企业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二、联营企业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霍尼韦尔博云航空系统（湖南）有限公司</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14,910,414.73</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-14,910,414.73</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小计</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14,910,414.73</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-14,910,414.73</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14,910,414.73</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-14,910,414.73</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可收回金额按公允价值减去处置费用后的净额确定</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可收回金额按预计未来现金流量的现值确定</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前述信息与以前年度减值测试采用的信息或外部信息明显不一致的差异原因</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公司以前年度减值测试采用信息与当年实际情况明显不一致的差异原因</w:t>
      </w:r>
    </w:p>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2"/>
        <w:rPr>
          <w:rFonts w:hint="eastAsia" w:ascii="宋体" w:hAnsi="宋体" w:eastAsia="宋体" w:cs="宋体"/>
          <w:b/>
          <w:bCs/>
          <w:sz w:val="21"/>
          <w:szCs w:val="21"/>
          <w:lang w:eastAsia="zh-CN"/>
        </w:rPr>
      </w:pPr>
      <w:bookmarkStart w:id="288" w:name="_Toc989141"/>
      <w:r>
        <w:rPr>
          <w:rFonts w:hint="eastAsia" w:ascii="宋体" w:hAnsi="宋体" w:eastAsia="宋体" w:cs="宋体"/>
          <w:b/>
          <w:bCs/>
          <w:sz w:val="21"/>
          <w:szCs w:val="21"/>
          <w:lang w:eastAsia="zh-CN"/>
        </w:rPr>
        <w:t>（十三）固定资产</w:t>
      </w:r>
      <w:bookmarkEnd w:id="288"/>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固定资产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922,527,643.47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711,815,784.08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固定资产清理</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922,527,643.47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711,815,784.08</w:t>
            </w:r>
          </w:p>
        </w:tc>
      </w:tr>
    </w:tbl>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3"/>
        <w:rPr>
          <w:rFonts w:hint="eastAsia" w:ascii="宋体" w:hAnsi="宋体" w:eastAsia="宋体" w:cs="宋体"/>
          <w:b/>
          <w:bCs/>
          <w:sz w:val="21"/>
          <w:szCs w:val="21"/>
          <w:lang w:eastAsia="zh-CN"/>
        </w:rPr>
      </w:pPr>
      <w:bookmarkStart w:id="289" w:name="_Toc989142"/>
      <w:r>
        <w:rPr>
          <w:rFonts w:hint="eastAsia" w:ascii="宋体" w:hAnsi="宋体" w:eastAsia="宋体" w:cs="宋体"/>
          <w:b/>
          <w:bCs/>
          <w:sz w:val="21"/>
          <w:szCs w:val="21"/>
          <w:lang w:val="en-US" w:eastAsia="zh-CN"/>
        </w:rPr>
        <w:t>1.</w:t>
      </w:r>
      <w:r>
        <w:rPr>
          <w:rFonts w:hint="eastAsia" w:ascii="宋体" w:hAnsi="宋体" w:eastAsia="宋体" w:cs="宋体"/>
          <w:b/>
          <w:bCs/>
          <w:sz w:val="21"/>
          <w:szCs w:val="21"/>
          <w:lang w:eastAsia="zh-CN"/>
        </w:rPr>
        <w:t>固定资产情况</w:t>
      </w:r>
      <w:bookmarkEnd w:id="28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房屋及建筑物</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机器设备</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运输工具</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电子设备及其他</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一、账面原值：</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1.期初余额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502,859,204.80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583,124,545.72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3,944,974.17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36,739,511.00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1,126,668,235.69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2.本期增加金额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237,694,050.45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60,206,151.62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26,725.67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7,915,740.34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305,842,668.08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（1）购置</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923,787.59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43,838,545.17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26,725.67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3,441,964.54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48,231,022.97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（2）在建工程转入</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236,770,262.86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16,367,606.45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4,473,775.80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257,611,645.11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（3）企业合并增加</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3.本期减少金额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18,678,827.79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40,336,743.37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402,613.48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3,667,049.54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63,085,234.18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（1）处置或报废</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15,815,437.01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40,336,743.37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402,613.48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3,667,049.54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60,221,843.40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（2）转入在建工程</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2,863,390.78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2,863,390.78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4.期末余额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721,874,427.46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602,993,953.97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3,569,086.36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40,988,201.80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1,369,425,669.59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二、累计折旧</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1.期初余额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118,710,042.06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261,547,098.70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2,850,788.78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30,862,062.82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413,969,992.36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2.本期增加金额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18,711,994.74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40,939,627.97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169,891.11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3,481,068.19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63,302,582.01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（1）计提</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18,711,994.74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40,939,627.97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169,891.11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3,481,068.19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63,302,582.01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3.本期减少金额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9,079,109.76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18,241,463.78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382,482.81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3,553,951.15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31,257,007.50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（1）处置或报废</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7,943,756.87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18,241,463.78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382,482.81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3,553,951.15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30,121,654.61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（2）转入在建工程</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1,135,352.89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1,135,352.89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4.期末余额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128,342,927.04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284,245,262.89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2,638,197.08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30,789,179.86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446,015,566.87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三、减值准备</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1.期初余额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803,428.11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77,082.83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1,078.98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869.33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882,459.25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2.本期增加金额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（1）计提</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3.本期减少金额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（1）处置或报废</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4.期末余额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803,428.11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77,082.83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1,078.98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869.33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882,459.25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四、账面价值</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1.期末账面价值</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592,728,072.31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318,671,608.25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929,810.30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10,198,152.61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922,527,643.47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2.期初账面价值</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383,345,734.63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321,500,364.19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1,093,106.41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5,876,578.85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711,815,784.08</w:t>
            </w:r>
          </w:p>
        </w:tc>
      </w:tr>
    </w:tbl>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3"/>
        <w:rPr>
          <w:rFonts w:hint="eastAsia" w:ascii="宋体" w:hAnsi="宋体" w:eastAsia="宋体" w:cs="宋体"/>
          <w:b/>
          <w:bCs/>
          <w:sz w:val="21"/>
          <w:szCs w:val="21"/>
          <w:lang w:val="en-US" w:eastAsia="zh-CN"/>
        </w:rPr>
      </w:pPr>
      <w:bookmarkStart w:id="290" w:name="_Toc989143"/>
      <w:r>
        <w:rPr>
          <w:rFonts w:hint="eastAsia" w:ascii="宋体" w:hAnsi="宋体" w:eastAsia="宋体" w:cs="宋体"/>
          <w:b/>
          <w:bCs/>
          <w:sz w:val="21"/>
          <w:szCs w:val="21"/>
          <w:lang w:val="en-US" w:eastAsia="zh-CN"/>
        </w:rPr>
        <w:t>2.固定资产清理</w:t>
      </w:r>
      <w:bookmarkEnd w:id="290"/>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bl>
    <w:p>
      <w:pPr>
        <w:spacing w:before="100" w:after="100" w:line="240" w:lineRule="exact"/>
        <w:jc w:val="left"/>
        <w:rPr>
          <w:rFonts w:ascii="宋体" w:hAnsi="宋体" w:eastAsia="宋体" w:cs="宋体"/>
          <w:sz w:val="18"/>
          <w:szCs w:val="18"/>
        </w:rPr>
      </w:pPr>
      <w:bookmarkStart w:id="291" w:name="_Toc989144"/>
      <w:r>
        <w:rPr>
          <w:rFonts w:ascii="宋体" w:hAnsi="宋体" w:eastAsia="宋体" w:cs="宋体"/>
          <w:sz w:val="18"/>
          <w:szCs w:val="18"/>
        </w:rPr>
        <w:t>其他说明：</w:t>
      </w:r>
    </w:p>
    <w:p>
      <w:pPr>
        <w:pStyle w:val="4"/>
        <w:keepNext w:val="0"/>
        <w:keepLines w:val="0"/>
        <w:widowControl/>
        <w:suppressLineNumbers w:val="0"/>
        <w:spacing w:before="0" w:beforeAutospacing="0" w:after="0" w:afterAutospacing="0"/>
        <w:ind w:left="0" w:right="0"/>
        <w:jc w:val="both"/>
        <w:rPr>
          <w:rFonts w:hint="eastAsia" w:ascii="宋体" w:hAnsi="宋体" w:eastAsia="宋体" w:cs="宋体"/>
          <w:sz w:val="21"/>
          <w:szCs w:val="21"/>
        </w:rPr>
      </w:pPr>
      <w:r>
        <w:rPr>
          <w:rFonts w:hint="eastAsia" w:ascii="宋体" w:hAnsi="宋体" w:eastAsia="宋体" w:cs="宋体"/>
          <w:sz w:val="21"/>
          <w:szCs w:val="21"/>
        </w:rPr>
        <w:t>期末无闲置的固定资产</w:t>
      </w:r>
    </w:p>
    <w:p>
      <w:pPr>
        <w:pStyle w:val="4"/>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1"/>
          <w:szCs w:val="21"/>
        </w:rPr>
        <w:t>期末无未办妥产权证书的固定资产</w:t>
      </w:r>
    </w:p>
    <w:bookmarkEnd w:id="291"/>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2"/>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（十四）在建工程</w:t>
      </w:r>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在建工程</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16,311,417.71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183,036,596.42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16,311,417.71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183,036,596.42</w:t>
            </w:r>
          </w:p>
        </w:tc>
      </w:tr>
    </w:tbl>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3"/>
        <w:rPr>
          <w:rFonts w:hint="eastAsia" w:ascii="宋体" w:hAnsi="宋体" w:eastAsia="宋体" w:cs="宋体"/>
          <w:b/>
          <w:bCs/>
          <w:sz w:val="21"/>
          <w:szCs w:val="21"/>
          <w:lang w:val="en-US" w:eastAsia="zh-CN"/>
        </w:rPr>
      </w:pPr>
      <w:bookmarkStart w:id="292" w:name="_Toc989145"/>
      <w:r>
        <w:rPr>
          <w:rFonts w:hint="eastAsia" w:ascii="宋体" w:hAnsi="宋体" w:eastAsia="宋体" w:cs="宋体"/>
          <w:b/>
          <w:bCs/>
          <w:sz w:val="21"/>
          <w:szCs w:val="21"/>
          <w:lang w:val="en-US" w:eastAsia="zh-CN"/>
        </w:rPr>
        <w:t>1.在建工程情况</w:t>
      </w:r>
      <w:bookmarkEnd w:id="292"/>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博云东方麓谷基地产业化项目</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176,167,770.93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176,167,770.93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在安装设备</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14,277,284.53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14,277,284.53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6,868,825.49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6,868,825.49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厂房车间改造</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2,034,133.18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2,034,133.18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16,311,417.71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16,311,417.71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183,036,596.42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183,036,596.42</w:t>
            </w:r>
          </w:p>
        </w:tc>
      </w:tr>
    </w:tbl>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3"/>
        <w:rPr>
          <w:rFonts w:hint="eastAsia" w:ascii="宋体" w:hAnsi="宋体" w:eastAsia="宋体" w:cs="宋体"/>
          <w:b/>
          <w:bCs/>
          <w:sz w:val="21"/>
          <w:szCs w:val="21"/>
          <w:lang w:val="en-US" w:eastAsia="zh-CN"/>
        </w:rPr>
      </w:pPr>
      <w:bookmarkStart w:id="293" w:name="_Toc989146"/>
      <w:r>
        <w:rPr>
          <w:rFonts w:hint="eastAsia" w:ascii="宋体" w:hAnsi="宋体" w:eastAsia="宋体" w:cs="宋体"/>
          <w:b/>
          <w:bCs/>
          <w:sz w:val="21"/>
          <w:szCs w:val="21"/>
          <w:lang w:val="en-US" w:eastAsia="zh-CN"/>
        </w:rPr>
        <w:t>2.重要在建工程项目本期变动情况</w:t>
      </w:r>
      <w:bookmarkEnd w:id="293"/>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41"/>
        <w:gridCol w:w="741"/>
        <w:gridCol w:w="741"/>
        <w:gridCol w:w="741"/>
        <w:gridCol w:w="741"/>
        <w:gridCol w:w="741"/>
        <w:gridCol w:w="741"/>
        <w:gridCol w:w="741"/>
        <w:gridCol w:w="741"/>
        <w:gridCol w:w="741"/>
        <w:gridCol w:w="741"/>
        <w:gridCol w:w="741"/>
        <w:gridCol w:w="74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项目名称</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预算数</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本期增加金额</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本期转入固定资产金额</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本期其他减少金额</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工程累计投入占预算比例</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工程进度</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利息资本化累计金额</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其中：本期利息资本化金额</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本期利息资本化率</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资金来源</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博云东方麓谷基地产业化项目</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561,096,600.00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176,167,770.93</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61,021,980.19</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237,189,751.12</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81.33%</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100.00%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募集资金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561,096,600.00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176,167,770.93</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61,021,980.19</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237,189,751.12</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3"/>
        <w:rPr>
          <w:rFonts w:hint="eastAsia" w:ascii="宋体" w:hAnsi="宋体" w:eastAsia="宋体" w:cs="宋体"/>
          <w:b/>
          <w:bCs/>
          <w:sz w:val="21"/>
          <w:szCs w:val="21"/>
          <w:lang w:val="en-US" w:eastAsia="zh-CN"/>
        </w:rPr>
      </w:pPr>
      <w:bookmarkStart w:id="294" w:name="_Toc989147"/>
      <w:r>
        <w:rPr>
          <w:rFonts w:hint="eastAsia" w:ascii="宋体" w:hAnsi="宋体" w:eastAsia="宋体" w:cs="宋体"/>
          <w:b/>
          <w:bCs/>
          <w:sz w:val="21"/>
          <w:szCs w:val="21"/>
          <w:lang w:val="en-US" w:eastAsia="zh-CN"/>
        </w:rPr>
        <w:t>3.本期计提在建工程减值准备情况</w:t>
      </w:r>
      <w:bookmarkEnd w:id="294"/>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计提原因</w:t>
            </w:r>
          </w:p>
        </w:tc>
      </w:tr>
    </w:tbl>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3"/>
        <w:rPr>
          <w:rFonts w:hint="eastAsia" w:ascii="宋体" w:hAnsi="宋体" w:eastAsia="宋体" w:cs="宋体"/>
          <w:b/>
          <w:bCs/>
          <w:sz w:val="21"/>
          <w:szCs w:val="21"/>
          <w:lang w:val="en-US" w:eastAsia="zh-CN"/>
        </w:rPr>
      </w:pPr>
      <w:bookmarkStart w:id="295" w:name="_Toc989148"/>
      <w:r>
        <w:rPr>
          <w:rFonts w:hint="eastAsia" w:ascii="宋体" w:hAnsi="宋体" w:eastAsia="宋体" w:cs="宋体"/>
          <w:b/>
          <w:bCs/>
          <w:sz w:val="21"/>
          <w:szCs w:val="21"/>
          <w:lang w:val="en-US" w:eastAsia="zh-CN"/>
        </w:rPr>
        <w:t>4.在建工程的减值测试情况</w:t>
      </w:r>
      <w:bookmarkEnd w:id="295"/>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2"/>
        <w:rPr>
          <w:rFonts w:ascii="宋体" w:hAnsi="宋体" w:eastAsia="宋体" w:cs="宋体"/>
          <w:b/>
          <w:bCs/>
          <w:sz w:val="21"/>
          <w:szCs w:val="21"/>
        </w:rPr>
      </w:pPr>
      <w:bookmarkStart w:id="296" w:name="_Toc989149"/>
      <w:bookmarkStart w:id="297" w:name="_Toc989150"/>
      <w:r>
        <w:rPr>
          <w:rFonts w:hint="eastAsia" w:ascii="宋体" w:hAnsi="宋体" w:eastAsia="宋体" w:cs="宋体"/>
          <w:b/>
          <w:bCs/>
          <w:sz w:val="21"/>
          <w:szCs w:val="21"/>
          <w:lang w:eastAsia="zh-CN"/>
        </w:rPr>
        <w:t>（十五）</w:t>
      </w:r>
      <w:r>
        <w:rPr>
          <w:rFonts w:ascii="宋体" w:hAnsi="宋体" w:eastAsia="宋体" w:cs="宋体"/>
          <w:b/>
          <w:bCs/>
          <w:sz w:val="21"/>
          <w:szCs w:val="21"/>
        </w:rPr>
        <w:t>无形资产</w:t>
      </w:r>
      <w:bookmarkEnd w:id="296"/>
    </w:p>
    <w:bookmarkEnd w:id="297"/>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3"/>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1.无形资产情况</w:t>
      </w:r>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土地使用权</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专利权</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非专利技术</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软件</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专有技术</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一、账面原值</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1.期初余额</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200,911,595.79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18,451,734.08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229,266,227.55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448,629,557.42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2.本期增加金额</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328,035.39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19,986,950.11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20,314,985.50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（1）购置</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328,035.39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328,035.39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（2）内部研发</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19,986,950.11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19,986,950.11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（3）企业合并增加</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3.本期减少金额</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2,507,470.77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2,507,470.77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（1）处置</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2,507,470.77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2,507,470.77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4.期末余额</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200,911,595.79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18,779,769.47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246,745,706.89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466,437,072.15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二、累计摊销</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1.期初余额</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31,269,302.93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4,867,531.53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151,035,881.10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187,172,715.56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2.本期增加金额</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4,045,102.12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2,155,148.98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14,985,454.25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21,185,705.35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（1）计提</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4,045,102.12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2,155,148.98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14,985,454.25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21,185,705.35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3.本期减少金额</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（1）处置</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4.期末余额</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35,314,405.05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7,022,680.51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166,021,335.35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208,358,420.91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三、减值准备</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1.期初余额</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500,683.92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1,967,332.94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2,468,016.86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2.本期增加金额</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139,675.37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139,675.37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（1）计提</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139,675.37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139,675.37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3.本期减少金额</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（1）处置</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4.期末余额</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500,683.92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2,107,008.31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2,607,692.23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四、账面价值</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1.期末账面价值</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165,096,506.82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11,757,088.96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78,617,363.23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255,470,959.01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2.期初账面价值</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169,141,608.94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13,584,202.55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76,263,013.51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258,988,825.00</w:t>
            </w:r>
          </w:p>
        </w:tc>
      </w:tr>
    </w:tbl>
    <w:p>
      <w:pPr>
        <w:spacing w:before="0" w:after="0" w:line="240" w:lineRule="exact"/>
        <w:jc w:val="left"/>
        <w:rPr>
          <w:rFonts w:ascii="宋体" w:hAnsi="宋体" w:eastAsia="宋体" w:cs="宋体"/>
          <w:sz w:val="18"/>
          <w:szCs w:val="18"/>
        </w:rPr>
      </w:pPr>
      <w:r>
        <w:rPr>
          <w:rFonts w:ascii="宋体" w:hAnsi="宋体" w:eastAsia="宋体" w:cs="宋体"/>
          <w:sz w:val="18"/>
          <w:szCs w:val="18"/>
        </w:rPr>
        <w:t>本期末通过公司内部研发形成的无形资产占无形资产余额的比例30.77%。</w:t>
      </w:r>
    </w:p>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3"/>
        <w:rPr>
          <w:rFonts w:hint="eastAsia" w:ascii="宋体" w:hAnsi="宋体" w:eastAsia="宋体" w:cs="宋体"/>
          <w:b/>
          <w:bCs/>
          <w:sz w:val="21"/>
          <w:szCs w:val="21"/>
          <w:lang w:val="en-US" w:eastAsia="zh-CN"/>
        </w:rPr>
      </w:pPr>
      <w:bookmarkStart w:id="298" w:name="_Toc989151"/>
      <w:r>
        <w:rPr>
          <w:rFonts w:hint="eastAsia" w:ascii="宋体" w:hAnsi="宋体" w:eastAsia="宋体" w:cs="宋体"/>
          <w:b/>
          <w:bCs/>
          <w:sz w:val="21"/>
          <w:szCs w:val="21"/>
          <w:lang w:val="en-US" w:eastAsia="zh-CN"/>
        </w:rPr>
        <w:t>2.确认为无形资产的数据资源</w:t>
      </w:r>
      <w:bookmarkEnd w:id="298"/>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3"/>
        <w:rPr>
          <w:rFonts w:hint="eastAsia" w:ascii="宋体" w:hAnsi="宋体" w:eastAsia="宋体" w:cs="宋体"/>
          <w:b/>
          <w:bCs/>
          <w:sz w:val="21"/>
          <w:szCs w:val="21"/>
          <w:lang w:val="en-US" w:eastAsia="zh-CN"/>
        </w:rPr>
      </w:pPr>
      <w:bookmarkStart w:id="299" w:name="_Toc989152"/>
      <w:r>
        <w:rPr>
          <w:rFonts w:hint="eastAsia" w:ascii="宋体" w:hAnsi="宋体" w:eastAsia="宋体" w:cs="宋体"/>
          <w:b/>
          <w:bCs/>
          <w:sz w:val="21"/>
          <w:szCs w:val="21"/>
          <w:lang w:val="en-US" w:eastAsia="zh-CN"/>
        </w:rPr>
        <w:t>3.未办妥产权证书的土地使用权情况</w:t>
      </w:r>
      <w:bookmarkEnd w:id="29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未办妥产权证书的原因</w:t>
            </w:r>
          </w:p>
        </w:tc>
      </w:tr>
    </w:tbl>
    <w:p>
      <w:pPr>
        <w:pStyle w:val="4"/>
        <w:keepNext w:val="0"/>
        <w:keepLines w:val="0"/>
        <w:widowControl/>
        <w:suppressLineNumbers w:val="0"/>
        <w:spacing w:before="300" w:beforeAutospacing="0" w:after="300" w:afterAutospacing="0" w:line="280" w:lineRule="atLeast"/>
        <w:ind w:left="0" w:right="0"/>
        <w:jc w:val="left"/>
        <w:rPr>
          <w:rFonts w:hint="default" w:ascii="Times New Roman" w:hAnsi="Times New Roman" w:cs="Times New Roman"/>
          <w:sz w:val="21"/>
          <w:szCs w:val="21"/>
        </w:rPr>
      </w:pPr>
      <w:r>
        <w:rPr>
          <w:rFonts w:hint="eastAsia" w:ascii="宋体" w:hAnsi="宋体" w:eastAsia="宋体" w:cs="宋体"/>
          <w:color w:val="000000"/>
          <w:sz w:val="21"/>
          <w:szCs w:val="21"/>
        </w:rPr>
        <w:t>本公司期末无未办妥产权证书的土地使用权 </w:t>
      </w:r>
    </w:p>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3"/>
        <w:rPr>
          <w:rFonts w:hint="eastAsia" w:ascii="宋体" w:hAnsi="宋体" w:eastAsia="宋体" w:cs="宋体"/>
          <w:b/>
          <w:bCs/>
          <w:sz w:val="21"/>
          <w:szCs w:val="21"/>
          <w:lang w:val="en-US" w:eastAsia="zh-CN"/>
        </w:rPr>
      </w:pPr>
      <w:bookmarkStart w:id="300" w:name="_Toc989153"/>
      <w:r>
        <w:rPr>
          <w:rFonts w:hint="eastAsia" w:ascii="宋体" w:hAnsi="宋体" w:eastAsia="宋体" w:cs="宋体"/>
          <w:b/>
          <w:bCs/>
          <w:sz w:val="21"/>
          <w:szCs w:val="21"/>
          <w:lang w:val="en-US" w:eastAsia="zh-CN"/>
        </w:rPr>
        <w:t>4.无形资产的减值测试情况</w:t>
      </w:r>
      <w:bookmarkEnd w:id="300"/>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2"/>
        <w:rPr>
          <w:rFonts w:ascii="宋体" w:hAnsi="宋体" w:eastAsia="宋体" w:cs="宋体"/>
          <w:b/>
          <w:bCs/>
          <w:sz w:val="21"/>
          <w:szCs w:val="21"/>
        </w:rPr>
      </w:pPr>
      <w:bookmarkStart w:id="301" w:name="_Toc989154"/>
      <w:r>
        <w:rPr>
          <w:rFonts w:hint="eastAsia" w:ascii="宋体" w:hAnsi="宋体" w:eastAsia="宋体" w:cs="宋体"/>
          <w:b/>
          <w:bCs/>
          <w:sz w:val="21"/>
          <w:szCs w:val="21"/>
          <w:lang w:eastAsia="zh-CN"/>
        </w:rPr>
        <w:t>（十六）</w:t>
      </w:r>
      <w:r>
        <w:rPr>
          <w:rFonts w:ascii="宋体" w:hAnsi="宋体" w:eastAsia="宋体" w:cs="宋体"/>
          <w:b/>
          <w:bCs/>
          <w:sz w:val="21"/>
          <w:szCs w:val="21"/>
        </w:rPr>
        <w:t>商誉</w:t>
      </w:r>
      <w:bookmarkEnd w:id="301"/>
    </w:p>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3"/>
        <w:rPr>
          <w:rFonts w:hint="eastAsia" w:ascii="宋体" w:hAnsi="宋体" w:eastAsia="宋体" w:cs="宋体"/>
          <w:b/>
          <w:bCs/>
          <w:sz w:val="21"/>
          <w:szCs w:val="21"/>
          <w:lang w:val="en-US" w:eastAsia="zh-CN"/>
        </w:rPr>
      </w:pPr>
      <w:bookmarkStart w:id="302" w:name="_Toc989155"/>
      <w:r>
        <w:rPr>
          <w:rFonts w:hint="eastAsia" w:ascii="宋体" w:hAnsi="宋体" w:eastAsia="宋体" w:cs="宋体"/>
          <w:b/>
          <w:bCs/>
          <w:sz w:val="21"/>
          <w:szCs w:val="21"/>
          <w:lang w:val="en-US" w:eastAsia="zh-CN"/>
        </w:rPr>
        <w:t>1.商誉账面原值</w:t>
      </w:r>
      <w:bookmarkEnd w:id="302"/>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被投资单位名称或形成商誉的事项</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企业合并形成的</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处置</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长沙伟徽高科技新材料有限公司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109,750,317.92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109,750,317.92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109,750,317.92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109,750,317.92</w:t>
            </w:r>
          </w:p>
        </w:tc>
      </w:tr>
    </w:tbl>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3"/>
        <w:rPr>
          <w:rFonts w:hint="eastAsia" w:ascii="宋体" w:hAnsi="宋体" w:eastAsia="宋体" w:cs="宋体"/>
          <w:b/>
          <w:bCs/>
          <w:sz w:val="21"/>
          <w:szCs w:val="21"/>
          <w:lang w:val="en-US" w:eastAsia="zh-CN"/>
        </w:rPr>
      </w:pPr>
      <w:bookmarkStart w:id="303" w:name="_Toc989156"/>
      <w:r>
        <w:rPr>
          <w:rFonts w:hint="eastAsia" w:ascii="宋体" w:hAnsi="宋体" w:eastAsia="宋体" w:cs="宋体"/>
          <w:b/>
          <w:bCs/>
          <w:sz w:val="21"/>
          <w:szCs w:val="21"/>
          <w:lang w:val="en-US" w:eastAsia="zh-CN"/>
        </w:rPr>
        <w:t>2.商誉减值准备</w:t>
      </w:r>
      <w:bookmarkEnd w:id="303"/>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被投资单位名称或形成商誉的事项</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处置</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长沙伟徽高科技新材料有限公司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109,750,317.92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109,750,317.92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109,750,317.92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109,750,317.92</w:t>
            </w:r>
          </w:p>
        </w:tc>
      </w:tr>
    </w:tbl>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3"/>
        <w:rPr>
          <w:rFonts w:hint="eastAsia" w:ascii="宋体" w:hAnsi="宋体" w:eastAsia="宋体" w:cs="宋体"/>
          <w:b/>
          <w:bCs/>
          <w:sz w:val="21"/>
          <w:szCs w:val="21"/>
          <w:lang w:val="en-US" w:eastAsia="zh-CN"/>
        </w:rPr>
      </w:pPr>
      <w:bookmarkStart w:id="304" w:name="_Toc989157"/>
      <w:r>
        <w:rPr>
          <w:rFonts w:hint="eastAsia" w:ascii="宋体" w:hAnsi="宋体" w:eastAsia="宋体" w:cs="宋体"/>
          <w:b/>
          <w:bCs/>
          <w:sz w:val="21"/>
          <w:szCs w:val="21"/>
          <w:lang w:val="en-US" w:eastAsia="zh-CN"/>
        </w:rPr>
        <w:t>3.商誉所在资产组或资产组组合的相关信息</w:t>
      </w:r>
      <w:bookmarkEnd w:id="304"/>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名称</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所属资产组或组合的构成及依据</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所属经营分部及依据</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是否与以前年度保持一致</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资产组或资产组组合发生变化</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名称</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变化前的构成</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变化后的构成</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导致变化的客观事实及依据</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pStyle w:val="4"/>
        <w:keepNext w:val="0"/>
        <w:keepLines w:val="0"/>
        <w:widowControl/>
        <w:suppressLineNumbers w:val="0"/>
        <w:spacing w:before="0" w:beforeAutospacing="1" w:after="0" w:afterAutospacing="1"/>
        <w:ind w:left="0" w:right="0"/>
      </w:pPr>
      <w:r>
        <w:rPr>
          <w:rFonts w:hint="eastAsia" w:ascii="宋体" w:hAnsi="宋体" w:eastAsia="宋体" w:cs="宋体"/>
          <w:color w:val="000000"/>
          <w:sz w:val="21"/>
          <w:szCs w:val="21"/>
        </w:rPr>
        <w:t>期末商誉为公司对外收购时所形成，因该类交易属于非同一控制下的企业合并，合并成本与被合并公司合并日净资产公允价值的差额在合并层面确认为商誉。该资产组与购买日、以前年度商誉减值测试时所确定的资产组一致。</w:t>
      </w:r>
    </w:p>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2"/>
        <w:rPr>
          <w:rFonts w:ascii="宋体" w:hAnsi="宋体" w:eastAsia="宋体" w:cs="宋体"/>
          <w:b/>
          <w:bCs/>
          <w:sz w:val="21"/>
          <w:szCs w:val="21"/>
        </w:rPr>
      </w:pPr>
      <w:bookmarkStart w:id="305" w:name="_Toc989158"/>
      <w:r>
        <w:rPr>
          <w:rFonts w:hint="eastAsia" w:ascii="宋体" w:hAnsi="宋体" w:eastAsia="宋体" w:cs="宋体"/>
          <w:b/>
          <w:bCs/>
          <w:sz w:val="21"/>
          <w:szCs w:val="21"/>
          <w:lang w:eastAsia="zh-CN"/>
        </w:rPr>
        <w:t>（十七）</w:t>
      </w:r>
      <w:r>
        <w:rPr>
          <w:rFonts w:ascii="宋体" w:hAnsi="宋体" w:eastAsia="宋体" w:cs="宋体"/>
          <w:b/>
          <w:bCs/>
          <w:sz w:val="21"/>
          <w:szCs w:val="21"/>
        </w:rPr>
        <w:t>长期待摊费用</w:t>
      </w:r>
      <w:bookmarkEnd w:id="30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本期摊销金额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其他减少金额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改造维修费等</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6,309,922.00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1,716,791.64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2,057,023.17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269,930.57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5,699,759.90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6,309,922.00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1,716,791.64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2,057,023.17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269,930.57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5,699,759.90</w:t>
            </w:r>
          </w:p>
        </w:tc>
      </w:tr>
    </w:tbl>
    <w:p>
      <w:pPr>
        <w:keepNext/>
        <w:keepLines/>
        <w:spacing w:before="300" w:after="300" w:line="280" w:lineRule="exact"/>
        <w:jc w:val="left"/>
        <w:outlineLvl w:val="2"/>
        <w:rPr>
          <w:rFonts w:ascii="宋体" w:hAnsi="宋体" w:eastAsia="宋体" w:cs="宋体"/>
          <w:b/>
          <w:bCs/>
          <w:sz w:val="21"/>
          <w:szCs w:val="21"/>
        </w:rPr>
      </w:pPr>
      <w:bookmarkStart w:id="306" w:name="_Toc989159"/>
      <w:r>
        <w:rPr>
          <w:rFonts w:hint="eastAsia" w:ascii="宋体" w:hAnsi="宋体" w:eastAsia="宋体" w:cs="宋体"/>
          <w:b/>
          <w:bCs/>
          <w:sz w:val="21"/>
          <w:szCs w:val="21"/>
          <w:lang w:eastAsia="zh-CN"/>
        </w:rPr>
        <w:t>（十八）</w:t>
      </w:r>
      <w:r>
        <w:rPr>
          <w:rFonts w:ascii="宋体" w:hAnsi="宋体" w:eastAsia="宋体" w:cs="宋体"/>
          <w:b/>
          <w:bCs/>
          <w:sz w:val="21"/>
          <w:szCs w:val="21"/>
        </w:rPr>
        <w:t>递延所得税资产/递延所得税负债</w:t>
      </w:r>
      <w:bookmarkEnd w:id="306"/>
    </w:p>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3"/>
        <w:rPr>
          <w:rFonts w:ascii="宋体" w:hAnsi="宋体" w:eastAsia="宋体" w:cs="宋体"/>
          <w:b/>
          <w:bCs/>
          <w:sz w:val="21"/>
          <w:szCs w:val="21"/>
        </w:rPr>
      </w:pPr>
      <w:bookmarkStart w:id="307" w:name="_Toc989160"/>
      <w:r>
        <w:rPr>
          <w:rFonts w:hint="eastAsia" w:ascii="宋体" w:hAnsi="宋体" w:eastAsia="宋体" w:cs="宋体"/>
          <w:b/>
          <w:bCs/>
          <w:sz w:val="21"/>
          <w:szCs w:val="21"/>
          <w:lang w:val="en-US" w:eastAsia="zh-CN"/>
        </w:rPr>
        <w:t>1.</w:t>
      </w:r>
      <w:r>
        <w:rPr>
          <w:rFonts w:ascii="宋体" w:hAnsi="宋体" w:eastAsia="宋体" w:cs="宋体"/>
          <w:b/>
          <w:bCs/>
          <w:sz w:val="21"/>
          <w:szCs w:val="21"/>
        </w:rPr>
        <w:t>未经抵销的递延所得税资产</w:t>
      </w:r>
      <w:bookmarkEnd w:id="307"/>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可抵扣暂时性差异</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递延所得税资产</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可抵扣暂时性差异</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递延所得税资产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资产减值准备</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197,045,970.07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29,556,895.51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168,344,317.07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25,251,647.56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可抵扣亏损</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59,638,522.13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8,945,778.32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公允价值</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8,561,354.87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1,284,203.23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10,044,300.97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1,506,645.15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265,245,847.07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39,786,877.06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178,388,618.04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26,758,292.71</w:t>
            </w:r>
          </w:p>
        </w:tc>
      </w:tr>
    </w:tbl>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3"/>
        <w:rPr>
          <w:rFonts w:hint="eastAsia" w:ascii="宋体" w:hAnsi="宋体" w:eastAsia="宋体" w:cs="宋体"/>
          <w:b/>
          <w:bCs/>
          <w:sz w:val="21"/>
          <w:szCs w:val="21"/>
          <w:lang w:val="en-US" w:eastAsia="zh-CN"/>
        </w:rPr>
      </w:pPr>
      <w:bookmarkStart w:id="308" w:name="_Toc989161"/>
      <w:r>
        <w:rPr>
          <w:rFonts w:hint="eastAsia" w:ascii="宋体" w:hAnsi="宋体" w:eastAsia="宋体" w:cs="宋体"/>
          <w:b/>
          <w:bCs/>
          <w:sz w:val="21"/>
          <w:szCs w:val="21"/>
          <w:lang w:val="en-US" w:eastAsia="zh-CN"/>
        </w:rPr>
        <w:t>2.未经抵销的递延所得税负债</w:t>
      </w:r>
      <w:bookmarkEnd w:id="308"/>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应纳税暂时性差异</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递延所得税负债</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应纳税暂时性差异</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递延所得税负债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企业合并资产评估增值</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17,353,742.53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2,603,061.38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20,318,961.33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3,047,844.20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公允价值计量</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12,779,090.91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1,916,863.64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15,407,730.51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2,311,159.58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30,132,833.44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4,519,925.02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35,726,691.84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5,359,003.78</w:t>
            </w:r>
          </w:p>
        </w:tc>
      </w:tr>
    </w:tbl>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3"/>
        <w:rPr>
          <w:rFonts w:hint="eastAsia" w:ascii="宋体" w:hAnsi="宋体" w:eastAsia="宋体" w:cs="宋体"/>
          <w:b/>
          <w:bCs/>
          <w:sz w:val="21"/>
          <w:szCs w:val="21"/>
          <w:lang w:val="en-US" w:eastAsia="zh-CN"/>
        </w:rPr>
      </w:pPr>
      <w:bookmarkStart w:id="309" w:name="_Toc989162"/>
      <w:r>
        <w:rPr>
          <w:rFonts w:hint="eastAsia" w:ascii="宋体" w:hAnsi="宋体" w:eastAsia="宋体" w:cs="宋体"/>
          <w:b/>
          <w:bCs/>
          <w:sz w:val="21"/>
          <w:szCs w:val="21"/>
          <w:lang w:val="en-US" w:eastAsia="zh-CN"/>
        </w:rPr>
        <w:t>3.以抵销后净额列示的递延所得税资产或负债</w:t>
      </w:r>
      <w:bookmarkEnd w:id="30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递延所得税资产和负债期末互抵金额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抵销后递延所得税资产或负债期末余额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递延所得税资产和负债期初互抵金额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抵销后递延所得税资产或负债期初余额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递延所得税资产</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39,786,877.06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26,758,292.71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递延所得税负债</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4,519,925.02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5,359,003.78</w:t>
            </w:r>
          </w:p>
        </w:tc>
      </w:tr>
    </w:tbl>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3"/>
        <w:rPr>
          <w:rFonts w:hint="eastAsia" w:ascii="宋体" w:hAnsi="宋体" w:eastAsia="宋体" w:cs="宋体"/>
          <w:b/>
          <w:bCs/>
          <w:sz w:val="21"/>
          <w:szCs w:val="21"/>
          <w:lang w:val="en-US" w:eastAsia="zh-CN"/>
        </w:rPr>
      </w:pPr>
      <w:bookmarkStart w:id="310" w:name="_Toc989163"/>
      <w:r>
        <w:rPr>
          <w:rFonts w:hint="eastAsia" w:ascii="宋体" w:hAnsi="宋体" w:eastAsia="宋体" w:cs="宋体"/>
          <w:b/>
          <w:bCs/>
          <w:sz w:val="21"/>
          <w:szCs w:val="21"/>
          <w:lang w:val="en-US" w:eastAsia="zh-CN"/>
        </w:rPr>
        <w:t>4.未确认递延所得税资产明细</w:t>
      </w:r>
      <w:bookmarkEnd w:id="310"/>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可抵扣亏损</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190,718,692.61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176,210,552.99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190,718,692.61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176,210,552.99</w:t>
            </w:r>
          </w:p>
        </w:tc>
      </w:tr>
    </w:tbl>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3"/>
        <w:rPr>
          <w:rFonts w:hint="eastAsia" w:ascii="宋体" w:hAnsi="宋体" w:eastAsia="宋体" w:cs="宋体"/>
          <w:b/>
          <w:bCs/>
          <w:sz w:val="21"/>
          <w:szCs w:val="21"/>
          <w:lang w:val="en-US" w:eastAsia="zh-CN"/>
        </w:rPr>
      </w:pPr>
      <w:bookmarkStart w:id="311" w:name="_Toc989164"/>
      <w:r>
        <w:rPr>
          <w:rFonts w:hint="eastAsia" w:ascii="宋体" w:hAnsi="宋体" w:eastAsia="宋体" w:cs="宋体"/>
          <w:b/>
          <w:bCs/>
          <w:sz w:val="21"/>
          <w:szCs w:val="21"/>
          <w:lang w:val="en-US" w:eastAsia="zh-CN"/>
        </w:rPr>
        <w:t>5.未确认递延所得税资产的可抵扣亏损将于以下年度到期</w:t>
      </w:r>
      <w:bookmarkEnd w:id="31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年份</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期末金额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期初金额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2027年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15,381,396.16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15,381,396.16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2028年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17,604,600.09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17,604,600.09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2029年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27,060,727.19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27,060,727.19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2030年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32,039,929.11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32,039,929.11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2031年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4,653,122.26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30,867,289.92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2032年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23,166,324.36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30,407,636.86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2033年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19,212,203.57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22,848,973.66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2034年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51,600,389.87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190,718,692.61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176,210,552.99</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2"/>
        <w:rPr>
          <w:rFonts w:hint="eastAsia" w:ascii="宋体" w:hAnsi="宋体" w:eastAsia="宋体" w:cs="宋体"/>
          <w:b/>
          <w:bCs/>
          <w:sz w:val="21"/>
          <w:szCs w:val="21"/>
          <w:lang w:val="en-US" w:eastAsia="zh-CN"/>
        </w:rPr>
      </w:pPr>
      <w:bookmarkStart w:id="312" w:name="_Toc989165"/>
      <w:r>
        <w:rPr>
          <w:rFonts w:hint="eastAsia" w:ascii="宋体" w:hAnsi="宋体" w:eastAsia="宋体" w:cs="宋体"/>
          <w:b/>
          <w:bCs/>
          <w:sz w:val="21"/>
          <w:szCs w:val="21"/>
          <w:lang w:val="en-US" w:eastAsia="zh-CN"/>
        </w:rPr>
        <w:t>（十九）其他非流动资产</w:t>
      </w:r>
      <w:bookmarkEnd w:id="312"/>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预付设备及工程款</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4,335,996.94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4,335,996.94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17,499,706.11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17,499,706.11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4,335,996.94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4,335,996.94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17,499,706.11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17,499,706.11</w:t>
            </w:r>
          </w:p>
        </w:tc>
      </w:tr>
    </w:tbl>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2"/>
        <w:rPr>
          <w:rFonts w:hint="eastAsia" w:ascii="宋体" w:hAnsi="宋体" w:eastAsia="宋体" w:cs="宋体"/>
          <w:b/>
          <w:bCs/>
          <w:sz w:val="21"/>
          <w:szCs w:val="21"/>
          <w:lang w:val="en-US" w:eastAsia="zh-CN"/>
        </w:rPr>
      </w:pPr>
      <w:bookmarkStart w:id="313" w:name="_Toc989166"/>
      <w:r>
        <w:rPr>
          <w:rFonts w:hint="eastAsia" w:ascii="宋体" w:hAnsi="宋体" w:eastAsia="宋体" w:cs="宋体"/>
          <w:b/>
          <w:bCs/>
          <w:sz w:val="21"/>
          <w:szCs w:val="21"/>
          <w:lang w:val="en-US" w:eastAsia="zh-CN"/>
        </w:rPr>
        <w:t>（二十）所有权或使用权受到限制的资产</w:t>
      </w:r>
      <w:bookmarkEnd w:id="313"/>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284"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w:t>
            </w:r>
          </w:p>
        </w:tc>
        <w:tc>
          <w:tcPr>
            <w:tcW w:w="4284"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受限类型</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受限情况</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受限类型</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受限情况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货币资金</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15,244,120.52</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15,244,120.52</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冻结</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银行承兑汇票保证金</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23,165,236.26</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23,165,236.26</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冻结</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银行承兑汇票保证金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货币资金</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5,957,034.06</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5,957,034.06</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冻结</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信用证保证金</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23,943,458.33</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23,943,458.33</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冻结</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信用证保证金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货币资金</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467,688.36</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467,688.36</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冻结</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保函保证金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21,201,154.58</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21,201,154.58</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47,576,382.95</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47,576,382.95</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2"/>
        <w:rPr>
          <w:rFonts w:hint="eastAsia" w:ascii="宋体" w:hAnsi="宋体" w:eastAsia="宋体" w:cs="宋体"/>
          <w:b/>
          <w:bCs/>
          <w:sz w:val="21"/>
          <w:szCs w:val="21"/>
          <w:lang w:val="en-US" w:eastAsia="zh-CN"/>
        </w:rPr>
      </w:pPr>
      <w:bookmarkStart w:id="314" w:name="_Toc989167"/>
      <w:r>
        <w:rPr>
          <w:rFonts w:hint="eastAsia" w:ascii="宋体" w:hAnsi="宋体" w:eastAsia="宋体" w:cs="宋体"/>
          <w:b/>
          <w:bCs/>
          <w:sz w:val="21"/>
          <w:szCs w:val="21"/>
          <w:lang w:val="en-US" w:eastAsia="zh-CN"/>
        </w:rPr>
        <w:t>（二十一）短期借款</w:t>
      </w:r>
      <w:bookmarkEnd w:id="314"/>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保证借款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60,033,333.33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信用借款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320,257,847.26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170,141,666.67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320,257,847.26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230,175,000.00</w:t>
            </w:r>
          </w:p>
        </w:tc>
      </w:tr>
    </w:tbl>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2"/>
        <w:rPr>
          <w:rFonts w:hint="eastAsia" w:ascii="宋体" w:hAnsi="宋体" w:eastAsia="宋体" w:cs="宋体"/>
          <w:b/>
          <w:bCs/>
          <w:sz w:val="21"/>
          <w:szCs w:val="21"/>
          <w:lang w:val="en-US" w:eastAsia="zh-CN"/>
        </w:rPr>
      </w:pPr>
      <w:bookmarkStart w:id="315" w:name="_Toc989169"/>
      <w:r>
        <w:rPr>
          <w:rFonts w:hint="eastAsia" w:ascii="宋体" w:hAnsi="宋体" w:eastAsia="宋体" w:cs="宋体"/>
          <w:b/>
          <w:bCs/>
          <w:sz w:val="21"/>
          <w:szCs w:val="21"/>
          <w:lang w:val="en-US" w:eastAsia="zh-CN"/>
        </w:rPr>
        <w:t>（二十二）应付票据</w:t>
      </w:r>
      <w:bookmarkEnd w:id="31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种类</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商业承兑汇票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8,084,986.99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15,306,929.43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银行承兑汇票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105,425,116.42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110,126,907.40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113,510,103.41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125,433,836.83</w:t>
            </w:r>
          </w:p>
        </w:tc>
      </w:tr>
    </w:tbl>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2"/>
        <w:rPr>
          <w:rFonts w:hint="eastAsia" w:ascii="宋体" w:hAnsi="宋体" w:eastAsia="宋体" w:cs="宋体"/>
          <w:b/>
          <w:bCs/>
          <w:sz w:val="21"/>
          <w:szCs w:val="21"/>
          <w:lang w:val="en-US" w:eastAsia="zh-CN"/>
        </w:rPr>
      </w:pPr>
      <w:bookmarkStart w:id="316" w:name="_Toc989170"/>
      <w:r>
        <w:rPr>
          <w:rFonts w:hint="eastAsia" w:ascii="宋体" w:hAnsi="宋体" w:eastAsia="宋体" w:cs="宋体"/>
          <w:b/>
          <w:bCs/>
          <w:sz w:val="21"/>
          <w:szCs w:val="21"/>
          <w:lang w:val="en-US" w:eastAsia="zh-CN"/>
        </w:rPr>
        <w:t>（二十三）应付账款</w:t>
      </w:r>
      <w:bookmarkEnd w:id="316"/>
    </w:p>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3"/>
        <w:rPr>
          <w:rFonts w:hint="eastAsia" w:ascii="宋体" w:hAnsi="宋体" w:eastAsia="宋体" w:cs="宋体"/>
          <w:b/>
          <w:bCs/>
          <w:sz w:val="21"/>
          <w:szCs w:val="21"/>
          <w:lang w:val="en-US" w:eastAsia="zh-CN"/>
        </w:rPr>
      </w:pPr>
      <w:bookmarkStart w:id="317" w:name="_Toc989171"/>
      <w:r>
        <w:rPr>
          <w:rFonts w:hint="eastAsia" w:ascii="宋体" w:hAnsi="宋体" w:eastAsia="宋体" w:cs="宋体"/>
          <w:b/>
          <w:bCs/>
          <w:sz w:val="21"/>
          <w:szCs w:val="21"/>
          <w:lang w:val="en-US" w:eastAsia="zh-CN"/>
        </w:rPr>
        <w:t>1.应付账款列示</w:t>
      </w:r>
      <w:bookmarkEnd w:id="317"/>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材料款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105,188,492.61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66,297,092.95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工程及设备款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67,147,368.70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30,807,670.42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9,781,774.50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6,084,739.55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182,117,635.81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103,189,502.92</w:t>
            </w:r>
          </w:p>
        </w:tc>
      </w:tr>
    </w:tbl>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3"/>
        <w:rPr>
          <w:rFonts w:hint="eastAsia" w:ascii="宋体" w:hAnsi="宋体" w:eastAsia="宋体" w:cs="宋体"/>
          <w:b/>
          <w:bCs/>
          <w:sz w:val="21"/>
          <w:szCs w:val="21"/>
          <w:lang w:val="en-US" w:eastAsia="zh-CN"/>
        </w:rPr>
      </w:pPr>
      <w:bookmarkStart w:id="318" w:name="_Toc989172"/>
      <w:r>
        <w:rPr>
          <w:rFonts w:hint="eastAsia" w:ascii="宋体" w:hAnsi="宋体" w:eastAsia="宋体" w:cs="宋体"/>
          <w:b/>
          <w:bCs/>
          <w:sz w:val="21"/>
          <w:szCs w:val="21"/>
          <w:lang w:val="en-US" w:eastAsia="zh-CN"/>
        </w:rPr>
        <w:t>2.账龄超过1年或逾期的重要应付账款</w:t>
      </w:r>
      <w:bookmarkEnd w:id="318"/>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未偿还或结转的原因</w:t>
            </w:r>
          </w:p>
        </w:tc>
      </w:tr>
    </w:tbl>
    <w:p>
      <w:pPr>
        <w:pStyle w:val="4"/>
        <w:keepNext w:val="0"/>
        <w:keepLines w:val="0"/>
        <w:widowControl/>
        <w:suppressLineNumbers w:val="0"/>
        <w:spacing w:before="0" w:beforeAutospacing="0" w:after="0" w:afterAutospacing="0"/>
        <w:ind w:left="0" w:right="0"/>
        <w:jc w:val="both"/>
        <w:rPr>
          <w:rFonts w:ascii="Calibri" w:hAnsi="Calibri" w:cs="Calibri"/>
          <w:sz w:val="21"/>
          <w:szCs w:val="21"/>
        </w:rPr>
      </w:pPr>
      <w:r>
        <w:rPr>
          <w:rFonts w:hint="eastAsia" w:ascii="宋体" w:hAnsi="宋体" w:eastAsia="宋体" w:cs="宋体"/>
          <w:sz w:val="21"/>
          <w:szCs w:val="21"/>
        </w:rPr>
        <w:t>期末无账龄超过一年的重要应付账款</w:t>
      </w:r>
    </w:p>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2"/>
        <w:rPr>
          <w:rFonts w:ascii="宋体" w:hAnsi="宋体" w:eastAsia="宋体" w:cs="宋体"/>
          <w:b/>
          <w:bCs/>
          <w:sz w:val="21"/>
          <w:szCs w:val="21"/>
        </w:rPr>
      </w:pPr>
      <w:bookmarkStart w:id="319" w:name="_Toc989173"/>
      <w:r>
        <w:rPr>
          <w:rFonts w:hint="eastAsia" w:ascii="宋体" w:hAnsi="宋体" w:eastAsia="宋体" w:cs="宋体"/>
          <w:b/>
          <w:bCs/>
          <w:sz w:val="21"/>
          <w:szCs w:val="21"/>
          <w:lang w:eastAsia="zh-CN"/>
        </w:rPr>
        <w:t>（二十四）</w:t>
      </w:r>
      <w:r>
        <w:rPr>
          <w:rFonts w:ascii="宋体" w:hAnsi="宋体" w:eastAsia="宋体" w:cs="宋体"/>
          <w:b/>
          <w:bCs/>
          <w:sz w:val="21"/>
          <w:szCs w:val="21"/>
        </w:rPr>
        <w:t>其他应付款</w:t>
      </w:r>
      <w:bookmarkEnd w:id="31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其他应付款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6,379,893.48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38,693,823.73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6,379,893.48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38,693,823.73</w:t>
            </w:r>
          </w:p>
        </w:tc>
      </w:tr>
    </w:tbl>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3"/>
        <w:rPr>
          <w:rFonts w:hint="eastAsia" w:ascii="宋体" w:hAnsi="宋体" w:eastAsia="宋体" w:cs="宋体"/>
          <w:b/>
          <w:bCs/>
          <w:sz w:val="21"/>
          <w:szCs w:val="21"/>
          <w:lang w:val="en-US" w:eastAsia="zh-CN"/>
        </w:rPr>
      </w:pPr>
      <w:bookmarkStart w:id="320" w:name="_Toc989175"/>
      <w:r>
        <w:rPr>
          <w:rFonts w:hint="eastAsia" w:ascii="宋体" w:hAnsi="宋体" w:eastAsia="宋体" w:cs="宋体"/>
          <w:b/>
          <w:bCs/>
          <w:sz w:val="21"/>
          <w:szCs w:val="21"/>
          <w:lang w:val="en-US" w:eastAsia="zh-CN"/>
        </w:rPr>
        <w:t>1.按款项性质列示其他应付款</w:t>
      </w:r>
      <w:bookmarkEnd w:id="320"/>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其他往来款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6,379,893.48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3,833,823.73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联营企业股权转让款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34,860,000.00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6,379,893.48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38,693,823.73</w:t>
            </w:r>
          </w:p>
        </w:tc>
      </w:tr>
    </w:tbl>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2"/>
        <w:rPr>
          <w:rFonts w:hint="eastAsia" w:ascii="宋体" w:hAnsi="宋体" w:eastAsia="宋体" w:cs="宋体"/>
          <w:b/>
          <w:bCs/>
          <w:sz w:val="21"/>
          <w:szCs w:val="21"/>
          <w:lang w:eastAsia="zh-CN"/>
        </w:rPr>
      </w:pPr>
      <w:bookmarkStart w:id="321" w:name="_Toc989177"/>
      <w:r>
        <w:rPr>
          <w:rFonts w:hint="eastAsia" w:ascii="宋体" w:hAnsi="宋体" w:eastAsia="宋体" w:cs="宋体"/>
          <w:b/>
          <w:bCs/>
          <w:sz w:val="21"/>
          <w:szCs w:val="21"/>
          <w:lang w:eastAsia="zh-CN"/>
        </w:rPr>
        <w:t>（二十五）预收款项</w:t>
      </w:r>
    </w:p>
    <w:bookmarkEnd w:id="321"/>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预收租金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693,680.95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454,539.34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693,680.95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454,539.34</w:t>
            </w:r>
          </w:p>
        </w:tc>
      </w:tr>
    </w:tbl>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2"/>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（二十六）合同负债</w:t>
      </w:r>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企业已收客户对价而应向客户转让商品/提供劳务的义务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12,685,882.34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12,716,588.45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12,685,882.34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12,716,588.45</w:t>
            </w:r>
          </w:p>
        </w:tc>
      </w:tr>
    </w:tbl>
    <w:p>
      <w:pPr>
        <w:spacing w:before="0" w:after="0" w:line="240" w:lineRule="exact"/>
        <w:jc w:val="left"/>
        <w:rPr>
          <w:rFonts w:ascii="宋体" w:hAnsi="宋体" w:eastAsia="宋体" w:cs="宋体"/>
          <w:sz w:val="18"/>
          <w:szCs w:val="18"/>
        </w:rPr>
      </w:pPr>
      <w:r>
        <w:rPr>
          <w:rFonts w:ascii="宋体" w:hAnsi="宋体" w:eastAsia="宋体" w:cs="宋体"/>
          <w:sz w:val="18"/>
          <w:szCs w:val="18"/>
        </w:rPr>
        <w:t>账龄超过1年的重要合同负债</w:t>
      </w:r>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未偿还或结转的原因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发动机喷管用关键材料研制技术开发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5,099,509.44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未达到收入确认条件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5,099,509.44</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2"/>
        <w:rPr>
          <w:rFonts w:hint="eastAsia" w:ascii="宋体" w:hAnsi="宋体" w:eastAsia="宋体" w:cs="宋体"/>
          <w:b/>
          <w:bCs/>
          <w:sz w:val="21"/>
          <w:szCs w:val="21"/>
          <w:lang w:eastAsia="zh-CN"/>
        </w:rPr>
      </w:pPr>
      <w:bookmarkStart w:id="322" w:name="_Toc989180"/>
      <w:r>
        <w:rPr>
          <w:rFonts w:hint="eastAsia" w:ascii="宋体" w:hAnsi="宋体" w:eastAsia="宋体" w:cs="宋体"/>
          <w:b/>
          <w:bCs/>
          <w:sz w:val="21"/>
          <w:szCs w:val="21"/>
          <w:lang w:eastAsia="zh-CN"/>
        </w:rPr>
        <w:t>（二十七）应付职工薪酬</w:t>
      </w:r>
      <w:bookmarkEnd w:id="322"/>
    </w:p>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3"/>
        <w:rPr>
          <w:rFonts w:ascii="宋体" w:hAnsi="宋体" w:eastAsia="宋体" w:cs="宋体"/>
          <w:b/>
          <w:bCs/>
          <w:sz w:val="21"/>
          <w:szCs w:val="21"/>
        </w:rPr>
      </w:pPr>
      <w:r>
        <w:rPr>
          <w:rFonts w:hint="eastAsia" w:ascii="宋体" w:hAnsi="宋体" w:eastAsia="宋体" w:cs="宋体"/>
          <w:b/>
          <w:bCs/>
          <w:sz w:val="21"/>
          <w:szCs w:val="21"/>
          <w:lang w:val="en-US" w:eastAsia="zh-CN"/>
        </w:rPr>
        <w:t>1.</w:t>
      </w:r>
      <w:r>
        <w:rPr>
          <w:rFonts w:ascii="宋体" w:hAnsi="宋体" w:eastAsia="宋体" w:cs="宋体"/>
          <w:b/>
          <w:bCs/>
          <w:sz w:val="21"/>
          <w:szCs w:val="21"/>
        </w:rPr>
        <w:t>应付职工薪酬列示</w:t>
      </w:r>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一、短期薪酬</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28,682,378.77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151,407,319.12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145,576,580.61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34,513,117.28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二、离职后福利-设定提存计划</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7,978,682.83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7,978,682.83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三、辞退福利</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246,605.22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246,605.22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28,682,378.77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159,632,607.17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153,801,868.66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34,513,117.28</w:t>
            </w:r>
          </w:p>
        </w:tc>
      </w:tr>
    </w:tbl>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3"/>
        <w:rPr>
          <w:rFonts w:hint="eastAsia" w:ascii="宋体" w:hAnsi="宋体" w:eastAsia="宋体" w:cs="宋体"/>
          <w:b/>
          <w:bCs/>
          <w:sz w:val="21"/>
          <w:szCs w:val="21"/>
          <w:lang w:val="en-US" w:eastAsia="zh-CN"/>
        </w:rPr>
      </w:pPr>
      <w:bookmarkStart w:id="323" w:name="_Toc989181"/>
      <w:r>
        <w:rPr>
          <w:rFonts w:hint="eastAsia" w:ascii="宋体" w:hAnsi="宋体" w:eastAsia="宋体" w:cs="宋体"/>
          <w:b/>
          <w:bCs/>
          <w:sz w:val="21"/>
          <w:szCs w:val="21"/>
          <w:lang w:val="en-US" w:eastAsia="zh-CN"/>
        </w:rPr>
        <w:t>2.短期薪酬列示</w:t>
      </w:r>
      <w:bookmarkEnd w:id="323"/>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1、工资、奖金、津贴和补贴</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26,664,273.89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131,631,687.21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125,651,563.91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32,644,397.19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2、职工福利费</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7,316,890.54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7,147,179.61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169,710.93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3、社会保险费</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4,415,034.59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4,415,034.59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其中：医疗保险费</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4,066,383.26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4,066,383.26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ascii="宋体" w:hAnsi="宋体" w:eastAsia="宋体" w:cs="宋体"/>
                <w:sz w:val="18"/>
                <w:szCs w:val="18"/>
              </w:rPr>
            </w:pPr>
            <w:r>
              <w:rPr>
                <w:rFonts w:ascii="宋体" w:hAnsi="宋体" w:eastAsia="宋体" w:cs="宋体"/>
                <w:sz w:val="18"/>
                <w:szCs w:val="18"/>
              </w:rPr>
              <w:t>工伤保险费</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347,246.25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347,246.25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ascii="宋体" w:hAnsi="宋体" w:eastAsia="宋体" w:cs="宋体"/>
                <w:sz w:val="18"/>
                <w:szCs w:val="18"/>
              </w:rPr>
            </w:pPr>
            <w:r>
              <w:rPr>
                <w:rFonts w:ascii="宋体" w:hAnsi="宋体" w:eastAsia="宋体" w:cs="宋体"/>
                <w:sz w:val="18"/>
                <w:szCs w:val="18"/>
              </w:rPr>
              <w:t>生育保险费</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1,405.08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1,405.08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4、住房公积金</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4,760,738.00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4,760,738.00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5、工会经费和职工教育经费</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2,018,104.88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3,282,968.78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3,602,064.50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1,699,009.16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28,682,378.77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151,407,319.12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145,576,580.61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34,513,117.28</w:t>
            </w:r>
          </w:p>
        </w:tc>
      </w:tr>
    </w:tbl>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3"/>
        <w:rPr>
          <w:rFonts w:hint="eastAsia" w:ascii="宋体" w:hAnsi="宋体" w:eastAsia="宋体" w:cs="宋体"/>
          <w:b/>
          <w:bCs/>
          <w:sz w:val="21"/>
          <w:szCs w:val="21"/>
          <w:lang w:val="en-US" w:eastAsia="zh-CN"/>
        </w:rPr>
      </w:pPr>
      <w:bookmarkStart w:id="324" w:name="_Toc989182"/>
      <w:r>
        <w:rPr>
          <w:rFonts w:hint="eastAsia" w:ascii="宋体" w:hAnsi="宋体" w:eastAsia="宋体" w:cs="宋体"/>
          <w:b/>
          <w:bCs/>
          <w:sz w:val="21"/>
          <w:szCs w:val="21"/>
          <w:lang w:val="en-US" w:eastAsia="zh-CN"/>
        </w:rPr>
        <w:t>3.设定提存计划列示</w:t>
      </w:r>
      <w:bookmarkEnd w:id="324"/>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1、基本养老保险</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7,650,657.29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7,650,657.29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2、失业保险费</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328,025.54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328,025.54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7,978,682.83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7,978,682.83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2"/>
        <w:rPr>
          <w:rFonts w:ascii="宋体" w:hAnsi="宋体" w:eastAsia="宋体" w:cs="宋体"/>
          <w:b/>
          <w:bCs/>
          <w:sz w:val="21"/>
          <w:szCs w:val="21"/>
        </w:rPr>
      </w:pPr>
      <w:r>
        <w:rPr>
          <w:rFonts w:hint="eastAsia" w:ascii="宋体" w:hAnsi="宋体" w:eastAsia="宋体" w:cs="宋体"/>
          <w:b/>
          <w:bCs/>
          <w:sz w:val="21"/>
          <w:szCs w:val="21"/>
          <w:lang w:eastAsia="zh-CN"/>
        </w:rPr>
        <w:t>（二十八）</w:t>
      </w:r>
      <w:r>
        <w:rPr>
          <w:rFonts w:ascii="宋体" w:hAnsi="宋体" w:eastAsia="宋体" w:cs="宋体"/>
          <w:b/>
          <w:bCs/>
          <w:sz w:val="21"/>
          <w:szCs w:val="21"/>
        </w:rPr>
        <w:t>应交税费</w:t>
      </w:r>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增值税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6,719,544.63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1,206,211.75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企业所得税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1,981,928.29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2,646,301.68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个人所得税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203,213.07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188,853.25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城市维护建设税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471,266.83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173,512.97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房产税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336,013.77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66,615.04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105,855.61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20,101.89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教育费附加及地方教育附加</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361,592.84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148,911.51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10,179,415.04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4,450,508.09</w:t>
            </w:r>
          </w:p>
        </w:tc>
      </w:tr>
    </w:tbl>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2"/>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（二十九）一年内到期的非流动负债</w:t>
      </w:r>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一年内到期的长期借款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30,024,166.67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30,024,166.67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2"/>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（三十）其他流动负债</w:t>
      </w:r>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已背书未终止确认的应收票据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48,615,719.45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47,904,155.64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待转销项税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874,299.57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732,898.14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49,490,019.02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48,637,053.78</w:t>
            </w:r>
          </w:p>
        </w:tc>
      </w:tr>
    </w:tbl>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2"/>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（三十一）长期应付款</w:t>
      </w:r>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专项应付款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54,310,000.00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54,310,000.00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3"/>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1.按款项性质列示长期应付款</w:t>
      </w:r>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bl>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3"/>
        <w:rPr>
          <w:rFonts w:hint="eastAsia" w:ascii="宋体" w:hAnsi="宋体" w:eastAsia="宋体" w:cs="宋体"/>
          <w:b/>
          <w:bCs/>
          <w:sz w:val="21"/>
          <w:szCs w:val="21"/>
          <w:lang w:val="en-US" w:eastAsia="zh-CN"/>
        </w:rPr>
      </w:pPr>
      <w:bookmarkStart w:id="325" w:name="_Toc989188"/>
      <w:r>
        <w:rPr>
          <w:rFonts w:hint="eastAsia" w:ascii="宋体" w:hAnsi="宋体" w:eastAsia="宋体" w:cs="宋体"/>
          <w:b/>
          <w:bCs/>
          <w:sz w:val="21"/>
          <w:szCs w:val="21"/>
          <w:lang w:val="en-US" w:eastAsia="zh-CN"/>
        </w:rPr>
        <w:t>2.专项应付款</w:t>
      </w:r>
      <w:bookmarkEnd w:id="32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形成原因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研保项目补助资金改资本金注入</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54,310,000.00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54,310,000.00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国有资本金注入待批复完成</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54,310,000.00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54,310,000.00</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2"/>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（三十二）递延收益</w:t>
      </w:r>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形成原因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政府补助</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116,243,705.52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49,194,491.56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67,049,213.96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政府补助</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116,243,705.52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49,194,491.56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67,049,213.96</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r>
    </w:tbl>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2"/>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（三十三）股本</w:t>
      </w:r>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05"/>
        <w:gridCol w:w="1205"/>
        <w:gridCol w:w="1205"/>
        <w:gridCol w:w="1205"/>
        <w:gridCol w:w="1205"/>
        <w:gridCol w:w="1205"/>
        <w:gridCol w:w="1205"/>
        <w:gridCol w:w="120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6024"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本次变动增减（+、-）</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发行新股</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送股</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公积金转股</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小计</w:t>
            </w:r>
          </w:p>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股份总数</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573,104,819.00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573,104,819.00</w:t>
            </w:r>
          </w:p>
        </w:tc>
      </w:tr>
    </w:tbl>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2"/>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（三十四）资本公积</w:t>
      </w:r>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资本溢价（股本溢价）</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1,678,317,226.47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1,678,317,226.47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其他资本公积</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44,466.60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44,466.60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1,678,361,693.07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1,678,361,693.07</w:t>
            </w:r>
          </w:p>
        </w:tc>
      </w:tr>
    </w:tbl>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2"/>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（三十五）其他综合收益</w:t>
      </w:r>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6426" w:type="dxa"/>
            <w:gridSpan w:val="6"/>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本期所得税前发生额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减：前期计入其他综合收益当期转入损益</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减：前期计入其他综合收益当期转入留存收益</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减：所得税费用</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税后归属于母公司</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税后归属于少数股东</w:t>
            </w: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一、不能重分类进损益的其他综合收益</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14,318,722.83</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-1,734,595.89</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6,427,685.98</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962,443.51</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-9,357,196.97</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232,471.59</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4,961,525.86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其他权益工具投资公允价值变动</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14,318,722.83</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-1,734,595.89</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6,427,685.98</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962,443.51</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-9,357,196.97</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232,471.59</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4,961,525.86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其他综合收益合计</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14,318,722.83</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-1,734,595.89</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6,427,685.98</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962,443.51</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-9,357,196.97</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232,471.59</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4,961,525.86</w:t>
            </w:r>
          </w:p>
        </w:tc>
      </w:tr>
    </w:tbl>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2"/>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（三十六）盈余公积</w:t>
      </w:r>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法定盈余公积</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19,940,955.96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19,940,955.96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19,940,955.96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19,940,955.96</w:t>
            </w:r>
          </w:p>
        </w:tc>
      </w:tr>
    </w:tbl>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2"/>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（三十七）未分配利润</w:t>
      </w:r>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调整前上期末未分配利润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-164,015,929.50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-193,291,369.57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调整后期初未分配利润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-164,015,929.50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-193,291,369.57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加：本期归属于母公司所有者的净利润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-67,229,786.16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29,275,440.07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加：其他综合收益结转留存收益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6,427,685.98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期末未分配利润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-224,818,029.68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-164,015,929.50</w:t>
            </w:r>
          </w:p>
        </w:tc>
      </w:tr>
    </w:tbl>
    <w:p>
      <w:pPr>
        <w:spacing w:before="100" w:after="100" w:line="240" w:lineRule="exact"/>
        <w:jc w:val="left"/>
        <w:rPr>
          <w:rFonts w:hint="eastAsia" w:ascii="宋体" w:hAnsi="宋体" w:eastAsia="宋体" w:cs="宋体"/>
          <w:sz w:val="18"/>
          <w:szCs w:val="18"/>
        </w:rPr>
      </w:pPr>
      <w:bookmarkStart w:id="326" w:name="_Toc989195"/>
      <w:r>
        <w:rPr>
          <w:rFonts w:hint="eastAsia" w:ascii="宋体" w:hAnsi="宋体" w:eastAsia="宋体" w:cs="宋体"/>
          <w:sz w:val="18"/>
          <w:szCs w:val="18"/>
        </w:rPr>
        <w:t>调整期初未分配利润明细：</w:t>
      </w:r>
    </w:p>
    <w:p>
      <w:pPr>
        <w:spacing w:before="100" w:after="100" w:line="240" w:lineRule="exact"/>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①由于《企业会计准则》及其相关新规定进行追溯调整，影响期初未分配利润0.00元。</w:t>
      </w:r>
    </w:p>
    <w:p>
      <w:pPr>
        <w:spacing w:before="100" w:after="100" w:line="240" w:lineRule="exact"/>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②由于会计政策变更，影响期初未分配利润0.00元。</w:t>
      </w:r>
    </w:p>
    <w:p>
      <w:pPr>
        <w:spacing w:before="100" w:after="100" w:line="240" w:lineRule="exact"/>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③由于重大会计差错更正，影响期初未分配利润0.00元。</w:t>
      </w:r>
    </w:p>
    <w:p>
      <w:pPr>
        <w:spacing w:before="100" w:after="100" w:line="240" w:lineRule="exact"/>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④由于同一控制导致的合并范围变更，影响期初未分配利润0.00元。</w:t>
      </w:r>
    </w:p>
    <w:p>
      <w:pPr>
        <w:spacing w:before="100" w:after="100" w:line="240" w:lineRule="exact"/>
        <w:jc w:val="left"/>
        <w:rPr>
          <w:rFonts w:hint="eastAsia" w:ascii="宋体" w:hAnsi="宋体" w:cs="宋体"/>
          <w:sz w:val="18"/>
          <w:szCs w:val="18"/>
        </w:rPr>
      </w:pPr>
      <w:r>
        <w:rPr>
          <w:rFonts w:hint="eastAsia" w:ascii="宋体" w:hAnsi="宋体" w:eastAsia="宋体" w:cs="宋体"/>
          <w:color w:val="auto"/>
          <w:sz w:val="18"/>
          <w:szCs w:val="18"/>
          <w:highlight w:val="none"/>
        </w:rPr>
        <w:t>⑤其他</w:t>
      </w:r>
      <w:r>
        <w:rPr>
          <w:rFonts w:ascii="宋体" w:hAnsi="宋体" w:cs="宋体"/>
          <w:color w:val="auto"/>
          <w:sz w:val="18"/>
          <w:szCs w:val="18"/>
          <w:highlight w:val="none"/>
        </w:rPr>
        <w:t>调整合计</w:t>
      </w:r>
      <w:r>
        <w:rPr>
          <w:rFonts w:ascii="宋体" w:hAnsi="宋体" w:cs="宋体"/>
          <w:sz w:val="18"/>
          <w:szCs w:val="18"/>
        </w:rPr>
        <w:t>影响期初未分配利润0.00元。</w:t>
      </w:r>
    </w:p>
    <w:bookmarkEnd w:id="326"/>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2"/>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（三十八）营业收入和营业成本</w:t>
      </w:r>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收入</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成本</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收入</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成本</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主营业务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692,628,251.49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554,548,124.48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567,278,963.45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431,985,735.51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其他业务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19,941,135.79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6,205,987.14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23,779,003.51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8,407,572.48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712,569,387.28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560,754,111.62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591,057,966.96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440,393,307.99</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经审计扣除非经常损益前后净利润孰低是否为负值</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0052"/>
      </w:r>
      <w:r>
        <w:rPr>
          <w:rFonts w:ascii="宋体" w:hAnsi="宋体" w:eastAsia="宋体" w:cs="宋体"/>
          <w:sz w:val="18"/>
          <w:szCs w:val="18"/>
        </w:rPr>
        <w:t xml:space="preserve">是 </w:t>
      </w:r>
      <w:r>
        <w:rPr>
          <w:rFonts w:ascii="宋体" w:hAnsi="宋体" w:eastAsia="宋体" w:cs="宋体"/>
          <w:sz w:val="18"/>
          <w:szCs w:val="18"/>
        </w:rPr>
        <w:sym w:font="Wingdings 2" w:char="00A3"/>
      </w:r>
      <w:r>
        <w:rPr>
          <w:rFonts w:ascii="宋体" w:hAnsi="宋体" w:eastAsia="宋体" w:cs="宋体"/>
          <w:sz w:val="18"/>
          <w:szCs w:val="18"/>
        </w:rPr>
        <w:t>否</w:t>
      </w:r>
    </w:p>
    <w:tbl>
      <w:tblPr>
        <w:tblStyle w:val="5"/>
        <w:tblW w:w="965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003"/>
        <w:gridCol w:w="1688"/>
        <w:gridCol w:w="1387"/>
        <w:gridCol w:w="1556"/>
        <w:gridCol w:w="10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03" w:type="dxa"/>
            <w:tcBorders>
              <w:top w:val="single" w:color="000000" w:sz="4" w:space="0"/>
              <w:left w:val="single" w:color="000000" w:sz="4" w:space="0"/>
              <w:bottom w:val="single" w:color="000000" w:sz="4" w:space="0"/>
              <w:right w:val="single" w:color="000000" w:sz="4" w:space="0"/>
            </w:tcBorders>
            <w:shd w:val="clear" w:color="auto" w:fill="D3D3D3"/>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w:t>
            </w:r>
          </w:p>
        </w:tc>
        <w:tc>
          <w:tcPr>
            <w:tcW w:w="1688" w:type="dxa"/>
            <w:tcBorders>
              <w:top w:val="single" w:color="000000" w:sz="4" w:space="0"/>
              <w:left w:val="single" w:color="000000" w:sz="4" w:space="0"/>
              <w:bottom w:val="single" w:color="000000" w:sz="4" w:space="0"/>
              <w:right w:val="single" w:color="000000" w:sz="4" w:space="0"/>
            </w:tcBorders>
            <w:shd w:val="clear" w:color="auto" w:fill="D3D3D3"/>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本年度</w:t>
            </w:r>
          </w:p>
        </w:tc>
        <w:tc>
          <w:tcPr>
            <w:tcW w:w="1387" w:type="dxa"/>
            <w:tcBorders>
              <w:top w:val="single" w:color="000000" w:sz="4" w:space="0"/>
              <w:left w:val="single" w:color="000000" w:sz="4" w:space="0"/>
              <w:bottom w:val="single" w:color="000000" w:sz="4" w:space="0"/>
              <w:right w:val="single" w:color="000000" w:sz="4" w:space="0"/>
            </w:tcBorders>
            <w:shd w:val="clear" w:color="auto" w:fill="D3D3D3"/>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具体扣除情况</w:t>
            </w:r>
          </w:p>
        </w:tc>
        <w:tc>
          <w:tcPr>
            <w:tcW w:w="1556" w:type="dxa"/>
            <w:tcBorders>
              <w:top w:val="single" w:color="000000" w:sz="4" w:space="0"/>
              <w:left w:val="single" w:color="000000" w:sz="4" w:space="0"/>
              <w:bottom w:val="single" w:color="000000" w:sz="4" w:space="0"/>
              <w:right w:val="single" w:color="000000" w:sz="4" w:space="0"/>
            </w:tcBorders>
            <w:shd w:val="clear" w:color="auto" w:fill="D3D3D3"/>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上年度</w:t>
            </w:r>
          </w:p>
        </w:tc>
        <w:tc>
          <w:tcPr>
            <w:tcW w:w="1018" w:type="dxa"/>
            <w:tcBorders>
              <w:top w:val="single" w:color="000000" w:sz="4" w:space="0"/>
              <w:left w:val="single" w:color="000000" w:sz="4" w:space="0"/>
              <w:bottom w:val="single" w:color="000000" w:sz="4" w:space="0"/>
              <w:right w:val="single" w:color="000000" w:sz="4" w:space="0"/>
            </w:tcBorders>
            <w:shd w:val="clear" w:color="auto" w:fill="D3D3D3"/>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具体扣除情况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03" w:type="dxa"/>
            <w:tcBorders>
              <w:top w:val="single" w:color="000000" w:sz="4" w:space="0"/>
              <w:left w:val="single" w:color="000000" w:sz="4" w:space="0"/>
              <w:bottom w:val="single" w:color="000000" w:sz="4" w:space="0"/>
              <w:right w:val="single" w:color="000000" w:sz="4" w:space="0"/>
            </w:tcBorders>
            <w:shd w:val="clear" w:color="auto" w:fill="D3D3D3"/>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营业收入金额</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shd w:val="clear" w:color="auto" w:fill="auto"/>
              </w:rPr>
            </w:pPr>
            <w:r>
              <w:rPr>
                <w:rFonts w:hint="eastAsia" w:ascii="宋体" w:hAnsi="宋体" w:eastAsia="宋体" w:cs="宋体"/>
                <w:i w:val="0"/>
                <w:iCs w:val="0"/>
                <w:color w:val="000000"/>
                <w:kern w:val="0"/>
                <w:sz w:val="18"/>
                <w:szCs w:val="18"/>
                <w:highlight w:val="none"/>
                <w:u w:val="none"/>
                <w:shd w:val="clear" w:color="auto" w:fill="auto"/>
                <w:lang w:val="en-US" w:eastAsia="zh-CN" w:bidi="ar"/>
              </w:rPr>
              <w:t>712,569,387.28</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highlight w:val="none"/>
                <w:u w:val="none"/>
                <w:shd w:val="clear" w:color="auto" w:fill="auto"/>
              </w:rPr>
            </w:pPr>
            <w:r>
              <w:rPr>
                <w:rFonts w:hint="eastAsia" w:ascii="宋体" w:hAnsi="宋体" w:eastAsia="宋体" w:cs="宋体"/>
                <w:i w:val="0"/>
                <w:iCs w:val="0"/>
                <w:caps w:val="0"/>
                <w:color w:val="333333"/>
                <w:spacing w:val="0"/>
                <w:sz w:val="18"/>
                <w:szCs w:val="18"/>
                <w:highlight w:val="none"/>
                <w:shd w:val="clear" w:color="auto" w:fill="auto"/>
              </w:rPr>
              <w:t>营业收入总额</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shd w:val="clear" w:color="auto" w:fill="auto"/>
              </w:rPr>
            </w:pPr>
            <w:r>
              <w:rPr>
                <w:rFonts w:hint="eastAsia" w:ascii="宋体" w:hAnsi="宋体" w:eastAsia="宋体" w:cs="宋体"/>
                <w:i w:val="0"/>
                <w:iCs w:val="0"/>
                <w:color w:val="000000"/>
                <w:kern w:val="0"/>
                <w:sz w:val="18"/>
                <w:szCs w:val="18"/>
                <w:highlight w:val="none"/>
                <w:u w:val="none"/>
                <w:shd w:val="clear" w:color="auto" w:fill="auto"/>
                <w:lang w:val="en-US" w:eastAsia="zh-CN" w:bidi="ar"/>
              </w:rPr>
              <w:t>591,057,966.96</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highlight w:val="none"/>
                <w:u w:val="none"/>
                <w:shd w:val="clear" w:color="auto" w:fill="auto"/>
              </w:rPr>
            </w:pPr>
            <w:r>
              <w:rPr>
                <w:rFonts w:hint="eastAsia" w:ascii="宋体" w:hAnsi="宋体" w:eastAsia="宋体" w:cs="宋体"/>
                <w:i w:val="0"/>
                <w:iCs w:val="0"/>
                <w:caps w:val="0"/>
                <w:color w:val="333333"/>
                <w:spacing w:val="0"/>
                <w:sz w:val="18"/>
                <w:szCs w:val="18"/>
                <w:highlight w:val="none"/>
                <w:shd w:val="clear" w:color="auto" w:fill="auto"/>
              </w:rPr>
              <w:t>营业收入总额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03" w:type="dxa"/>
            <w:tcBorders>
              <w:top w:val="single" w:color="000000" w:sz="4" w:space="0"/>
              <w:left w:val="single" w:color="000000" w:sz="4" w:space="0"/>
              <w:bottom w:val="single" w:color="000000" w:sz="4" w:space="0"/>
              <w:right w:val="single" w:color="000000" w:sz="4" w:space="0"/>
            </w:tcBorders>
            <w:shd w:val="clear" w:color="auto" w:fill="D3D3D3"/>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营业收入扣除项目合计金额</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shd w:val="clear" w:color="auto" w:fill="auto"/>
              </w:rPr>
            </w:pPr>
            <w:r>
              <w:rPr>
                <w:rFonts w:hint="eastAsia" w:ascii="宋体" w:hAnsi="宋体" w:eastAsia="宋体" w:cs="宋体"/>
                <w:i w:val="0"/>
                <w:iCs w:val="0"/>
                <w:color w:val="000000"/>
                <w:kern w:val="0"/>
                <w:sz w:val="18"/>
                <w:szCs w:val="18"/>
                <w:highlight w:val="none"/>
                <w:u w:val="none"/>
                <w:shd w:val="clear" w:color="auto" w:fill="auto"/>
                <w:lang w:val="en-US" w:eastAsia="zh-CN" w:bidi="ar"/>
              </w:rPr>
              <w:t>62,664,918.69</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highlight w:val="none"/>
                <w:u w:val="none"/>
                <w:shd w:val="clear" w:color="auto" w:fill="auto"/>
              </w:rPr>
            </w:pPr>
            <w:r>
              <w:rPr>
                <w:rFonts w:hint="eastAsia" w:ascii="宋体" w:hAnsi="宋体" w:eastAsia="宋体" w:cs="宋体"/>
                <w:i w:val="0"/>
                <w:iCs w:val="0"/>
                <w:caps w:val="0"/>
                <w:color w:val="333333"/>
                <w:spacing w:val="0"/>
                <w:sz w:val="18"/>
                <w:szCs w:val="18"/>
                <w:highlight w:val="none"/>
                <w:shd w:val="clear" w:color="auto" w:fill="auto"/>
              </w:rPr>
              <w:t>出租固定资产、咨询服务、销售材料、产品增值税退税、产品</w:t>
            </w:r>
            <w:r>
              <w:rPr>
                <w:rFonts w:hint="eastAsia" w:ascii="宋体" w:hAnsi="宋体" w:cs="宋体"/>
                <w:i w:val="0"/>
                <w:iCs w:val="0"/>
                <w:caps w:val="0"/>
                <w:color w:val="333333"/>
                <w:spacing w:val="0"/>
                <w:sz w:val="18"/>
                <w:szCs w:val="18"/>
                <w:highlight w:val="none"/>
                <w:shd w:val="clear" w:color="auto" w:fill="auto"/>
                <w:lang w:eastAsia="zh-CN"/>
              </w:rPr>
              <w:t>补</w:t>
            </w:r>
            <w:r>
              <w:rPr>
                <w:rFonts w:hint="eastAsia" w:ascii="宋体" w:hAnsi="宋体" w:eastAsia="宋体" w:cs="宋体"/>
                <w:i w:val="0"/>
                <w:iCs w:val="0"/>
                <w:caps w:val="0"/>
                <w:color w:val="333333"/>
                <w:spacing w:val="0"/>
                <w:sz w:val="18"/>
                <w:szCs w:val="18"/>
                <w:highlight w:val="none"/>
                <w:shd w:val="clear" w:color="auto" w:fill="auto"/>
              </w:rPr>
              <w:t>价差收入</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shd w:val="clear" w:color="auto" w:fill="auto"/>
              </w:rPr>
            </w:pPr>
            <w:r>
              <w:rPr>
                <w:rFonts w:hint="eastAsia" w:ascii="宋体" w:hAnsi="宋体" w:eastAsia="宋体" w:cs="宋体"/>
                <w:i w:val="0"/>
                <w:iCs w:val="0"/>
                <w:color w:val="000000"/>
                <w:kern w:val="0"/>
                <w:sz w:val="18"/>
                <w:szCs w:val="18"/>
                <w:highlight w:val="none"/>
                <w:u w:val="none"/>
                <w:shd w:val="clear" w:color="auto" w:fill="auto"/>
                <w:lang w:val="en-US" w:eastAsia="zh-CN" w:bidi="ar"/>
              </w:rPr>
              <w:t>23,779,003.51</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highlight w:val="none"/>
                <w:u w:val="none"/>
                <w:shd w:val="clear" w:color="auto" w:fill="auto"/>
              </w:rPr>
            </w:pPr>
            <w:r>
              <w:rPr>
                <w:rFonts w:hint="eastAsia" w:ascii="宋体" w:hAnsi="宋体" w:eastAsia="宋体" w:cs="宋体"/>
                <w:i w:val="0"/>
                <w:iCs w:val="0"/>
                <w:caps w:val="0"/>
                <w:color w:val="333333"/>
                <w:spacing w:val="0"/>
                <w:sz w:val="18"/>
                <w:szCs w:val="18"/>
                <w:highlight w:val="none"/>
                <w:shd w:val="clear" w:color="auto" w:fill="auto"/>
              </w:rPr>
              <w:t>出租固定资产、咨询服务、销售材料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03" w:type="dxa"/>
            <w:tcBorders>
              <w:top w:val="single" w:color="000000" w:sz="4" w:space="0"/>
              <w:left w:val="single" w:color="000000" w:sz="4" w:space="0"/>
              <w:bottom w:val="single" w:color="000000" w:sz="4" w:space="0"/>
              <w:right w:val="single" w:color="000000" w:sz="4" w:space="0"/>
            </w:tcBorders>
            <w:shd w:val="clear" w:color="auto" w:fill="D3D3D3"/>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营业收入扣除项目合计金额占营业收入的比重</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shd w:val="clear" w:color="auto" w:fill="auto"/>
              </w:rPr>
            </w:pPr>
            <w:r>
              <w:rPr>
                <w:rFonts w:hint="eastAsia" w:ascii="宋体" w:hAnsi="宋体" w:eastAsia="宋体" w:cs="宋体"/>
                <w:i w:val="0"/>
                <w:iCs w:val="0"/>
                <w:color w:val="000000"/>
                <w:kern w:val="0"/>
                <w:sz w:val="18"/>
                <w:szCs w:val="18"/>
                <w:highlight w:val="none"/>
                <w:u w:val="none"/>
                <w:shd w:val="clear" w:color="auto" w:fill="auto"/>
                <w:lang w:val="en-US" w:eastAsia="zh-CN" w:bidi="ar"/>
              </w:rPr>
              <w:t>8.79%</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highlight w:val="none"/>
                <w:u w:val="none"/>
                <w:shd w:val="clear" w:color="auto" w:fill="auto"/>
              </w:rPr>
            </w:pPr>
            <w:r>
              <w:rPr>
                <w:rFonts w:hint="eastAsia" w:ascii="宋体" w:hAnsi="宋体" w:eastAsia="宋体" w:cs="宋体"/>
                <w:i w:val="0"/>
                <w:iCs w:val="0"/>
                <w:caps w:val="0"/>
                <w:color w:val="333333"/>
                <w:spacing w:val="0"/>
                <w:sz w:val="18"/>
                <w:szCs w:val="18"/>
                <w:highlight w:val="none"/>
                <w:shd w:val="clear" w:color="auto" w:fill="auto"/>
              </w:rPr>
              <w:t>营业收入扣除项目占总收入比重</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shd w:val="clear" w:color="auto" w:fill="auto"/>
              </w:rPr>
            </w:pPr>
            <w:r>
              <w:rPr>
                <w:rFonts w:hint="eastAsia" w:ascii="宋体" w:hAnsi="宋体" w:eastAsia="宋体" w:cs="宋体"/>
                <w:i w:val="0"/>
                <w:iCs w:val="0"/>
                <w:color w:val="000000"/>
                <w:kern w:val="0"/>
                <w:sz w:val="18"/>
                <w:szCs w:val="18"/>
                <w:highlight w:val="none"/>
                <w:u w:val="none"/>
                <w:shd w:val="clear" w:color="auto" w:fill="auto"/>
                <w:lang w:val="en-US" w:eastAsia="zh-CN" w:bidi="ar"/>
              </w:rPr>
              <w:t>4.02%</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highlight w:val="none"/>
                <w:u w:val="none"/>
                <w:shd w:val="clear" w:color="auto" w:fill="auto"/>
              </w:rPr>
            </w:pPr>
            <w:r>
              <w:rPr>
                <w:rFonts w:hint="eastAsia" w:ascii="宋体" w:hAnsi="宋体" w:eastAsia="宋体" w:cs="宋体"/>
                <w:i w:val="0"/>
                <w:iCs w:val="0"/>
                <w:caps w:val="0"/>
                <w:color w:val="333333"/>
                <w:spacing w:val="0"/>
                <w:sz w:val="18"/>
                <w:szCs w:val="18"/>
                <w:highlight w:val="none"/>
                <w:shd w:val="clear" w:color="auto" w:fill="auto"/>
              </w:rPr>
              <w:t>营业收入扣除项目占总收入比重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03" w:type="dxa"/>
            <w:tcBorders>
              <w:top w:val="single" w:color="000000" w:sz="4" w:space="0"/>
              <w:left w:val="single" w:color="000000" w:sz="4" w:space="0"/>
              <w:bottom w:val="single" w:color="000000" w:sz="4" w:space="0"/>
              <w:right w:val="single" w:color="000000" w:sz="4" w:space="0"/>
            </w:tcBorders>
            <w:shd w:val="clear" w:color="auto" w:fill="D3D3D3"/>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一、与主营业务无关的业务收入</w:t>
            </w:r>
          </w:p>
        </w:tc>
        <w:tc>
          <w:tcPr>
            <w:tcW w:w="1688" w:type="dxa"/>
            <w:tcBorders>
              <w:top w:val="single" w:color="000000" w:sz="4" w:space="0"/>
              <w:left w:val="single" w:color="000000" w:sz="4" w:space="0"/>
              <w:bottom w:val="single" w:color="000000" w:sz="4" w:space="0"/>
              <w:right w:val="single" w:color="000000" w:sz="4" w:space="0"/>
            </w:tcBorders>
            <w:shd w:val="clear" w:color="auto" w:fill="D3D3D3"/>
            <w:vAlign w:val="center"/>
          </w:tcPr>
          <w:p>
            <w:pPr>
              <w:jc w:val="left"/>
              <w:rPr>
                <w:rFonts w:hint="eastAsia" w:ascii="Calibri" w:hAnsi="Calibri" w:eastAsia="宋体" w:cs="Calibri"/>
                <w:i w:val="0"/>
                <w:iCs w:val="0"/>
                <w:color w:val="000000"/>
                <w:sz w:val="22"/>
                <w:szCs w:val="22"/>
                <w:highlight w:val="none"/>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D3D3D3"/>
            <w:vAlign w:val="center"/>
          </w:tcPr>
          <w:p>
            <w:pPr>
              <w:jc w:val="left"/>
              <w:rPr>
                <w:rFonts w:hint="default" w:ascii="Calibri" w:hAnsi="Calibri" w:eastAsia="宋体" w:cs="Calibri"/>
                <w:i w:val="0"/>
                <w:iCs w:val="0"/>
                <w:color w:val="000000"/>
                <w:sz w:val="22"/>
                <w:szCs w:val="22"/>
                <w:highlight w:val="none"/>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D3D3D3"/>
            <w:vAlign w:val="center"/>
          </w:tcPr>
          <w:p>
            <w:pPr>
              <w:jc w:val="left"/>
              <w:rPr>
                <w:rFonts w:hint="default" w:ascii="Calibri" w:hAnsi="Calibri" w:eastAsia="宋体" w:cs="Calibri"/>
                <w:i w:val="0"/>
                <w:iCs w:val="0"/>
                <w:color w:val="000000"/>
                <w:sz w:val="22"/>
                <w:szCs w:val="22"/>
                <w:highlight w:val="none"/>
                <w:u w:val="none"/>
              </w:rPr>
            </w:pPr>
          </w:p>
        </w:tc>
        <w:tc>
          <w:tcPr>
            <w:tcW w:w="1018" w:type="dxa"/>
            <w:tcBorders>
              <w:top w:val="single" w:color="000000" w:sz="4" w:space="0"/>
              <w:left w:val="single" w:color="000000" w:sz="4" w:space="0"/>
              <w:bottom w:val="single" w:color="000000" w:sz="4" w:space="0"/>
              <w:right w:val="single" w:color="000000" w:sz="4" w:space="0"/>
            </w:tcBorders>
            <w:shd w:val="clear" w:color="auto" w:fill="D3D3D3"/>
            <w:vAlign w:val="center"/>
          </w:tcPr>
          <w:p>
            <w:pPr>
              <w:jc w:val="left"/>
              <w:rPr>
                <w:rFonts w:hint="default" w:ascii="Calibri" w:hAnsi="Calibri" w:eastAsia="宋体" w:cs="Calibri"/>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4003" w:type="dxa"/>
            <w:tcBorders>
              <w:top w:val="single" w:color="000000" w:sz="4" w:space="0"/>
              <w:left w:val="single" w:color="000000" w:sz="4" w:space="0"/>
              <w:bottom w:val="single" w:color="000000" w:sz="4" w:space="0"/>
              <w:right w:val="single" w:color="000000" w:sz="4" w:space="0"/>
            </w:tcBorders>
            <w:shd w:val="clear" w:color="auto" w:fill="D3D3D3"/>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正常经营之外的其他业务收入。如出租固定资产、无形资产、包装物，销售材料，用材料进行非货币性资产交换，经营受托管理业务等实现的收入，以及虽计入主营业务收入，但属于上市公司正常经营之外的收入。</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62,664,918.69</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出租固定资产、咨询服务、销售材料、</w:t>
            </w:r>
            <w:r>
              <w:rPr>
                <w:rFonts w:hint="eastAsia" w:ascii="宋体" w:hAnsi="宋体" w:cs="宋体"/>
                <w:i w:val="0"/>
                <w:iCs w:val="0"/>
                <w:color w:val="000000"/>
                <w:kern w:val="0"/>
                <w:sz w:val="18"/>
                <w:szCs w:val="18"/>
                <w:highlight w:val="none"/>
                <w:u w:val="none"/>
                <w:lang w:val="en-US" w:eastAsia="zh-CN" w:bidi="ar"/>
              </w:rPr>
              <w:t>产品</w:t>
            </w:r>
            <w:r>
              <w:rPr>
                <w:rFonts w:hint="eastAsia" w:ascii="宋体" w:hAnsi="宋体" w:eastAsia="宋体" w:cs="宋体"/>
                <w:i w:val="0"/>
                <w:iCs w:val="0"/>
                <w:color w:val="000000"/>
                <w:kern w:val="0"/>
                <w:sz w:val="18"/>
                <w:szCs w:val="18"/>
                <w:highlight w:val="none"/>
                <w:u w:val="none"/>
                <w:lang w:val="en-US" w:eastAsia="zh-CN" w:bidi="ar"/>
              </w:rPr>
              <w:t>增值税退税、</w:t>
            </w:r>
            <w:r>
              <w:rPr>
                <w:rFonts w:hint="eastAsia" w:ascii="宋体" w:hAnsi="宋体" w:cs="宋体"/>
                <w:i w:val="0"/>
                <w:iCs w:val="0"/>
                <w:color w:val="000000"/>
                <w:kern w:val="0"/>
                <w:sz w:val="18"/>
                <w:szCs w:val="18"/>
                <w:highlight w:val="none"/>
                <w:u w:val="none"/>
                <w:lang w:val="en-US" w:eastAsia="zh-CN" w:bidi="ar"/>
              </w:rPr>
              <w:t>产</w:t>
            </w:r>
            <w:r>
              <w:rPr>
                <w:rFonts w:hint="eastAsia" w:ascii="宋体" w:hAnsi="宋体" w:eastAsia="宋体" w:cs="宋体"/>
                <w:i w:val="0"/>
                <w:iCs w:val="0"/>
                <w:color w:val="000000"/>
                <w:kern w:val="0"/>
                <w:sz w:val="18"/>
                <w:szCs w:val="18"/>
                <w:highlight w:val="none"/>
                <w:u w:val="none"/>
                <w:lang w:val="en-US" w:eastAsia="zh-CN" w:bidi="ar"/>
              </w:rPr>
              <w:t>品</w:t>
            </w:r>
            <w:r>
              <w:rPr>
                <w:rFonts w:hint="eastAsia" w:ascii="宋体" w:hAnsi="宋体" w:cs="宋体"/>
                <w:i w:val="0"/>
                <w:iCs w:val="0"/>
                <w:color w:val="000000"/>
                <w:kern w:val="0"/>
                <w:sz w:val="18"/>
                <w:szCs w:val="18"/>
                <w:highlight w:val="none"/>
                <w:u w:val="none"/>
                <w:lang w:val="en-US" w:eastAsia="zh-CN" w:bidi="ar"/>
              </w:rPr>
              <w:t>补</w:t>
            </w:r>
            <w:r>
              <w:rPr>
                <w:rFonts w:hint="eastAsia" w:ascii="宋体" w:hAnsi="宋体" w:eastAsia="宋体" w:cs="宋体"/>
                <w:i w:val="0"/>
                <w:iCs w:val="0"/>
                <w:color w:val="000000"/>
                <w:kern w:val="0"/>
                <w:sz w:val="18"/>
                <w:szCs w:val="18"/>
                <w:highlight w:val="none"/>
                <w:u w:val="none"/>
                <w:lang w:val="en-US" w:eastAsia="zh-CN" w:bidi="ar"/>
              </w:rPr>
              <w:t>价差收入</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23,779,003.51</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出租固定资产、咨询服务、销售材料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003" w:type="dxa"/>
            <w:tcBorders>
              <w:top w:val="single" w:color="000000" w:sz="4" w:space="0"/>
              <w:left w:val="single" w:color="000000" w:sz="4" w:space="0"/>
              <w:bottom w:val="single" w:color="000000" w:sz="4" w:space="0"/>
              <w:right w:val="single" w:color="000000" w:sz="4" w:space="0"/>
            </w:tcBorders>
            <w:shd w:val="clear" w:color="auto" w:fill="D3D3D3"/>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不具备资质的类金融业务收入，如拆出资金利息收入；本会计年度以及上一会计年度新增的类金融业务所产生的收入，如担保、商业保理、小额贷款、融资租赁、典当等业务形成的收入，为销售主营产品而开展的融资租赁业务除外。</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highlight w:val="none"/>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03" w:type="dxa"/>
            <w:tcBorders>
              <w:top w:val="single" w:color="000000" w:sz="4" w:space="0"/>
              <w:left w:val="single" w:color="000000" w:sz="4" w:space="0"/>
              <w:bottom w:val="single" w:color="000000" w:sz="4" w:space="0"/>
              <w:right w:val="single" w:color="000000" w:sz="4" w:space="0"/>
            </w:tcBorders>
            <w:shd w:val="clear" w:color="auto" w:fill="D3D3D3"/>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3.本会计年度以及上一会计年度新增贸易业务所产生的收入。</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highlight w:val="none"/>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03" w:type="dxa"/>
            <w:tcBorders>
              <w:top w:val="single" w:color="000000" w:sz="4" w:space="0"/>
              <w:left w:val="single" w:color="000000" w:sz="4" w:space="0"/>
              <w:bottom w:val="single" w:color="000000" w:sz="4" w:space="0"/>
              <w:right w:val="single" w:color="000000" w:sz="4" w:space="0"/>
            </w:tcBorders>
            <w:shd w:val="clear" w:color="auto" w:fill="D3D3D3"/>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4.与上市公司现有正常经营业务无关的关联交易产生的收入。</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highlight w:val="none"/>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03" w:type="dxa"/>
            <w:tcBorders>
              <w:top w:val="single" w:color="000000" w:sz="4" w:space="0"/>
              <w:left w:val="single" w:color="000000" w:sz="4" w:space="0"/>
              <w:bottom w:val="single" w:color="000000" w:sz="4" w:space="0"/>
              <w:right w:val="single" w:color="000000" w:sz="4" w:space="0"/>
            </w:tcBorders>
            <w:shd w:val="clear" w:color="auto" w:fill="D3D3D3"/>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5.同一控制下企业合并的子公司期初至合并日的收入。</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highlight w:val="none"/>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03" w:type="dxa"/>
            <w:tcBorders>
              <w:top w:val="single" w:color="000000" w:sz="4" w:space="0"/>
              <w:left w:val="single" w:color="000000" w:sz="4" w:space="0"/>
              <w:bottom w:val="single" w:color="000000" w:sz="4" w:space="0"/>
              <w:right w:val="single" w:color="000000" w:sz="4" w:space="0"/>
            </w:tcBorders>
            <w:shd w:val="clear" w:color="auto" w:fill="D3D3D3"/>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6.未形成或难以形成稳定业务模式的业务所产生的收入。</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highlight w:val="none"/>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03" w:type="dxa"/>
            <w:tcBorders>
              <w:top w:val="single" w:color="000000" w:sz="4" w:space="0"/>
              <w:left w:val="single" w:color="000000" w:sz="4" w:space="0"/>
              <w:bottom w:val="single" w:color="000000" w:sz="4" w:space="0"/>
              <w:right w:val="single" w:color="000000" w:sz="4" w:space="0"/>
            </w:tcBorders>
            <w:shd w:val="clear" w:color="auto" w:fill="D3D3D3"/>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与主营业务无关的业务收入小计</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62,664,918.69</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highlight w:val="none"/>
                <w:u w:val="none"/>
                <w:shd w:val="clear" w:color="auto" w:fill="auto"/>
              </w:rPr>
            </w:pPr>
            <w:r>
              <w:rPr>
                <w:rFonts w:hint="eastAsia" w:ascii="宋体" w:hAnsi="宋体" w:eastAsia="宋体" w:cs="宋体"/>
                <w:i w:val="0"/>
                <w:iCs w:val="0"/>
                <w:caps w:val="0"/>
                <w:color w:val="333333"/>
                <w:spacing w:val="0"/>
                <w:sz w:val="18"/>
                <w:szCs w:val="18"/>
                <w:highlight w:val="none"/>
                <w:shd w:val="clear" w:color="auto" w:fill="auto"/>
              </w:rPr>
              <w:t>出租固定资产、咨询服务、销售材料、产品增值税退税、产品</w:t>
            </w:r>
            <w:r>
              <w:rPr>
                <w:rFonts w:hint="eastAsia" w:ascii="宋体" w:hAnsi="宋体" w:cs="宋体"/>
                <w:i w:val="0"/>
                <w:iCs w:val="0"/>
                <w:caps w:val="0"/>
                <w:color w:val="333333"/>
                <w:spacing w:val="0"/>
                <w:sz w:val="18"/>
                <w:szCs w:val="18"/>
                <w:highlight w:val="none"/>
                <w:shd w:val="clear" w:color="auto" w:fill="auto"/>
                <w:lang w:eastAsia="zh-CN"/>
              </w:rPr>
              <w:t>补</w:t>
            </w:r>
            <w:r>
              <w:rPr>
                <w:rFonts w:hint="eastAsia" w:ascii="宋体" w:hAnsi="宋体" w:eastAsia="宋体" w:cs="宋体"/>
                <w:i w:val="0"/>
                <w:iCs w:val="0"/>
                <w:caps w:val="0"/>
                <w:color w:val="333333"/>
                <w:spacing w:val="0"/>
                <w:sz w:val="18"/>
                <w:szCs w:val="18"/>
                <w:highlight w:val="none"/>
                <w:shd w:val="clear" w:color="auto" w:fill="auto"/>
              </w:rPr>
              <w:t>价差收入</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shd w:val="clear" w:color="auto" w:fill="auto"/>
              </w:rPr>
            </w:pPr>
            <w:r>
              <w:rPr>
                <w:rFonts w:hint="eastAsia" w:ascii="宋体" w:hAnsi="宋体" w:eastAsia="宋体" w:cs="宋体"/>
                <w:i w:val="0"/>
                <w:iCs w:val="0"/>
                <w:color w:val="000000"/>
                <w:kern w:val="0"/>
                <w:sz w:val="18"/>
                <w:szCs w:val="18"/>
                <w:highlight w:val="none"/>
                <w:u w:val="none"/>
                <w:shd w:val="clear" w:color="auto" w:fill="auto"/>
                <w:lang w:val="en-US" w:eastAsia="zh-CN" w:bidi="ar"/>
              </w:rPr>
              <w:t>23,779,003.51</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highlight w:val="none"/>
                <w:u w:val="none"/>
                <w:shd w:val="clear" w:color="auto" w:fill="auto"/>
              </w:rPr>
            </w:pPr>
            <w:r>
              <w:rPr>
                <w:rFonts w:hint="eastAsia" w:ascii="宋体" w:hAnsi="宋体" w:eastAsia="宋体" w:cs="宋体"/>
                <w:i w:val="0"/>
                <w:iCs w:val="0"/>
                <w:caps w:val="0"/>
                <w:color w:val="333333"/>
                <w:spacing w:val="0"/>
                <w:sz w:val="18"/>
                <w:szCs w:val="18"/>
                <w:highlight w:val="none"/>
                <w:shd w:val="clear" w:color="auto" w:fill="auto"/>
              </w:rPr>
              <w:t>出租固定资产、咨询服务、销售材料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03" w:type="dxa"/>
            <w:tcBorders>
              <w:top w:val="single" w:color="000000" w:sz="4" w:space="0"/>
              <w:left w:val="single" w:color="000000" w:sz="4" w:space="0"/>
              <w:bottom w:val="single" w:color="000000" w:sz="4" w:space="0"/>
              <w:right w:val="single" w:color="000000" w:sz="4" w:space="0"/>
            </w:tcBorders>
            <w:shd w:val="clear" w:color="auto" w:fill="D3D3D3"/>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二、不具备商业实质的收入</w:t>
            </w:r>
          </w:p>
        </w:tc>
        <w:tc>
          <w:tcPr>
            <w:tcW w:w="1688" w:type="dxa"/>
            <w:tcBorders>
              <w:top w:val="single" w:color="000000" w:sz="4" w:space="0"/>
              <w:left w:val="single" w:color="000000" w:sz="4" w:space="0"/>
              <w:bottom w:val="single" w:color="000000" w:sz="4" w:space="0"/>
              <w:right w:val="single" w:color="000000" w:sz="4" w:space="0"/>
            </w:tcBorders>
            <w:shd w:val="clear" w:color="auto" w:fill="D3D3D3"/>
            <w:vAlign w:val="center"/>
          </w:tcPr>
          <w:p>
            <w:pPr>
              <w:jc w:val="left"/>
              <w:rPr>
                <w:rFonts w:hint="default" w:ascii="Calibri" w:hAnsi="Calibri" w:eastAsia="宋体" w:cs="Calibri"/>
                <w:i w:val="0"/>
                <w:iCs w:val="0"/>
                <w:color w:val="000000"/>
                <w:sz w:val="22"/>
                <w:szCs w:val="22"/>
                <w:highlight w:val="none"/>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D3D3D3"/>
            <w:vAlign w:val="center"/>
          </w:tcPr>
          <w:p>
            <w:pPr>
              <w:jc w:val="left"/>
              <w:rPr>
                <w:rFonts w:hint="default" w:ascii="Calibri" w:hAnsi="Calibri" w:eastAsia="宋体" w:cs="Calibri"/>
                <w:i w:val="0"/>
                <w:iCs w:val="0"/>
                <w:color w:val="000000"/>
                <w:sz w:val="22"/>
                <w:szCs w:val="22"/>
                <w:highlight w:val="none"/>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D3D3D3"/>
            <w:vAlign w:val="center"/>
          </w:tcPr>
          <w:p>
            <w:pPr>
              <w:jc w:val="left"/>
              <w:rPr>
                <w:rFonts w:hint="default" w:ascii="Calibri" w:hAnsi="Calibri" w:eastAsia="宋体" w:cs="Calibri"/>
                <w:i w:val="0"/>
                <w:iCs w:val="0"/>
                <w:color w:val="000000"/>
                <w:sz w:val="22"/>
                <w:szCs w:val="22"/>
                <w:highlight w:val="none"/>
                <w:u w:val="none"/>
              </w:rPr>
            </w:pPr>
          </w:p>
        </w:tc>
        <w:tc>
          <w:tcPr>
            <w:tcW w:w="1018" w:type="dxa"/>
            <w:tcBorders>
              <w:top w:val="single" w:color="000000" w:sz="4" w:space="0"/>
              <w:left w:val="single" w:color="000000" w:sz="4" w:space="0"/>
              <w:bottom w:val="single" w:color="000000" w:sz="4" w:space="0"/>
              <w:right w:val="single" w:color="000000" w:sz="4" w:space="0"/>
            </w:tcBorders>
            <w:shd w:val="clear" w:color="auto" w:fill="D3D3D3"/>
            <w:vAlign w:val="center"/>
          </w:tcPr>
          <w:p>
            <w:pPr>
              <w:jc w:val="left"/>
              <w:rPr>
                <w:rFonts w:hint="default" w:ascii="Calibri" w:hAnsi="Calibri" w:eastAsia="宋体" w:cs="Calibri"/>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003" w:type="dxa"/>
            <w:tcBorders>
              <w:top w:val="single" w:color="000000" w:sz="4" w:space="0"/>
              <w:left w:val="single" w:color="000000" w:sz="4" w:space="0"/>
              <w:bottom w:val="single" w:color="000000" w:sz="4" w:space="0"/>
              <w:right w:val="single" w:color="000000" w:sz="4" w:space="0"/>
            </w:tcBorders>
            <w:shd w:val="clear" w:color="auto" w:fill="D3D3D3"/>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1.未显著改变企业未来现金流量的风险、时间分布或金额的交易或事项产生的收入。</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highlight w:val="none"/>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003" w:type="dxa"/>
            <w:tcBorders>
              <w:top w:val="single" w:color="000000" w:sz="4" w:space="0"/>
              <w:left w:val="single" w:color="000000" w:sz="4" w:space="0"/>
              <w:bottom w:val="single" w:color="000000" w:sz="4" w:space="0"/>
              <w:right w:val="single" w:color="000000" w:sz="4" w:space="0"/>
            </w:tcBorders>
            <w:shd w:val="clear" w:color="auto" w:fill="D3D3D3"/>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2.不具有真实业务的交易产生的收入。如以自我交易的方式实现的虚假收入，利用互联网技术手段或其他方法构造交易产生的虚假收入等。</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highlight w:val="none"/>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03" w:type="dxa"/>
            <w:tcBorders>
              <w:top w:val="single" w:color="000000" w:sz="4" w:space="0"/>
              <w:left w:val="single" w:color="000000" w:sz="4" w:space="0"/>
              <w:bottom w:val="single" w:color="000000" w:sz="4" w:space="0"/>
              <w:right w:val="single" w:color="000000" w:sz="4" w:space="0"/>
            </w:tcBorders>
            <w:shd w:val="clear" w:color="auto" w:fill="D3D3D3"/>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3.交易价格显失公允的业务产生的收入。</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highlight w:val="none"/>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003" w:type="dxa"/>
            <w:tcBorders>
              <w:top w:val="single" w:color="000000" w:sz="4" w:space="0"/>
              <w:left w:val="single" w:color="000000" w:sz="4" w:space="0"/>
              <w:bottom w:val="single" w:color="000000" w:sz="4" w:space="0"/>
              <w:right w:val="single" w:color="000000" w:sz="4" w:space="0"/>
            </w:tcBorders>
            <w:shd w:val="clear" w:color="auto" w:fill="D3D3D3"/>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4.本会计年度以显失公允的对价或非交易方式取得的企业合并的子公司或业务产生的收入。</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highlight w:val="none"/>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03" w:type="dxa"/>
            <w:tcBorders>
              <w:top w:val="single" w:color="000000" w:sz="4" w:space="0"/>
              <w:left w:val="single" w:color="000000" w:sz="4" w:space="0"/>
              <w:bottom w:val="single" w:color="000000" w:sz="4" w:space="0"/>
              <w:right w:val="single" w:color="000000" w:sz="4" w:space="0"/>
            </w:tcBorders>
            <w:shd w:val="clear" w:color="auto" w:fill="D3D3D3"/>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5.审计意见中非标准审计意见涉及的收入。</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highlight w:val="none"/>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03" w:type="dxa"/>
            <w:tcBorders>
              <w:top w:val="single" w:color="000000" w:sz="4" w:space="0"/>
              <w:left w:val="single" w:color="000000" w:sz="4" w:space="0"/>
              <w:bottom w:val="single" w:color="000000" w:sz="4" w:space="0"/>
              <w:right w:val="single" w:color="000000" w:sz="4" w:space="0"/>
            </w:tcBorders>
            <w:shd w:val="clear" w:color="auto" w:fill="D3D3D3"/>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6.其他不具有商业合理性的交易或事项产生的收入。</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highlight w:val="none"/>
                <w:u w:val="none"/>
                <w:shd w:val="clear" w:color="auto" w:fill="auto"/>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highlight w:val="none"/>
                <w:u w:val="none"/>
                <w:shd w:val="clear" w:color="auto" w:fill="auto"/>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highlight w:val="none"/>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03" w:type="dxa"/>
            <w:tcBorders>
              <w:top w:val="single" w:color="000000" w:sz="4" w:space="0"/>
              <w:left w:val="single" w:color="000000" w:sz="4" w:space="0"/>
              <w:bottom w:val="single" w:color="000000" w:sz="4" w:space="0"/>
              <w:right w:val="single" w:color="000000" w:sz="4" w:space="0"/>
            </w:tcBorders>
            <w:shd w:val="clear" w:color="auto" w:fill="D3D3D3"/>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不具备商业实质的收入小计</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0.00</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highlight w:val="none"/>
                <w:u w:val="none"/>
                <w:shd w:val="clear" w:color="auto" w:fill="auto"/>
              </w:rPr>
            </w:pPr>
            <w:r>
              <w:rPr>
                <w:rFonts w:hint="eastAsia" w:ascii="宋体" w:hAnsi="宋体" w:eastAsia="宋体" w:cs="宋体"/>
                <w:i w:val="0"/>
                <w:iCs w:val="0"/>
                <w:caps w:val="0"/>
                <w:color w:val="auto"/>
                <w:spacing w:val="0"/>
                <w:sz w:val="18"/>
                <w:szCs w:val="18"/>
                <w:highlight w:val="none"/>
                <w:shd w:val="clear" w:color="auto" w:fill="auto"/>
              </w:rPr>
              <w:t>不适用</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i w:val="0"/>
                <w:iCs w:val="0"/>
                <w:color w:val="auto"/>
                <w:sz w:val="18"/>
                <w:szCs w:val="18"/>
                <w:highlight w:val="none"/>
                <w:u w:val="none"/>
                <w:shd w:val="clear" w:color="auto" w:fill="auto"/>
                <w:lang w:val="en-US" w:eastAsia="zh-CN"/>
              </w:rPr>
            </w:pPr>
            <w:r>
              <w:rPr>
                <w:rFonts w:hint="eastAsia" w:ascii="宋体" w:hAnsi="宋体" w:cs="宋体"/>
                <w:i w:val="0"/>
                <w:iCs w:val="0"/>
                <w:color w:val="auto"/>
                <w:sz w:val="18"/>
                <w:szCs w:val="18"/>
                <w:highlight w:val="none"/>
                <w:u w:val="none"/>
                <w:shd w:val="clear" w:color="auto" w:fill="auto"/>
                <w:lang w:val="en-US" w:eastAsia="zh-CN"/>
              </w:rPr>
              <w:t>0.00</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highlight w:val="none"/>
                <w:u w:val="none"/>
                <w:shd w:val="clear" w:color="auto" w:fill="auto"/>
                <w:lang w:val="en-US" w:eastAsia="zh-CN"/>
              </w:rPr>
            </w:pPr>
            <w:r>
              <w:rPr>
                <w:rFonts w:hint="eastAsia" w:ascii="宋体" w:hAnsi="宋体" w:eastAsia="宋体" w:cs="宋体"/>
                <w:i w:val="0"/>
                <w:iCs w:val="0"/>
                <w:caps w:val="0"/>
                <w:color w:val="auto"/>
                <w:spacing w:val="0"/>
                <w:sz w:val="18"/>
                <w:szCs w:val="18"/>
                <w:highlight w:val="none"/>
                <w:shd w:val="clear" w:color="auto" w:fill="auto"/>
              </w:rPr>
              <w:t>不适用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03" w:type="dxa"/>
            <w:tcBorders>
              <w:top w:val="single" w:color="000000" w:sz="4" w:space="0"/>
              <w:left w:val="single" w:color="000000" w:sz="4" w:space="0"/>
              <w:bottom w:val="single" w:color="000000" w:sz="4" w:space="0"/>
              <w:right w:val="single" w:color="000000" w:sz="4" w:space="0"/>
            </w:tcBorders>
            <w:shd w:val="clear" w:color="auto" w:fill="D3D3D3"/>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三、与主营业务无关或不具备商业实质的其他收入</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highlight w:val="none"/>
                <w:u w:val="none"/>
                <w:shd w:val="clear" w:color="auto" w:fill="auto"/>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highlight w:val="none"/>
                <w:u w:val="none"/>
                <w:shd w:val="clear" w:color="auto" w:fill="auto"/>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highlight w:val="none"/>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03" w:type="dxa"/>
            <w:tcBorders>
              <w:top w:val="single" w:color="000000" w:sz="4" w:space="0"/>
              <w:left w:val="single" w:color="000000" w:sz="4" w:space="0"/>
              <w:bottom w:val="single" w:color="000000" w:sz="4" w:space="0"/>
              <w:right w:val="single" w:color="000000" w:sz="4" w:space="0"/>
            </w:tcBorders>
            <w:shd w:val="clear" w:color="auto" w:fill="D3D3D3"/>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营业收入扣除后金额</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649,904,468.59</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highlight w:val="none"/>
                <w:u w:val="none"/>
                <w:shd w:val="clear" w:color="auto" w:fill="auto"/>
              </w:rPr>
            </w:pPr>
            <w:r>
              <w:rPr>
                <w:rFonts w:hint="eastAsia" w:ascii="宋体" w:hAnsi="宋体" w:eastAsia="宋体" w:cs="宋体"/>
                <w:i w:val="0"/>
                <w:iCs w:val="0"/>
                <w:caps w:val="0"/>
                <w:color w:val="auto"/>
                <w:spacing w:val="0"/>
                <w:sz w:val="18"/>
                <w:szCs w:val="18"/>
                <w:highlight w:val="none"/>
                <w:shd w:val="clear" w:color="auto" w:fill="auto"/>
              </w:rPr>
              <w:t>不含扣除项目的营业收入</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shd w:val="clear" w:color="auto" w:fill="auto"/>
              </w:rPr>
            </w:pPr>
            <w:r>
              <w:rPr>
                <w:rFonts w:hint="eastAsia" w:ascii="宋体" w:hAnsi="宋体" w:eastAsia="宋体" w:cs="宋体"/>
                <w:i w:val="0"/>
                <w:iCs w:val="0"/>
                <w:color w:val="auto"/>
                <w:kern w:val="0"/>
                <w:sz w:val="18"/>
                <w:szCs w:val="18"/>
                <w:highlight w:val="none"/>
                <w:u w:val="none"/>
                <w:shd w:val="clear" w:color="auto" w:fill="auto"/>
                <w:lang w:val="en-US" w:eastAsia="zh-CN" w:bidi="ar"/>
              </w:rPr>
              <w:t>567,278,963.45</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highlight w:val="none"/>
                <w:u w:val="none"/>
                <w:shd w:val="clear" w:color="auto" w:fill="auto"/>
              </w:rPr>
            </w:pPr>
            <w:r>
              <w:rPr>
                <w:rFonts w:hint="eastAsia" w:ascii="宋体" w:hAnsi="宋体" w:eastAsia="宋体" w:cs="宋体"/>
                <w:i w:val="0"/>
                <w:iCs w:val="0"/>
                <w:caps w:val="0"/>
                <w:color w:val="auto"/>
                <w:spacing w:val="0"/>
                <w:sz w:val="18"/>
                <w:szCs w:val="18"/>
                <w:highlight w:val="none"/>
                <w:shd w:val="clear" w:color="auto" w:fill="auto"/>
              </w:rPr>
              <w:t>不含扣除项目的营业收入</w:t>
            </w:r>
          </w:p>
        </w:tc>
      </w:tr>
    </w:tbl>
    <w:p>
      <w:pPr>
        <w:pStyle w:val="2"/>
      </w:pPr>
    </w:p>
    <w:p>
      <w:pPr>
        <w:spacing w:before="0" w:after="0" w:line="240" w:lineRule="exact"/>
        <w:jc w:val="left"/>
        <w:rPr>
          <w:rFonts w:ascii="宋体" w:hAnsi="宋体" w:eastAsia="宋体" w:cs="宋体"/>
          <w:sz w:val="18"/>
          <w:szCs w:val="18"/>
        </w:rPr>
      </w:pPr>
      <w:r>
        <w:rPr>
          <w:rFonts w:ascii="宋体" w:hAnsi="宋体" w:eastAsia="宋体" w:cs="宋体"/>
          <w:sz w:val="18"/>
          <w:szCs w:val="18"/>
        </w:rPr>
        <w:t>营业收入、营业成本的分解信息：</w:t>
      </w:r>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合同分类</w:t>
            </w:r>
          </w:p>
        </w:tc>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分部1</w:t>
            </w:r>
          </w:p>
        </w:tc>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分部2</w:t>
            </w:r>
          </w:p>
        </w:tc>
        <w:tc>
          <w:tcPr>
            <w:tcW w:w="2142"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营业收入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营业成本</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营业收入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营业成本</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营业收入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营业成本</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营业收入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营业成本</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业务类型</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其中：</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航空航天及民用碳/碳复合材料</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266,523,798.29</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136,760,049.65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高性能硬质合金及其相关材料</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426,104,453.20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417,788,074.83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合计</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692,628,251.49</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554,548,124.48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按经营地区分类</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　其中：</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国内</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646,852,674.66</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516,154,784.82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国外</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45,775,576.83</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38,393,339.66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合计</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692,628,251.49</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554,548,124.48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市场或客户类型</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　其中：</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航空航天及民用碳/碳复合材料</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266,523,798.29</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136,760,049.65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高性能硬质合金机及其相关材料</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426,104,453.20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417,788,074.83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合计</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692,628,251.49</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554,548,124.48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合同类型</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　其中：</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主营商品买卖</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692,628,251.49</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554,548,124.48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合计</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692,628,251.49</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554,548,124.48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按商品转让的时间分类</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　其中：</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在某一时点确认</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692,628,251.49</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554,548,124.48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在某一时段内确认</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合计</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692,628,251.49</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554,548,124.48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按合同期限分类</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　其中：</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按销售渠道分类</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　其中：</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与分摊至剩余履约义务的交易价格相关的信息：</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本报告期末已签订合同、但尚未履行或尚未履行完毕的履约义务所对应的收入金额为174,179,713.62元，其中，124,054,472.03元预计将于2025年度确认收入，27,188,781.42元预计将于2026年度确认收入，22,936,460.17元预计将于2027年度确认收入。</w:t>
      </w:r>
    </w:p>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2"/>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（三十九）税金及附加</w:t>
      </w:r>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城市维护建设税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774,716.21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910,520.59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教育费附加</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552,663.07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650,371.89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房产税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5,784,358.45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3,963,344.28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土地使用税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2,438,329.96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2,438,329.96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471,937.85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554,193.76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10,022,005.54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8,516,760.48</w:t>
            </w:r>
          </w:p>
        </w:tc>
      </w:tr>
    </w:tbl>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2"/>
        <w:rPr>
          <w:rFonts w:hint="eastAsia" w:ascii="宋体" w:hAnsi="宋体" w:eastAsia="宋体" w:cs="宋体"/>
          <w:b/>
          <w:bCs/>
          <w:sz w:val="21"/>
          <w:szCs w:val="21"/>
          <w:lang w:eastAsia="zh-CN"/>
        </w:rPr>
      </w:pPr>
      <w:bookmarkStart w:id="327" w:name="OLE_LINK3"/>
      <w:r>
        <w:rPr>
          <w:rFonts w:hint="eastAsia" w:ascii="宋体" w:hAnsi="宋体" w:eastAsia="宋体" w:cs="宋体"/>
          <w:b/>
          <w:bCs/>
          <w:sz w:val="21"/>
          <w:szCs w:val="21"/>
          <w:lang w:eastAsia="zh-CN"/>
        </w:rPr>
        <w:t>（四十）</w:t>
      </w:r>
      <w:bookmarkEnd w:id="327"/>
      <w:r>
        <w:rPr>
          <w:rFonts w:hint="eastAsia" w:ascii="宋体" w:hAnsi="宋体" w:eastAsia="宋体" w:cs="宋体"/>
          <w:b/>
          <w:bCs/>
          <w:sz w:val="21"/>
          <w:szCs w:val="21"/>
          <w:lang w:eastAsia="zh-CN"/>
        </w:rPr>
        <w:t>管理费用</w:t>
      </w:r>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人工费用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33,377,377.73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27,604,893.65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折旧和摊销</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12,395,340.14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9,803,015.53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招待费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1,528,592.67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2,248,923.63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办公费及会务费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3,281,216.06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1,902,005.09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修理费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694,756.68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1,062,084.83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中介咨询费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4,895,587.13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3,002,149.71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10,579,844.82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7,653,455.21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66,752,715.23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53,276,527.65</w:t>
            </w:r>
          </w:p>
        </w:tc>
      </w:tr>
    </w:tbl>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2"/>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（四十一）销售费用</w:t>
      </w:r>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人工费用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15,551,002.96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11,812,294.15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招待费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1,777,981.02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2,941,072.49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差旅费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1,900,909.53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2,560,279.78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展览及广告宣传费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2,339,845.85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2,676,882.01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1,411,302.68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1,426,627.66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22,981,042.04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21,417,156.09</w:t>
            </w:r>
          </w:p>
        </w:tc>
      </w:tr>
    </w:tbl>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2"/>
        <w:rPr>
          <w:rFonts w:hint="eastAsia" w:ascii="宋体" w:hAnsi="宋体" w:eastAsia="宋体" w:cs="宋体"/>
          <w:b/>
          <w:bCs/>
          <w:sz w:val="21"/>
          <w:szCs w:val="21"/>
          <w:lang w:eastAsia="zh-CN"/>
        </w:rPr>
      </w:pPr>
      <w:bookmarkStart w:id="328" w:name="_Toc989199"/>
      <w:r>
        <w:rPr>
          <w:rFonts w:hint="eastAsia" w:ascii="宋体" w:hAnsi="宋体" w:eastAsia="宋体" w:cs="宋体"/>
          <w:b/>
          <w:bCs/>
          <w:sz w:val="21"/>
          <w:szCs w:val="21"/>
          <w:lang w:eastAsia="zh-CN"/>
        </w:rPr>
        <w:t>（四十</w:t>
      </w:r>
      <w:r>
        <w:rPr>
          <w:rFonts w:hint="eastAsia" w:ascii="宋体" w:hAnsi="宋体" w:eastAsia="宋体" w:cs="宋体"/>
          <w:b/>
          <w:bCs/>
          <w:sz w:val="21"/>
          <w:szCs w:val="21"/>
          <w:lang w:val="en-US" w:eastAsia="zh-CN"/>
        </w:rPr>
        <w:t>二</w:t>
      </w:r>
      <w:r>
        <w:rPr>
          <w:rFonts w:hint="eastAsia" w:ascii="宋体" w:hAnsi="宋体" w:eastAsia="宋体" w:cs="宋体"/>
          <w:b/>
          <w:bCs/>
          <w:sz w:val="21"/>
          <w:szCs w:val="21"/>
          <w:lang w:eastAsia="zh-CN"/>
        </w:rPr>
        <w:t>）研发费用</w:t>
      </w:r>
      <w:bookmarkEnd w:id="328"/>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人工费用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19,755,288.28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18,026,983.72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折旧和摊销</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16,410,198.54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15,233,573.49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研发领料</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5,397,571.01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7,413,376.05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水电燃料</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1,613,165.63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1,431,120.69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6,075,893.96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4,984,161.81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49,252,117.42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47,089,215.76</w:t>
            </w:r>
          </w:p>
        </w:tc>
      </w:tr>
    </w:tbl>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2"/>
        <w:rPr>
          <w:rFonts w:hint="eastAsia" w:ascii="宋体" w:hAnsi="宋体" w:eastAsia="宋体" w:cs="宋体"/>
          <w:b/>
          <w:bCs/>
          <w:sz w:val="21"/>
          <w:szCs w:val="21"/>
          <w:lang w:eastAsia="zh-CN"/>
        </w:rPr>
      </w:pPr>
      <w:bookmarkStart w:id="329" w:name="_Toc989200"/>
      <w:r>
        <w:rPr>
          <w:rFonts w:hint="eastAsia" w:ascii="宋体" w:hAnsi="宋体" w:eastAsia="宋体" w:cs="宋体"/>
          <w:b/>
          <w:bCs/>
          <w:sz w:val="21"/>
          <w:szCs w:val="21"/>
          <w:lang w:eastAsia="zh-CN"/>
        </w:rPr>
        <w:t>（四十三）财务费用</w:t>
      </w:r>
      <w:bookmarkEnd w:id="32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利息费用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10,084,657.37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w:t>
            </w:r>
            <w:r>
              <w:rPr>
                <w:rFonts w:hint="eastAsia" w:ascii="宋体" w:hAnsi="宋体" w:cs="宋体"/>
                <w:sz w:val="18"/>
                <w:szCs w:val="18"/>
                <w:lang w:val="en-US" w:eastAsia="zh-CN"/>
              </w:rPr>
              <w:t>966,180.60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其中：租赁负债利息费用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减：利息收入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-7,265,908.07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w:t>
            </w:r>
            <w:r>
              <w:rPr>
                <w:rFonts w:hint="eastAsia" w:ascii="宋体" w:hAnsi="宋体" w:cs="宋体"/>
                <w:sz w:val="18"/>
                <w:szCs w:val="18"/>
                <w:lang w:val="en-US" w:eastAsia="zh-CN"/>
              </w:rPr>
              <w:t>149,667.84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汇兑损益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834,426.27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-123,687.19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手续费及其他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161,462.31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215,043.72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3,814,637.88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-3,092,130.71</w:t>
            </w:r>
          </w:p>
        </w:tc>
      </w:tr>
    </w:tbl>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2"/>
        <w:rPr>
          <w:rFonts w:hint="eastAsia" w:ascii="宋体" w:hAnsi="宋体" w:eastAsia="宋体" w:cs="宋体"/>
          <w:b/>
          <w:bCs/>
          <w:sz w:val="21"/>
          <w:szCs w:val="21"/>
          <w:lang w:eastAsia="zh-CN"/>
        </w:rPr>
      </w:pPr>
      <w:bookmarkStart w:id="330" w:name="_Toc989201"/>
      <w:r>
        <w:rPr>
          <w:rFonts w:hint="eastAsia" w:ascii="宋体" w:hAnsi="宋体" w:eastAsia="宋体" w:cs="宋体"/>
          <w:b/>
          <w:bCs/>
          <w:sz w:val="21"/>
          <w:szCs w:val="21"/>
          <w:lang w:eastAsia="zh-CN"/>
        </w:rPr>
        <w:t>（四十四）其他收益</w:t>
      </w:r>
      <w:bookmarkEnd w:id="330"/>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产生其他收益的来源</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政府补助</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18,289,267.36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23,764,413.25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进项税加计抵减</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4,363,805.66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3,035,857.25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代扣个人所得税手续费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118,569.52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93,630.48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直接减免的增值税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687.00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22,771,642.54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26,894,587.98</w:t>
            </w:r>
          </w:p>
        </w:tc>
      </w:tr>
    </w:tbl>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2"/>
        <w:rPr>
          <w:rFonts w:hint="eastAsia" w:ascii="宋体" w:hAnsi="宋体" w:eastAsia="宋体" w:cs="宋体"/>
          <w:b/>
          <w:bCs/>
          <w:sz w:val="21"/>
          <w:szCs w:val="21"/>
          <w:lang w:eastAsia="zh-CN"/>
        </w:rPr>
      </w:pPr>
      <w:bookmarkStart w:id="331" w:name="_Toc989202"/>
      <w:r>
        <w:rPr>
          <w:rFonts w:hint="eastAsia" w:ascii="宋体" w:hAnsi="宋体" w:eastAsia="宋体" w:cs="宋体"/>
          <w:b/>
          <w:bCs/>
          <w:sz w:val="21"/>
          <w:szCs w:val="21"/>
          <w:lang w:eastAsia="zh-CN"/>
        </w:rPr>
        <w:t>（四十五）公允价值变动收益</w:t>
      </w:r>
      <w:bookmarkEnd w:id="33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产生公允价值变动收益的来源</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bl>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2"/>
        <w:rPr>
          <w:rFonts w:hint="eastAsia" w:ascii="宋体" w:hAnsi="宋体" w:eastAsia="宋体" w:cs="宋体"/>
          <w:b/>
          <w:bCs/>
          <w:sz w:val="21"/>
          <w:szCs w:val="21"/>
          <w:lang w:eastAsia="zh-CN"/>
        </w:rPr>
      </w:pPr>
      <w:bookmarkStart w:id="332" w:name="_Toc989203"/>
      <w:r>
        <w:rPr>
          <w:rFonts w:hint="eastAsia" w:ascii="宋体" w:hAnsi="宋体" w:eastAsia="宋体" w:cs="宋体"/>
          <w:b/>
          <w:bCs/>
          <w:sz w:val="21"/>
          <w:szCs w:val="21"/>
          <w:lang w:eastAsia="zh-CN"/>
        </w:rPr>
        <w:t>（四十六）投资收益</w:t>
      </w:r>
      <w:bookmarkEnd w:id="332"/>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权益法核算的长期股权投资收益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-14,893,685.18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-16,005,867.45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其他权益工具投资在持有期间取得的股利收入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1,828,492.00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1,680,697.00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-13,065,193.18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-14,325,170.45</w:t>
            </w:r>
          </w:p>
        </w:tc>
      </w:tr>
    </w:tbl>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2"/>
        <w:rPr>
          <w:rFonts w:hint="eastAsia" w:ascii="宋体" w:hAnsi="宋体" w:eastAsia="宋体" w:cs="宋体"/>
          <w:b/>
          <w:bCs/>
          <w:sz w:val="21"/>
          <w:szCs w:val="21"/>
          <w:lang w:eastAsia="zh-CN"/>
        </w:rPr>
      </w:pPr>
      <w:bookmarkStart w:id="333" w:name="_Toc989204"/>
      <w:r>
        <w:rPr>
          <w:rFonts w:hint="eastAsia" w:ascii="宋体" w:hAnsi="宋体" w:eastAsia="宋体" w:cs="宋体"/>
          <w:b/>
          <w:bCs/>
          <w:sz w:val="21"/>
          <w:szCs w:val="21"/>
          <w:lang w:eastAsia="zh-CN"/>
        </w:rPr>
        <w:t>（四十七）信用减值损失</w:t>
      </w:r>
      <w:bookmarkEnd w:id="333"/>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应收票据坏账损失</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1,900,773.23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350,831.43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应收账款坏账损失</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-7,165,038.03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2,859,843.61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其他应收款坏账损失</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-105,708.66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-28,719.74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-5,369,973.46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3,181,955.30</w:t>
            </w:r>
          </w:p>
        </w:tc>
      </w:tr>
    </w:tbl>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2"/>
        <w:rPr>
          <w:rFonts w:hint="eastAsia" w:ascii="宋体" w:hAnsi="宋体" w:eastAsia="宋体" w:cs="宋体"/>
          <w:b/>
          <w:bCs/>
          <w:sz w:val="21"/>
          <w:szCs w:val="21"/>
          <w:lang w:eastAsia="zh-CN"/>
        </w:rPr>
      </w:pPr>
      <w:bookmarkStart w:id="334" w:name="_Toc989205"/>
      <w:r>
        <w:rPr>
          <w:rFonts w:hint="eastAsia" w:ascii="宋体" w:hAnsi="宋体" w:eastAsia="宋体" w:cs="宋体"/>
          <w:b/>
          <w:bCs/>
          <w:sz w:val="21"/>
          <w:szCs w:val="21"/>
          <w:lang w:eastAsia="zh-CN"/>
        </w:rPr>
        <w:t>（四十八）资产减值损失</w:t>
      </w:r>
      <w:bookmarkEnd w:id="334"/>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一、存货跌价损失及合同履约成本减值损失</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-36,804,241.05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-5,077,307.01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九、无形资产减值损失</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-139,675.37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十一、合同资产减值损失</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-118,121.00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-90,646.57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十二、其他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-20,592,636.74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-1,528,274.87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-57,654,674.16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-6,696,228.45</w:t>
            </w:r>
          </w:p>
        </w:tc>
      </w:tr>
    </w:tbl>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2"/>
        <w:rPr>
          <w:rFonts w:hint="eastAsia" w:ascii="宋体" w:hAnsi="宋体" w:eastAsia="宋体" w:cs="宋体"/>
          <w:b/>
          <w:bCs/>
          <w:sz w:val="21"/>
          <w:szCs w:val="21"/>
          <w:lang w:eastAsia="zh-CN"/>
        </w:rPr>
      </w:pPr>
      <w:bookmarkStart w:id="335" w:name="_Toc989206"/>
      <w:r>
        <w:rPr>
          <w:rFonts w:hint="eastAsia" w:ascii="宋体" w:hAnsi="宋体" w:eastAsia="宋体" w:cs="宋体"/>
          <w:b/>
          <w:bCs/>
          <w:sz w:val="21"/>
          <w:szCs w:val="21"/>
          <w:lang w:eastAsia="zh-CN"/>
        </w:rPr>
        <w:t>（四十九）资产处置收益</w:t>
      </w:r>
      <w:bookmarkEnd w:id="33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资产处置收益的来源</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未划分为持有待售的固定资产处置利得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-4,980,796.94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1,464,385.62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-4,980,796.94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1,464,385.62</w:t>
            </w:r>
          </w:p>
        </w:tc>
      </w:tr>
    </w:tbl>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2"/>
        <w:rPr>
          <w:rFonts w:hint="eastAsia" w:ascii="宋体" w:hAnsi="宋体" w:eastAsia="宋体" w:cs="宋体"/>
          <w:b/>
          <w:bCs/>
          <w:sz w:val="21"/>
          <w:szCs w:val="21"/>
          <w:lang w:eastAsia="zh-CN"/>
        </w:rPr>
      </w:pPr>
      <w:bookmarkStart w:id="336" w:name="OLE_LINK2"/>
      <w:bookmarkStart w:id="337" w:name="_Toc989207"/>
      <w:r>
        <w:rPr>
          <w:rFonts w:hint="eastAsia" w:ascii="宋体" w:hAnsi="宋体" w:eastAsia="宋体" w:cs="宋体"/>
          <w:b/>
          <w:bCs/>
          <w:sz w:val="21"/>
          <w:szCs w:val="21"/>
          <w:lang w:eastAsia="zh-CN"/>
        </w:rPr>
        <w:t>（五十）</w:t>
      </w:r>
      <w:bookmarkEnd w:id="336"/>
      <w:r>
        <w:rPr>
          <w:rFonts w:hint="eastAsia" w:ascii="宋体" w:hAnsi="宋体" w:eastAsia="宋体" w:cs="宋体"/>
          <w:b/>
          <w:bCs/>
          <w:sz w:val="21"/>
          <w:szCs w:val="21"/>
          <w:lang w:eastAsia="zh-CN"/>
        </w:rPr>
        <w:t>营业外收入</w:t>
      </w:r>
      <w:bookmarkEnd w:id="337"/>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计入当期非经常性损益的金额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无须支付款项</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76.75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41,397.76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76.75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630,121.37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652,452.59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630,121.37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处置非流动资产的损益</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129,930.10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129,930.10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760,128.22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693,850.35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760,128.22</w:t>
            </w:r>
          </w:p>
        </w:tc>
      </w:tr>
    </w:tbl>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2"/>
        <w:rPr>
          <w:rFonts w:hint="eastAsia" w:ascii="宋体" w:hAnsi="宋体" w:eastAsia="宋体" w:cs="宋体"/>
          <w:b/>
          <w:bCs/>
          <w:sz w:val="21"/>
          <w:szCs w:val="21"/>
          <w:lang w:eastAsia="zh-CN"/>
        </w:rPr>
      </w:pPr>
      <w:bookmarkStart w:id="338" w:name="_Toc989208"/>
      <w:r>
        <w:rPr>
          <w:rFonts w:hint="eastAsia" w:ascii="宋体" w:hAnsi="宋体" w:eastAsia="宋体" w:cs="宋体"/>
          <w:b/>
          <w:bCs/>
          <w:sz w:val="21"/>
          <w:szCs w:val="21"/>
          <w:lang w:eastAsia="zh-CN"/>
        </w:rPr>
        <w:t>（五十一）营业外支出</w:t>
      </w:r>
      <w:bookmarkEnd w:id="338"/>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计入当期非经常性损益的金额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对外捐赠</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50,000.00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非流动资产毁损报废损失</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223,483.82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865.96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223,483.82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研保资金改资本金注入调整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17,096,476.23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17,096,476.23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19,011.87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30,354.73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19,011.87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17,388,971.92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31,220.69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17,388,971.92</w:t>
            </w:r>
          </w:p>
        </w:tc>
      </w:tr>
    </w:tbl>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2"/>
        <w:rPr>
          <w:rFonts w:hint="eastAsia" w:ascii="宋体" w:hAnsi="宋体" w:eastAsia="宋体" w:cs="宋体"/>
          <w:b/>
          <w:bCs/>
          <w:sz w:val="21"/>
          <w:szCs w:val="21"/>
          <w:lang w:eastAsia="zh-CN"/>
        </w:rPr>
      </w:pPr>
      <w:bookmarkStart w:id="339" w:name="_Toc989209"/>
      <w:r>
        <w:rPr>
          <w:rFonts w:hint="eastAsia" w:ascii="宋体" w:hAnsi="宋体" w:eastAsia="宋体" w:cs="宋体"/>
          <w:b/>
          <w:bCs/>
          <w:sz w:val="21"/>
          <w:szCs w:val="21"/>
          <w:lang w:eastAsia="zh-CN"/>
        </w:rPr>
        <w:t>（五十</w:t>
      </w:r>
      <w:r>
        <w:rPr>
          <w:rFonts w:hint="eastAsia" w:ascii="宋体" w:hAnsi="宋体" w:eastAsia="宋体" w:cs="宋体"/>
          <w:b/>
          <w:bCs/>
          <w:sz w:val="21"/>
          <w:szCs w:val="21"/>
          <w:lang w:val="en-US" w:eastAsia="zh-CN"/>
        </w:rPr>
        <w:t>二</w:t>
      </w:r>
      <w:r>
        <w:rPr>
          <w:rFonts w:hint="eastAsia" w:ascii="宋体" w:hAnsi="宋体" w:eastAsia="宋体" w:cs="宋体"/>
          <w:b/>
          <w:bCs/>
          <w:sz w:val="21"/>
          <w:szCs w:val="21"/>
          <w:lang w:eastAsia="zh-CN"/>
        </w:rPr>
        <w:t>）所得税费用</w:t>
      </w:r>
      <w:bookmarkEnd w:id="339"/>
    </w:p>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3"/>
        <w:rPr>
          <w:rFonts w:ascii="宋体" w:hAnsi="宋体" w:eastAsia="宋体" w:cs="宋体"/>
          <w:b/>
          <w:bCs/>
          <w:sz w:val="21"/>
          <w:szCs w:val="21"/>
        </w:rPr>
      </w:pPr>
      <w:bookmarkStart w:id="340" w:name="_Toc989210"/>
      <w:r>
        <w:rPr>
          <w:rFonts w:hint="eastAsia" w:ascii="宋体" w:hAnsi="宋体" w:eastAsia="宋体" w:cs="宋体"/>
          <w:b/>
          <w:bCs/>
          <w:sz w:val="21"/>
          <w:szCs w:val="21"/>
          <w:lang w:val="en-US" w:eastAsia="zh-CN"/>
        </w:rPr>
        <w:t>1.</w:t>
      </w:r>
      <w:r>
        <w:rPr>
          <w:rFonts w:ascii="宋体" w:hAnsi="宋体" w:eastAsia="宋体" w:cs="宋体"/>
          <w:b/>
          <w:bCs/>
          <w:sz w:val="21"/>
          <w:szCs w:val="21"/>
        </w:rPr>
        <w:t>所得税费用表</w:t>
      </w:r>
      <w:bookmarkEnd w:id="340"/>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当期所得税费用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6,430,107.91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5,100,361.29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递延所得税费用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-13,695,809.09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241,882.30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-7,265,701.18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5,342,243.59</w:t>
            </w:r>
          </w:p>
        </w:tc>
      </w:tr>
    </w:tbl>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3"/>
        <w:rPr>
          <w:rFonts w:hint="eastAsia" w:ascii="宋体" w:hAnsi="宋体" w:eastAsia="宋体" w:cs="宋体"/>
          <w:b/>
          <w:bCs/>
          <w:sz w:val="21"/>
          <w:szCs w:val="21"/>
          <w:lang w:val="en-US" w:eastAsia="zh-CN"/>
        </w:rPr>
      </w:pPr>
      <w:bookmarkStart w:id="341" w:name="_Toc989211"/>
      <w:r>
        <w:rPr>
          <w:rFonts w:hint="eastAsia" w:ascii="宋体" w:hAnsi="宋体" w:eastAsia="宋体" w:cs="宋体"/>
          <w:b/>
          <w:bCs/>
          <w:sz w:val="21"/>
          <w:szCs w:val="21"/>
          <w:lang w:val="en-US" w:eastAsia="zh-CN"/>
        </w:rPr>
        <w:t>2.会计利润与所得税费用调整过程</w:t>
      </w:r>
      <w:bookmarkEnd w:id="341"/>
    </w:p>
    <w:p>
      <w:pPr>
        <w:spacing w:before="40" w:after="40" w:line="240" w:lineRule="exact"/>
        <w:jc w:val="right"/>
        <w:rPr>
          <w:rFonts w:ascii="宋体" w:hAnsi="宋体" w:eastAsia="宋体" w:cs="宋体"/>
          <w:sz w:val="18"/>
          <w:szCs w:val="18"/>
        </w:rPr>
      </w:pPr>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利润总额</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-75,935,081.35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按法定/适用税率计算的所得税费用</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highlight w:val="none"/>
              </w:rPr>
            </w:pPr>
            <w:r>
              <w:rPr>
                <w:rFonts w:ascii="宋体" w:hAnsi="宋体" w:eastAsia="宋体" w:cs="宋体"/>
                <w:sz w:val="18"/>
                <w:szCs w:val="18"/>
                <w:highlight w:val="none"/>
              </w:rPr>
              <w:t>-11,390,262.2</w:t>
            </w:r>
            <w:r>
              <w:rPr>
                <w:rFonts w:hint="eastAsia" w:ascii="宋体" w:hAnsi="宋体" w:cs="宋体"/>
                <w:sz w:val="18"/>
                <w:szCs w:val="18"/>
                <w:highlight w:val="none"/>
                <w:lang w:val="en-US" w:eastAsia="zh-CN"/>
              </w:rPr>
              <w:t>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不可抵扣的成本、费用和损失的影响</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2,449,308.66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本期已确认递延所得税资产的可抵扣暂时性差异或可抵扣亏损的影响</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-59,469.26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本期未确认递延所得税负债的应纳税暂时性差异</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9,357,110.83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技术开发费加计扣除的影响</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-7,622,389.20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所得税费用</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-7,265,701.18</w:t>
            </w:r>
          </w:p>
        </w:tc>
      </w:tr>
    </w:tbl>
    <w:p>
      <w:pPr>
        <w:keepNext/>
        <w:keepLines/>
        <w:spacing w:before="300" w:after="300" w:line="280" w:lineRule="exact"/>
        <w:jc w:val="left"/>
        <w:outlineLvl w:val="2"/>
        <w:rPr>
          <w:rFonts w:ascii="宋体" w:hAnsi="宋体" w:eastAsia="宋体" w:cs="宋体"/>
          <w:b/>
          <w:bCs/>
          <w:sz w:val="21"/>
          <w:szCs w:val="21"/>
        </w:rPr>
      </w:pPr>
      <w:bookmarkStart w:id="342" w:name="_Toc989212"/>
      <w:r>
        <w:rPr>
          <w:rFonts w:hint="eastAsia" w:ascii="宋体" w:hAnsi="宋体" w:eastAsia="宋体" w:cs="宋体"/>
          <w:b/>
          <w:bCs/>
          <w:sz w:val="21"/>
          <w:szCs w:val="21"/>
          <w:lang w:eastAsia="zh-CN"/>
        </w:rPr>
        <w:t>（五十三）</w:t>
      </w:r>
      <w:r>
        <w:rPr>
          <w:rFonts w:ascii="宋体" w:hAnsi="宋体" w:eastAsia="宋体" w:cs="宋体"/>
          <w:b/>
          <w:bCs/>
          <w:sz w:val="21"/>
          <w:szCs w:val="21"/>
        </w:rPr>
        <w:t>其他综合收益</w:t>
      </w:r>
      <w:bookmarkEnd w:id="342"/>
    </w:p>
    <w:p>
      <w:pPr>
        <w:spacing w:before="40" w:after="40" w:line="240" w:lineRule="exact"/>
        <w:jc w:val="left"/>
        <w:rPr>
          <w:rFonts w:ascii="宋体" w:hAnsi="宋体" w:eastAsia="宋体" w:cs="宋体"/>
          <w:sz w:val="18"/>
          <w:szCs w:val="18"/>
        </w:rPr>
      </w:pPr>
      <w:r>
        <w:rPr>
          <w:rFonts w:ascii="宋体" w:hAnsi="宋体" w:eastAsia="宋体" w:cs="宋体"/>
          <w:sz w:val="18"/>
          <w:szCs w:val="18"/>
        </w:rPr>
        <w:t>详见附注。</w:t>
      </w:r>
    </w:p>
    <w:p>
      <w:pPr>
        <w:keepNext/>
        <w:keepLines/>
        <w:spacing w:before="300" w:after="300" w:line="280" w:lineRule="exact"/>
        <w:jc w:val="left"/>
        <w:outlineLvl w:val="2"/>
        <w:rPr>
          <w:rFonts w:ascii="宋体" w:hAnsi="宋体" w:eastAsia="宋体" w:cs="宋体"/>
          <w:b/>
          <w:bCs/>
          <w:sz w:val="21"/>
          <w:szCs w:val="21"/>
        </w:rPr>
      </w:pPr>
      <w:bookmarkStart w:id="343" w:name="_Toc989213"/>
      <w:r>
        <w:rPr>
          <w:rFonts w:hint="eastAsia" w:ascii="宋体" w:hAnsi="宋体" w:eastAsia="宋体" w:cs="宋体"/>
          <w:b/>
          <w:bCs/>
          <w:sz w:val="21"/>
          <w:szCs w:val="21"/>
          <w:lang w:eastAsia="zh-CN"/>
        </w:rPr>
        <w:t>（五十四）</w:t>
      </w:r>
      <w:r>
        <w:rPr>
          <w:rFonts w:ascii="宋体" w:hAnsi="宋体" w:eastAsia="宋体" w:cs="宋体"/>
          <w:b/>
          <w:bCs/>
          <w:sz w:val="21"/>
          <w:szCs w:val="21"/>
        </w:rPr>
        <w:t>现金流量表项目</w:t>
      </w:r>
      <w:bookmarkEnd w:id="343"/>
    </w:p>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3"/>
        <w:rPr>
          <w:rFonts w:hint="eastAsia" w:ascii="宋体" w:hAnsi="宋体" w:eastAsia="宋体" w:cs="宋体"/>
          <w:b/>
          <w:bCs/>
          <w:sz w:val="21"/>
          <w:szCs w:val="21"/>
          <w:lang w:val="en-US" w:eastAsia="zh-CN"/>
        </w:rPr>
      </w:pPr>
      <w:bookmarkStart w:id="344" w:name="_Toc989214"/>
      <w:r>
        <w:rPr>
          <w:rFonts w:hint="eastAsia" w:ascii="宋体" w:hAnsi="宋体" w:eastAsia="宋体" w:cs="宋体"/>
          <w:b/>
          <w:bCs/>
          <w:sz w:val="21"/>
          <w:szCs w:val="21"/>
          <w:lang w:val="en-US" w:eastAsia="zh-CN"/>
        </w:rPr>
        <w:t>1.与经营活动有关的现金</w:t>
      </w:r>
      <w:bookmarkEnd w:id="344"/>
    </w:p>
    <w:p>
      <w:pPr>
        <w:spacing w:before="100" w:after="100" w:line="240" w:lineRule="exact"/>
        <w:jc w:val="left"/>
        <w:rPr>
          <w:rFonts w:ascii="宋体" w:hAnsi="宋体" w:eastAsia="宋体" w:cs="宋体"/>
          <w:sz w:val="18"/>
          <w:szCs w:val="18"/>
        </w:rPr>
      </w:pPr>
      <w:r>
        <w:rPr>
          <w:rFonts w:ascii="宋体" w:hAnsi="宋体" w:eastAsia="宋体" w:cs="宋体"/>
          <w:sz w:val="18"/>
          <w:szCs w:val="18"/>
        </w:rPr>
        <w:t>收到的其他与经营活动有关的现金</w:t>
      </w:r>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利息收入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6,175,847.52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7,784,873.63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收到往来款、代垫款及保证金等</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6,847,081.50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3,025,072.80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营业外收入、其他收益、递延收益的变动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7,057,067.21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55,070,560.65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经营活动受限保证金、存单</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31,782,155.19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33,069,900.00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51,862,151.42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98,950,407.08</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支付的其他与经营活动有关的现金</w:t>
      </w:r>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费用支出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41,372,032.62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37,941,796.19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经营活动受限保证金、存单</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23,119,539.99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34,015,417.08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手续费及其他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161,462.31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881,092.50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营业外支出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69,011.87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28,811.46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支付往来款、代垫款及保证金等</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5,908,444.24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180,402.24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70,630,491.03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73,047,519.47</w:t>
            </w:r>
          </w:p>
        </w:tc>
      </w:tr>
    </w:tbl>
    <w:p>
      <w:pPr>
        <w:keepNext/>
        <w:keepLines/>
        <w:spacing w:before="300" w:after="300" w:line="280" w:lineRule="exact"/>
        <w:jc w:val="left"/>
        <w:outlineLvl w:val="3"/>
        <w:rPr>
          <w:rFonts w:ascii="宋体" w:hAnsi="宋体" w:eastAsia="宋体" w:cs="宋体"/>
          <w:b/>
          <w:bCs/>
          <w:sz w:val="21"/>
          <w:szCs w:val="21"/>
        </w:rPr>
      </w:pPr>
      <w:bookmarkStart w:id="345" w:name="_Toc989215"/>
      <w:r>
        <w:rPr>
          <w:rFonts w:hint="eastAsia" w:ascii="宋体" w:hAnsi="宋体" w:eastAsia="宋体" w:cs="宋体"/>
          <w:b/>
          <w:bCs/>
          <w:sz w:val="21"/>
          <w:szCs w:val="21"/>
          <w:lang w:val="en-US" w:eastAsia="zh-CN"/>
        </w:rPr>
        <w:t>2.</w:t>
      </w:r>
      <w:r>
        <w:rPr>
          <w:rFonts w:ascii="宋体" w:hAnsi="宋体" w:eastAsia="宋体" w:cs="宋体"/>
          <w:b/>
          <w:bCs/>
          <w:sz w:val="21"/>
          <w:szCs w:val="21"/>
        </w:rPr>
        <w:t>与投资活动有关的现金</w:t>
      </w:r>
      <w:bookmarkEnd w:id="345"/>
    </w:p>
    <w:p>
      <w:pPr>
        <w:keepNext w:val="0"/>
        <w:keepLines w:val="0"/>
        <w:pageBreakBefore w:val="0"/>
        <w:widowControl w:val="0"/>
        <w:kinsoku/>
        <w:wordWrap/>
        <w:overflowPunct/>
        <w:topLinePunct w:val="0"/>
        <w:autoSpaceDE/>
        <w:autoSpaceDN/>
        <w:bidi w:val="0"/>
        <w:adjustRightInd/>
        <w:snapToGrid/>
        <w:spacing w:before="100" w:line="240" w:lineRule="exact"/>
        <w:jc w:val="left"/>
        <w:textAlignment w:val="auto"/>
        <w:rPr>
          <w:rFonts w:ascii="宋体" w:hAnsi="宋体" w:eastAsia="宋体" w:cs="宋体"/>
          <w:sz w:val="18"/>
          <w:szCs w:val="18"/>
        </w:rPr>
      </w:pPr>
      <w:r>
        <w:rPr>
          <w:rFonts w:ascii="宋体" w:hAnsi="宋体" w:eastAsia="宋体" w:cs="宋体"/>
          <w:sz w:val="18"/>
          <w:szCs w:val="18"/>
        </w:rPr>
        <w:t>收到的其他与投资活动有关的现金</w:t>
      </w:r>
      <w:r>
        <w:rPr>
          <w:rFonts w:hint="eastAsia" w:ascii="宋体" w:hAnsi="宋体" w:cs="宋体"/>
          <w:sz w:val="18"/>
          <w:szCs w:val="18"/>
          <w:lang w:val="en-US" w:eastAsia="zh-CN"/>
        </w:rPr>
        <w:t xml:space="preserve">                                                                   </w:t>
      </w: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投资活动受限保证金、存单</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20,960,036.85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28,244,162.19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20,960,036.85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28,244,162.19</w:t>
            </w:r>
          </w:p>
        </w:tc>
      </w:tr>
    </w:tbl>
    <w:p>
      <w:pPr>
        <w:keepNext w:val="0"/>
        <w:keepLines w:val="0"/>
        <w:pageBreakBefore w:val="0"/>
        <w:widowControl w:val="0"/>
        <w:kinsoku/>
        <w:wordWrap/>
        <w:overflowPunct/>
        <w:topLinePunct w:val="0"/>
        <w:autoSpaceDE/>
        <w:autoSpaceDN/>
        <w:bidi w:val="0"/>
        <w:adjustRightInd/>
        <w:snapToGrid/>
        <w:spacing w:before="220" w:line="240" w:lineRule="exact"/>
        <w:jc w:val="left"/>
        <w:textAlignment w:val="auto"/>
        <w:rPr>
          <w:rFonts w:ascii="宋体" w:hAnsi="宋体" w:eastAsia="宋体" w:cs="宋体"/>
          <w:sz w:val="18"/>
          <w:szCs w:val="18"/>
        </w:rPr>
      </w:pPr>
      <w:r>
        <w:rPr>
          <w:rFonts w:ascii="宋体" w:hAnsi="宋体" w:eastAsia="宋体" w:cs="宋体"/>
          <w:sz w:val="18"/>
          <w:szCs w:val="18"/>
        </w:rPr>
        <w:t>收到的重要的与投资活动有关的现金</w:t>
      </w:r>
      <w:r>
        <w:rPr>
          <w:rFonts w:hint="eastAsia" w:ascii="宋体" w:hAnsi="宋体" w:cs="宋体"/>
          <w:sz w:val="18"/>
          <w:szCs w:val="18"/>
          <w:lang w:val="en-US" w:eastAsia="zh-CN"/>
        </w:rPr>
        <w:t xml:space="preserve">                                                                 </w:t>
      </w: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购买固定资产收回的信用证保证金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20,960,036.85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28,244,162.19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处置权益工具投资收回的金额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14,147,108.04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处置固定资产等长期资产收回的金额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28,513,901.44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63,621,046.33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28,244,162.19</w:t>
            </w:r>
          </w:p>
        </w:tc>
      </w:tr>
    </w:tbl>
    <w:p>
      <w:pPr>
        <w:keepNext w:val="0"/>
        <w:keepLines w:val="0"/>
        <w:pageBreakBefore w:val="0"/>
        <w:widowControl w:val="0"/>
        <w:kinsoku/>
        <w:wordWrap/>
        <w:overflowPunct/>
        <w:topLinePunct w:val="0"/>
        <w:autoSpaceDE/>
        <w:autoSpaceDN/>
        <w:bidi w:val="0"/>
        <w:adjustRightInd/>
        <w:snapToGrid/>
        <w:spacing w:before="220" w:line="240" w:lineRule="exact"/>
        <w:jc w:val="left"/>
        <w:textAlignment w:val="auto"/>
        <w:rPr>
          <w:rFonts w:ascii="宋体" w:hAnsi="宋体" w:eastAsia="宋体" w:cs="宋体"/>
          <w:sz w:val="18"/>
          <w:szCs w:val="18"/>
        </w:rPr>
      </w:pPr>
      <w:r>
        <w:rPr>
          <w:rFonts w:ascii="宋体" w:hAnsi="宋体" w:eastAsia="宋体" w:cs="宋体"/>
          <w:sz w:val="18"/>
          <w:szCs w:val="18"/>
        </w:rPr>
        <w:t>支付的其他与投资活动有关的现金</w:t>
      </w:r>
      <w:r>
        <w:rPr>
          <w:rFonts w:hint="eastAsia" w:ascii="宋体" w:hAnsi="宋体" w:eastAsia="宋体" w:cs="宋体"/>
          <w:sz w:val="18"/>
          <w:szCs w:val="18"/>
          <w:lang w:val="en-US" w:eastAsia="zh-CN"/>
        </w:rPr>
        <w:t xml:space="preserve">                                                                   </w:t>
      </w: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投资活动受限保证金、存单</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3,247,423.68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20,200,191.78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退回股权转让款及占用利息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36,588,378.17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39,835,801.85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20,200,191.78</w:t>
            </w:r>
          </w:p>
        </w:tc>
      </w:tr>
    </w:tbl>
    <w:p>
      <w:pPr>
        <w:keepNext w:val="0"/>
        <w:keepLines w:val="0"/>
        <w:pageBreakBefore w:val="0"/>
        <w:widowControl w:val="0"/>
        <w:kinsoku/>
        <w:wordWrap/>
        <w:overflowPunct/>
        <w:topLinePunct w:val="0"/>
        <w:autoSpaceDE/>
        <w:autoSpaceDN/>
        <w:bidi w:val="0"/>
        <w:adjustRightInd/>
        <w:snapToGrid/>
        <w:spacing w:before="220" w:line="240" w:lineRule="exact"/>
        <w:jc w:val="left"/>
        <w:textAlignment w:val="auto"/>
        <w:rPr>
          <w:rFonts w:ascii="宋体" w:hAnsi="宋体" w:eastAsia="宋体" w:cs="宋体"/>
          <w:sz w:val="18"/>
          <w:szCs w:val="18"/>
        </w:rPr>
      </w:pPr>
      <w:r>
        <w:rPr>
          <w:rFonts w:ascii="宋体" w:hAnsi="宋体" w:eastAsia="宋体" w:cs="宋体"/>
          <w:sz w:val="18"/>
          <w:szCs w:val="18"/>
        </w:rPr>
        <w:t>支付的重要的与投资活动有关的现金</w:t>
      </w:r>
      <w:r>
        <w:rPr>
          <w:rFonts w:hint="eastAsia" w:ascii="宋体" w:hAnsi="宋体" w:eastAsia="宋体" w:cs="宋体"/>
          <w:sz w:val="18"/>
          <w:szCs w:val="18"/>
          <w:lang w:val="en-US" w:eastAsia="zh-CN"/>
        </w:rPr>
        <w:t xml:space="preserve">                                                                 </w:t>
      </w: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退回霍尼韦尔股权转让款及资金占用利息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36,588,378.17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购买长期资产支付的现金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120,498,312.20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193,265,488.69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增加权益工具投资支付的款项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13,630,000.00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购买固定资产支付的信用证保证金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20,200,191.78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157,086,690.37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227,095,680.47</w:t>
            </w:r>
          </w:p>
        </w:tc>
      </w:tr>
    </w:tbl>
    <w:p>
      <w:pPr>
        <w:keepNext/>
        <w:keepLines/>
        <w:spacing w:before="300" w:after="300" w:line="280" w:lineRule="exact"/>
        <w:jc w:val="left"/>
        <w:outlineLvl w:val="3"/>
        <w:rPr>
          <w:rFonts w:ascii="宋体" w:hAnsi="宋体" w:eastAsia="宋体" w:cs="宋体"/>
          <w:b/>
          <w:bCs/>
          <w:sz w:val="21"/>
          <w:szCs w:val="21"/>
        </w:rPr>
      </w:pPr>
      <w:bookmarkStart w:id="346" w:name="_Toc989216"/>
      <w:r>
        <w:rPr>
          <w:rFonts w:hint="eastAsia" w:ascii="宋体" w:hAnsi="宋体" w:eastAsia="宋体" w:cs="宋体"/>
          <w:b/>
          <w:bCs/>
          <w:sz w:val="21"/>
          <w:szCs w:val="21"/>
          <w:lang w:val="en-US" w:eastAsia="zh-CN"/>
        </w:rPr>
        <w:t>3.</w:t>
      </w:r>
      <w:r>
        <w:rPr>
          <w:rFonts w:ascii="宋体" w:hAnsi="宋体" w:eastAsia="宋体" w:cs="宋体"/>
          <w:b/>
          <w:bCs/>
          <w:sz w:val="21"/>
          <w:szCs w:val="21"/>
        </w:rPr>
        <w:t>与筹资活动有关的现金</w:t>
      </w:r>
      <w:bookmarkEnd w:id="346"/>
    </w:p>
    <w:p>
      <w:pPr>
        <w:spacing w:before="100" w:after="100" w:line="240" w:lineRule="exact"/>
        <w:jc w:val="left"/>
        <w:rPr>
          <w:rFonts w:ascii="宋体" w:hAnsi="宋体" w:eastAsia="宋体" w:cs="宋体"/>
          <w:sz w:val="18"/>
          <w:szCs w:val="18"/>
        </w:rPr>
      </w:pPr>
      <w:r>
        <w:rPr>
          <w:rFonts w:ascii="宋体" w:hAnsi="宋体" w:eastAsia="宋体" w:cs="宋体"/>
          <w:sz w:val="18"/>
          <w:szCs w:val="18"/>
        </w:rPr>
        <w:t>收到的其他与筹资活动有关的现金</w:t>
      </w:r>
      <w:r>
        <w:rPr>
          <w:rFonts w:hint="eastAsia" w:ascii="宋体" w:hAnsi="宋体" w:cs="宋体"/>
          <w:sz w:val="18"/>
          <w:szCs w:val="18"/>
          <w:lang w:val="en-US" w:eastAsia="zh-CN"/>
        </w:rPr>
        <w:t xml:space="preserve">                                                                   </w:t>
      </w: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政府贴息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469,050.00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469,050.00</w:t>
            </w:r>
          </w:p>
        </w:tc>
      </w:tr>
    </w:tbl>
    <w:p>
      <w:pPr>
        <w:keepNext w:val="0"/>
        <w:keepLines w:val="0"/>
        <w:pageBreakBefore w:val="0"/>
        <w:widowControl w:val="0"/>
        <w:kinsoku/>
        <w:wordWrap/>
        <w:overflowPunct/>
        <w:topLinePunct w:val="0"/>
        <w:autoSpaceDE/>
        <w:autoSpaceDN/>
        <w:bidi w:val="0"/>
        <w:adjustRightInd/>
        <w:snapToGrid/>
        <w:spacing w:before="220" w:line="240" w:lineRule="exact"/>
        <w:jc w:val="left"/>
        <w:textAlignment w:val="auto"/>
        <w:rPr>
          <w:rFonts w:ascii="宋体" w:hAnsi="宋体" w:eastAsia="宋体" w:cs="宋体"/>
          <w:sz w:val="18"/>
          <w:szCs w:val="18"/>
        </w:rPr>
      </w:pPr>
      <w:r>
        <w:rPr>
          <w:rFonts w:ascii="宋体" w:hAnsi="宋体" w:eastAsia="宋体" w:cs="宋体"/>
          <w:sz w:val="18"/>
          <w:szCs w:val="18"/>
        </w:rPr>
        <w:t>支付的其他与筹资活动有关的现金</w:t>
      </w:r>
      <w:r>
        <w:rPr>
          <w:rFonts w:hint="eastAsia" w:ascii="宋体" w:hAnsi="宋体" w:eastAsia="宋体" w:cs="宋体"/>
          <w:sz w:val="18"/>
          <w:szCs w:val="18"/>
          <w:lang w:val="en-US" w:eastAsia="zh-CN"/>
        </w:rPr>
        <w:t xml:space="preserve">                                                                  </w:t>
      </w: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bl>
    <w:p>
      <w:pPr>
        <w:keepNext w:val="0"/>
        <w:keepLines w:val="0"/>
        <w:pageBreakBefore w:val="0"/>
        <w:widowControl w:val="0"/>
        <w:kinsoku/>
        <w:wordWrap/>
        <w:overflowPunct/>
        <w:topLinePunct w:val="0"/>
        <w:autoSpaceDE/>
        <w:autoSpaceDN/>
        <w:bidi w:val="0"/>
        <w:adjustRightInd/>
        <w:snapToGrid/>
        <w:spacing w:before="220" w:line="240" w:lineRule="exact"/>
        <w:jc w:val="left"/>
        <w:textAlignment w:val="auto"/>
        <w:rPr>
          <w:rFonts w:ascii="宋体" w:hAnsi="宋体" w:eastAsia="宋体" w:cs="宋体"/>
          <w:sz w:val="18"/>
          <w:szCs w:val="18"/>
        </w:rPr>
      </w:pPr>
      <w:r>
        <w:rPr>
          <w:rFonts w:ascii="宋体" w:hAnsi="宋体" w:eastAsia="宋体" w:cs="宋体"/>
          <w:sz w:val="18"/>
          <w:szCs w:val="18"/>
        </w:rPr>
        <w:t>筹资活动产生的各项负债变动情况</w:t>
      </w:r>
      <w:r>
        <w:rPr>
          <w:rFonts w:hint="eastAsia" w:ascii="宋体" w:hAnsi="宋体" w:eastAsia="宋体" w:cs="宋体"/>
          <w:sz w:val="18"/>
          <w:szCs w:val="18"/>
          <w:lang w:val="en-US" w:eastAsia="zh-CN"/>
        </w:rPr>
        <w:t xml:space="preserve">                                                                   </w:t>
      </w: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vAlign w:val="center"/>
          </w:tcPr>
          <w:p/>
        </w:tc>
        <w:tc>
          <w:tcPr>
            <w:tcW w:w="1377" w:type="dxa"/>
            <w:vMerge w:val="continue"/>
            <w:tcBorders>
              <w:top w:val="single" w:color="auto" w:sz="2" w:space="0"/>
              <w:left w:val="single" w:color="auto" w:sz="2" w:space="0"/>
              <w:bottom w:val="single" w:color="auto" w:sz="2" w:space="0"/>
              <w:right w:val="single" w:color="auto" w:sz="2" w:space="0"/>
            </w:tcBorders>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现金变动</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非现金变动</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现金变动</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非现金变动</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短期借款</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230,175,000.00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357,808,762.99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257,847.26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267,983,762.99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320,257,847.26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长期借款（含一年内到期）</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30,183,666.66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24,166.67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183,666.66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30,024,166.67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230,175,000.00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387,992,429.65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282,013.93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268,167,429.65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350,282,013.93</w:t>
            </w:r>
          </w:p>
        </w:tc>
      </w:tr>
    </w:tbl>
    <w:p>
      <w:pPr>
        <w:keepNext/>
        <w:keepLines/>
        <w:spacing w:before="300" w:after="300" w:line="280" w:lineRule="exact"/>
        <w:jc w:val="left"/>
        <w:outlineLvl w:val="2"/>
        <w:rPr>
          <w:rFonts w:ascii="宋体" w:hAnsi="宋体" w:eastAsia="宋体" w:cs="宋体"/>
          <w:b/>
          <w:bCs/>
          <w:sz w:val="21"/>
          <w:szCs w:val="21"/>
        </w:rPr>
      </w:pPr>
      <w:bookmarkStart w:id="347" w:name="_Toc989217"/>
      <w:r>
        <w:rPr>
          <w:rFonts w:hint="eastAsia" w:ascii="宋体" w:hAnsi="宋体" w:eastAsia="宋体" w:cs="宋体"/>
          <w:b/>
          <w:bCs/>
          <w:sz w:val="21"/>
          <w:szCs w:val="21"/>
          <w:lang w:eastAsia="zh-CN"/>
        </w:rPr>
        <w:t>（五十五）</w:t>
      </w:r>
      <w:r>
        <w:rPr>
          <w:rFonts w:ascii="宋体" w:hAnsi="宋体" w:eastAsia="宋体" w:cs="宋体"/>
          <w:b/>
          <w:bCs/>
          <w:sz w:val="21"/>
          <w:szCs w:val="21"/>
        </w:rPr>
        <w:t>现金流量表补充资料</w:t>
      </w:r>
      <w:bookmarkEnd w:id="347"/>
    </w:p>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3"/>
        <w:rPr>
          <w:rFonts w:ascii="宋体" w:hAnsi="宋体" w:eastAsia="宋体" w:cs="宋体"/>
          <w:b/>
          <w:bCs/>
          <w:sz w:val="21"/>
          <w:szCs w:val="21"/>
        </w:rPr>
      </w:pPr>
      <w:bookmarkStart w:id="348" w:name="_Toc989218"/>
      <w:r>
        <w:rPr>
          <w:rFonts w:hint="eastAsia" w:ascii="宋体" w:hAnsi="宋体" w:eastAsia="宋体" w:cs="宋体"/>
          <w:b/>
          <w:bCs/>
          <w:sz w:val="21"/>
          <w:szCs w:val="21"/>
          <w:lang w:val="en-US" w:eastAsia="zh-CN"/>
        </w:rPr>
        <w:t>1.</w:t>
      </w:r>
      <w:r>
        <w:rPr>
          <w:rFonts w:ascii="宋体" w:hAnsi="宋体" w:eastAsia="宋体" w:cs="宋体"/>
          <w:b/>
          <w:bCs/>
          <w:sz w:val="21"/>
          <w:szCs w:val="21"/>
        </w:rPr>
        <w:t>现金流量表补充资料</w:t>
      </w:r>
      <w:bookmarkEnd w:id="348"/>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补充资料</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本期金额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上期金额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1．将净利润调节为经营活动现金流量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净利润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-68,669,380.17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29,297,045.77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ind w:firstLine="210" w:firstLineChars="100"/>
              <w:jc w:val="left"/>
              <w:rPr>
                <w:rFonts w:ascii="仿宋" w:hAnsi="仿宋" w:eastAsia="仿宋" w:cs="仿宋"/>
                <w:sz w:val="21"/>
                <w:szCs w:val="21"/>
              </w:rPr>
            </w:pPr>
            <w:r>
              <w:rPr>
                <w:rFonts w:ascii="仿宋" w:hAnsi="仿宋" w:eastAsia="仿宋" w:cs="仿宋"/>
                <w:sz w:val="21"/>
                <w:szCs w:val="21"/>
              </w:rPr>
              <w:t>加：信用减值准备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5,369,973.46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-3,181,955.30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加：资产减值准备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57,654,674.16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6,696,228.45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固定资产折旧、油气资产折耗、生产性生物资产折旧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62,171,877.17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48,831,814.45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使用权资产折旧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无形资产摊销</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20,832,944.29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20,716,050.96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长期待摊费用摊销</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2,057,023.17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1,447,078.22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处置固定资产、无形资产和其他长期资产的损失（收益以“－”号填列）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4,980,796.94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-1,464,385.62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固定资产报废损失（收益以“－”号填列）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93,553.72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865.96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公允价值变动损失（收益以“－”号填列）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财务费用（收益以“－”号填列）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10,919,083.64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4,700,826.74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投资损失（收益以“－”号填列）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13,065,193.18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14,325,170.45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递延所得税资产减少（增加以“－”号填列）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-13,251,026.27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735,438.87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递延所得税负债增加（减少以“－”号填列）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-444,782.82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77,482.12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存货的减少（增加以“－”号填列）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-19,471,375.84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-68,702,126.24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经营性应收项目的减少（增加以“－”号填列）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-62,329,972.51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-75,600,748.39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经营性应付项目的增加（减少以“－”号填列）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46,007,099.50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36,446,113.10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经营活动产生的现金流量净额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58,985,681.62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14,324,899.54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2．不涉及现金收支的重大投资和筹资活动</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债务转为资本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一年内到期的可转换公司债券</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融资租入固定资产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3．现金及现金等价物净变动情况：</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现金的期末余额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539,568,356.57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464,550,942.21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减：现金的期初余额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464,550,942.21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547,667,922.11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加：现金等价物的期末余额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减：现金等价物的期初余额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现金及现金等价物净增加额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75,017,414.36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-83,116,979.90</w:t>
            </w:r>
          </w:p>
        </w:tc>
      </w:tr>
    </w:tbl>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3"/>
        <w:rPr>
          <w:rFonts w:hint="eastAsia" w:ascii="宋体" w:hAnsi="宋体" w:eastAsia="宋体" w:cs="宋体"/>
          <w:b/>
          <w:bCs/>
          <w:sz w:val="21"/>
          <w:szCs w:val="21"/>
          <w:lang w:val="en-US" w:eastAsia="zh-CN"/>
        </w:rPr>
      </w:pPr>
      <w:bookmarkStart w:id="349" w:name="_Toc989219"/>
      <w:r>
        <w:rPr>
          <w:rFonts w:hint="eastAsia" w:ascii="宋体" w:hAnsi="宋体" w:eastAsia="宋体" w:cs="宋体"/>
          <w:b/>
          <w:bCs/>
          <w:sz w:val="21"/>
          <w:szCs w:val="21"/>
          <w:lang w:val="en-US" w:eastAsia="zh-CN"/>
        </w:rPr>
        <w:t>2.现金和现金等价物的构成</w:t>
      </w:r>
      <w:bookmarkEnd w:id="34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539,568,356.57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464,550,942.21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可随时用于支付的银行存款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539,568,356.57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464,550,942.21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三、期末现金及现金等价物余额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539,568,356.57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464,550,942.21</w:t>
            </w:r>
          </w:p>
        </w:tc>
      </w:tr>
    </w:tbl>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3"/>
        <w:rPr>
          <w:rFonts w:hint="eastAsia" w:ascii="宋体" w:hAnsi="宋体" w:eastAsia="宋体" w:cs="宋体"/>
          <w:b/>
          <w:bCs/>
          <w:sz w:val="21"/>
          <w:szCs w:val="21"/>
          <w:lang w:val="en-US" w:eastAsia="zh-CN"/>
        </w:rPr>
      </w:pPr>
      <w:bookmarkStart w:id="350" w:name="_Toc989220"/>
      <w:r>
        <w:rPr>
          <w:rFonts w:hint="eastAsia" w:ascii="宋体" w:hAnsi="宋体" w:eastAsia="宋体" w:cs="宋体"/>
          <w:b/>
          <w:bCs/>
          <w:sz w:val="21"/>
          <w:szCs w:val="21"/>
          <w:lang w:val="en-US" w:eastAsia="zh-CN"/>
        </w:rPr>
        <w:t>3.不属于现金及现金等价物的货币资金</w:t>
      </w:r>
      <w:bookmarkEnd w:id="350"/>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本期金额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上期金额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不属于现金及现金等价物的理由</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银行承兑汇票保证金</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15,244,120.52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23,165,236.26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冻结</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保函保证金</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467,688.36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冻结</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信用证保证金</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5,957,034.06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23,943,458.33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冻结</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21,201,154.58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47,576,382.95</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keepNext/>
        <w:keepLines/>
        <w:spacing w:before="300" w:after="300" w:line="280" w:lineRule="exact"/>
        <w:jc w:val="left"/>
        <w:outlineLvl w:val="2"/>
        <w:rPr>
          <w:rFonts w:ascii="宋体" w:hAnsi="宋体" w:eastAsia="宋体" w:cs="宋体"/>
          <w:b/>
          <w:bCs/>
          <w:sz w:val="21"/>
          <w:szCs w:val="21"/>
        </w:rPr>
      </w:pPr>
      <w:bookmarkStart w:id="351" w:name="_Toc989221"/>
      <w:r>
        <w:rPr>
          <w:rFonts w:hint="eastAsia" w:ascii="宋体" w:hAnsi="宋体" w:eastAsia="宋体" w:cs="宋体"/>
          <w:b/>
          <w:bCs/>
          <w:sz w:val="21"/>
          <w:szCs w:val="21"/>
          <w:lang w:eastAsia="zh-CN"/>
        </w:rPr>
        <w:t>（五十六）</w:t>
      </w:r>
      <w:r>
        <w:rPr>
          <w:rFonts w:ascii="宋体" w:hAnsi="宋体" w:eastAsia="宋体" w:cs="宋体"/>
          <w:b/>
          <w:bCs/>
          <w:sz w:val="21"/>
          <w:szCs w:val="21"/>
        </w:rPr>
        <w:t>外币货币性项目</w:t>
      </w:r>
      <w:bookmarkEnd w:id="351"/>
    </w:p>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3"/>
        <w:rPr>
          <w:rFonts w:hint="eastAsia" w:ascii="宋体" w:hAnsi="宋体" w:eastAsia="宋体" w:cs="宋体"/>
          <w:b/>
          <w:bCs/>
          <w:sz w:val="21"/>
          <w:szCs w:val="21"/>
          <w:lang w:val="en-US" w:eastAsia="zh-CN"/>
        </w:rPr>
      </w:pPr>
      <w:bookmarkStart w:id="352" w:name="_Toc989222"/>
      <w:r>
        <w:rPr>
          <w:rFonts w:hint="eastAsia" w:ascii="宋体" w:hAnsi="宋体" w:eastAsia="宋体" w:cs="宋体"/>
          <w:b/>
          <w:bCs/>
          <w:sz w:val="21"/>
          <w:szCs w:val="21"/>
          <w:lang w:val="en-US" w:eastAsia="zh-CN"/>
        </w:rPr>
        <w:t>1.外币货币性项目</w:t>
      </w:r>
      <w:bookmarkEnd w:id="352"/>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期末外币余额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折算汇率</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期末折算人民币余额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货币资金</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5,957,040.39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其中：美元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0.88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7.1932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欧元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791,558.80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7.5257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5,957,034.06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港币</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应收账款</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14,473,455.03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其中：美元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617,706.35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7.1884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4,440,320.33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欧元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1,333,182.92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7.5257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10,033,134.70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港币</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长期借款</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其中：美元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欧元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港币</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应付账款</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2,856,821.95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其中：欧元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379,608.80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7.5257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2,856,821.95</w:t>
            </w:r>
          </w:p>
        </w:tc>
      </w:tr>
    </w:tbl>
    <w:p>
      <w:pPr>
        <w:keepNext/>
        <w:keepLines/>
        <w:spacing w:before="300" w:after="300" w:line="280" w:lineRule="exact"/>
        <w:ind w:left="210" w:hanging="210" w:hangingChars="100"/>
        <w:jc w:val="left"/>
        <w:outlineLvl w:val="3"/>
        <w:rPr>
          <w:rFonts w:ascii="宋体" w:hAnsi="宋体" w:eastAsia="宋体" w:cs="宋体"/>
          <w:b/>
          <w:bCs/>
          <w:sz w:val="21"/>
          <w:szCs w:val="21"/>
        </w:rPr>
      </w:pPr>
      <w:bookmarkStart w:id="353" w:name="_Toc989223"/>
      <w:r>
        <w:rPr>
          <w:rFonts w:hint="eastAsia" w:ascii="宋体" w:hAnsi="宋体" w:eastAsia="宋体" w:cs="宋体"/>
          <w:b/>
          <w:bCs/>
          <w:sz w:val="21"/>
          <w:szCs w:val="21"/>
          <w:lang w:val="en-US" w:eastAsia="zh-CN"/>
        </w:rPr>
        <w:t>2.</w:t>
      </w:r>
      <w:r>
        <w:rPr>
          <w:rFonts w:ascii="宋体" w:hAnsi="宋体" w:eastAsia="宋体" w:cs="宋体"/>
          <w:b/>
          <w:bCs/>
          <w:sz w:val="21"/>
          <w:szCs w:val="21"/>
        </w:rPr>
        <w:t>境外经营实体说明，包括对于重要的境外经营实体，应披露其境外主要经营地、记账本位币及选择依据，记账本位币发生变化的还应披露原因。</w:t>
      </w:r>
      <w:bookmarkEnd w:id="353"/>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2"/>
        <w:rPr>
          <w:rFonts w:ascii="宋体" w:hAnsi="宋体" w:eastAsia="宋体" w:cs="宋体"/>
          <w:b/>
          <w:bCs/>
          <w:sz w:val="21"/>
          <w:szCs w:val="21"/>
        </w:rPr>
      </w:pPr>
      <w:bookmarkStart w:id="354" w:name="_Toc989224"/>
      <w:r>
        <w:rPr>
          <w:rFonts w:hint="eastAsia" w:ascii="宋体" w:hAnsi="宋体" w:eastAsia="宋体" w:cs="宋体"/>
          <w:b/>
          <w:bCs/>
          <w:sz w:val="21"/>
          <w:szCs w:val="21"/>
          <w:lang w:eastAsia="zh-CN"/>
        </w:rPr>
        <w:t>（五十七）</w:t>
      </w:r>
      <w:r>
        <w:rPr>
          <w:rFonts w:ascii="宋体" w:hAnsi="宋体" w:eastAsia="宋体" w:cs="宋体"/>
          <w:b/>
          <w:bCs/>
          <w:sz w:val="21"/>
          <w:szCs w:val="21"/>
        </w:rPr>
        <w:t>租赁</w:t>
      </w:r>
      <w:bookmarkEnd w:id="354"/>
    </w:p>
    <w:p>
      <w:pPr>
        <w:keepNext/>
        <w:keepLines/>
        <w:spacing w:before="300" w:after="300" w:line="280" w:lineRule="exact"/>
        <w:jc w:val="left"/>
        <w:outlineLvl w:val="3"/>
        <w:rPr>
          <w:rFonts w:ascii="宋体" w:hAnsi="宋体" w:eastAsia="宋体" w:cs="宋体"/>
          <w:b/>
          <w:bCs/>
          <w:sz w:val="21"/>
          <w:szCs w:val="21"/>
        </w:rPr>
      </w:pPr>
      <w:bookmarkStart w:id="355" w:name="_Toc989225"/>
      <w:r>
        <w:rPr>
          <w:rFonts w:hint="eastAsia" w:ascii="宋体" w:hAnsi="宋体" w:eastAsia="宋体" w:cs="宋体"/>
          <w:b/>
          <w:bCs/>
          <w:sz w:val="21"/>
          <w:szCs w:val="21"/>
          <w:lang w:val="en-US" w:eastAsia="zh-CN"/>
        </w:rPr>
        <w:t>1.</w:t>
      </w:r>
      <w:r>
        <w:rPr>
          <w:rFonts w:ascii="宋体" w:hAnsi="宋体" w:eastAsia="宋体" w:cs="宋体"/>
          <w:b/>
          <w:bCs/>
          <w:sz w:val="21"/>
          <w:szCs w:val="21"/>
        </w:rPr>
        <w:t>本公司作为承租方</w:t>
      </w:r>
      <w:bookmarkEnd w:id="355"/>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3"/>
        <w:rPr>
          <w:rFonts w:ascii="宋体" w:hAnsi="宋体" w:eastAsia="宋体" w:cs="宋体"/>
          <w:b/>
          <w:bCs/>
          <w:sz w:val="21"/>
          <w:szCs w:val="21"/>
        </w:rPr>
      </w:pPr>
      <w:bookmarkStart w:id="356" w:name="_Toc989226"/>
      <w:r>
        <w:rPr>
          <w:rFonts w:hint="eastAsia" w:ascii="宋体" w:hAnsi="宋体" w:eastAsia="宋体" w:cs="宋体"/>
          <w:b/>
          <w:bCs/>
          <w:sz w:val="21"/>
          <w:szCs w:val="21"/>
          <w:lang w:val="en-US" w:eastAsia="zh-CN"/>
        </w:rPr>
        <w:t>2.</w:t>
      </w:r>
      <w:r>
        <w:rPr>
          <w:rFonts w:ascii="宋体" w:hAnsi="宋体" w:eastAsia="宋体" w:cs="宋体"/>
          <w:b/>
          <w:bCs/>
          <w:sz w:val="21"/>
          <w:szCs w:val="21"/>
        </w:rPr>
        <w:t>本公司作为出租方</w:t>
      </w:r>
      <w:bookmarkEnd w:id="356"/>
    </w:p>
    <w:p>
      <w:pPr>
        <w:spacing w:before="100" w:after="100" w:line="240" w:lineRule="exact"/>
        <w:jc w:val="left"/>
        <w:rPr>
          <w:rFonts w:ascii="宋体" w:hAnsi="宋体" w:eastAsia="宋体" w:cs="宋体"/>
          <w:sz w:val="18"/>
          <w:szCs w:val="18"/>
        </w:rPr>
      </w:pPr>
      <w:r>
        <w:rPr>
          <w:rFonts w:ascii="宋体" w:hAnsi="宋体" w:eastAsia="宋体" w:cs="宋体"/>
          <w:sz w:val="18"/>
          <w:szCs w:val="18"/>
        </w:rPr>
        <w:t>作为出租人的经营租赁</w:t>
      </w:r>
      <w:r>
        <w:rPr>
          <w:rFonts w:hint="eastAsia" w:ascii="宋体" w:hAnsi="宋体" w:cs="宋体"/>
          <w:sz w:val="18"/>
          <w:szCs w:val="18"/>
          <w:lang w:val="en-US" w:eastAsia="zh-CN"/>
        </w:rPr>
        <w:t xml:space="preserve">                                                                             </w:t>
      </w: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租赁收入</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其中：未计入租赁收款额的可变租赁付款额相关的收入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经营租赁收入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8,698,265.27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8,698,265.27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作为出租人的融资租赁</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未来五年每年未折现租赁收款额</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642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每年未折现租赁收款额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期末金额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期初金额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第一年</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9,643,091.57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7,030,588.37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第二年</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7,754,353.15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6,784,955.13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第三年</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6,072,099.96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5,428,691.89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第四年</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6,060,099.96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3,405,880.12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第五年</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2,834,036.64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3,394,870.95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五年后未折现租赁收款额总额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32,363,681.28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26,044,986.46</w:t>
            </w:r>
          </w:p>
        </w:tc>
      </w:tr>
    </w:tbl>
    <w:p>
      <w:pPr>
        <w:keepNext/>
        <w:keepLines/>
        <w:spacing w:before="300" w:after="300" w:line="280" w:lineRule="exact"/>
        <w:jc w:val="left"/>
        <w:outlineLvl w:val="3"/>
        <w:rPr>
          <w:rFonts w:ascii="宋体" w:hAnsi="宋体" w:eastAsia="宋体" w:cs="宋体"/>
          <w:b/>
          <w:bCs/>
          <w:sz w:val="21"/>
          <w:szCs w:val="21"/>
        </w:rPr>
      </w:pPr>
      <w:bookmarkStart w:id="357" w:name="_Toc989227"/>
      <w:r>
        <w:rPr>
          <w:rFonts w:hint="eastAsia" w:ascii="宋体" w:hAnsi="宋体" w:eastAsia="宋体" w:cs="宋体"/>
          <w:b/>
          <w:bCs/>
          <w:sz w:val="21"/>
          <w:szCs w:val="21"/>
          <w:lang w:val="en-US" w:eastAsia="zh-CN"/>
        </w:rPr>
        <w:t>3.</w:t>
      </w:r>
      <w:r>
        <w:rPr>
          <w:rFonts w:ascii="宋体" w:hAnsi="宋体" w:eastAsia="宋体" w:cs="宋体"/>
          <w:b/>
          <w:bCs/>
          <w:sz w:val="21"/>
          <w:szCs w:val="21"/>
        </w:rPr>
        <w:t>作为生产商或经销商确认融资租赁销售损益</w:t>
      </w:r>
      <w:bookmarkEnd w:id="357"/>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pageBreakBefore w:val="0"/>
        <w:widowControl w:val="0"/>
        <w:kinsoku/>
        <w:wordWrap/>
        <w:overflowPunct/>
        <w:topLinePunct w:val="0"/>
        <w:autoSpaceDE/>
        <w:autoSpaceDN/>
        <w:bidi w:val="0"/>
        <w:adjustRightInd/>
        <w:snapToGrid/>
        <w:spacing w:before="300" w:line="320" w:lineRule="exact"/>
        <w:jc w:val="left"/>
        <w:textAlignment w:val="auto"/>
        <w:outlineLvl w:val="1"/>
        <w:rPr>
          <w:rFonts w:ascii="宋体" w:hAnsi="宋体" w:eastAsia="宋体" w:cs="宋体"/>
          <w:b/>
          <w:bCs/>
          <w:sz w:val="24"/>
          <w:szCs w:val="24"/>
        </w:rPr>
      </w:pPr>
      <w:bookmarkStart w:id="358" w:name="_Toc989228"/>
      <w:r>
        <w:rPr>
          <w:rFonts w:ascii="宋体" w:hAnsi="宋体" w:eastAsia="宋体" w:cs="宋体"/>
          <w:b/>
          <w:bCs/>
          <w:sz w:val="24"/>
          <w:szCs w:val="24"/>
        </w:rPr>
        <w:t>八、研发支出</w:t>
      </w:r>
      <w:bookmarkEnd w:id="358"/>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人工费用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31,355,068.18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27,728,944.00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折旧和摊销</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17,893,664.44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17,251,279.66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研发领料</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20,100,283.09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21,354,777.77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水电燃料</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2,340,567.87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2,898,962.68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研发测试</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8,034,860.97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5,101,449.95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9,122,618.22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5,203,122.61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88,847,062.77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79,538,536.67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其中：费用化研发支出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49,252,117.42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47,089,215.76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资本化研发支出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39,594,945.35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32,449,320.91</w:t>
            </w:r>
          </w:p>
        </w:tc>
      </w:tr>
    </w:tbl>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2"/>
        <w:rPr>
          <w:rFonts w:ascii="宋体" w:hAnsi="宋体" w:eastAsia="宋体" w:cs="宋体"/>
          <w:b/>
          <w:bCs/>
          <w:sz w:val="21"/>
          <w:szCs w:val="21"/>
        </w:rPr>
      </w:pPr>
      <w:bookmarkStart w:id="359" w:name="_Toc989229"/>
      <w:r>
        <w:rPr>
          <w:rFonts w:hint="eastAsia" w:ascii="宋体" w:hAnsi="宋体" w:eastAsia="宋体" w:cs="宋体"/>
          <w:b/>
          <w:bCs/>
          <w:sz w:val="21"/>
          <w:szCs w:val="21"/>
          <w:lang w:eastAsia="zh-CN"/>
        </w:rPr>
        <w:t>（一）</w:t>
      </w:r>
      <w:r>
        <w:rPr>
          <w:rFonts w:ascii="宋体" w:hAnsi="宋体" w:eastAsia="宋体" w:cs="宋体"/>
          <w:b/>
          <w:bCs/>
          <w:sz w:val="21"/>
          <w:szCs w:val="21"/>
        </w:rPr>
        <w:t>符合资本化条件的研发项目</w:t>
      </w:r>
      <w:bookmarkEnd w:id="35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3213"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本期增加金额</w:t>
            </w:r>
          </w:p>
        </w:tc>
        <w:tc>
          <w:tcPr>
            <w:tcW w:w="3213"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本期减少金额</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内部开发支出</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计提</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确认为无形资产</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转入当期损益</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研究支出</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49,252,117.42</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49,252,117.42</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开发支出：</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-金属碳化物粉末制备技术（一）</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12,144,886.37</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7,288,209.10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17,992,171.23</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1,440,924.24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-军机机轮刹车系统研制（二）</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21,936,993.47</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886,689.95</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2,512,245.29</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20,311,438.13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-小额开发项目合计</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17,344,149.94</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31,420,046.30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1,994,778.88</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11,073,476.50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35,695,940.86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小计</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51,426,029.78</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88,847,062.77</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19,986,950.11</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62,837,839.21</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57,448,303.23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减：减值准备</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20,592,636.74</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20,592,636.74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51,426,029.78</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88,847,062.77</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-20,592,636.74</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19,986,950.11</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62,837,839.21</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36,855,666.49</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重要的资本化研发项目</w:t>
      </w:r>
    </w:p>
    <w:p>
      <w:pPr>
        <w:spacing w:before="0" w:after="0" w:line="0" w:lineRule="exact"/>
        <w:jc w:val="left"/>
      </w:pP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研发进度</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预计完成时间</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预计经济利益产生方式</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开始资本化的时点</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开始资本化的具体依据</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开发支出减值准备</w:t>
      </w:r>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减值测试情况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军机机轮刹车系统研制（二）</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20,514,966.84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20,514,966.84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小额开发项目</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77,669.90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77,669.90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20,592,636.74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20,592,636.74</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2"/>
        <w:rPr>
          <w:rFonts w:hint="eastAsia" w:ascii="宋体" w:hAnsi="宋体" w:eastAsia="宋体" w:cs="宋体"/>
          <w:b/>
          <w:bCs/>
          <w:sz w:val="21"/>
          <w:szCs w:val="21"/>
          <w:lang w:eastAsia="zh-CN"/>
        </w:rPr>
      </w:pPr>
      <w:bookmarkStart w:id="360" w:name="_Toc989230"/>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二</w:t>
      </w:r>
      <w:r>
        <w:rPr>
          <w:rFonts w:hint="eastAsia" w:ascii="宋体" w:hAnsi="宋体" w:eastAsia="宋体" w:cs="宋体"/>
          <w:b/>
          <w:bCs/>
          <w:sz w:val="21"/>
          <w:szCs w:val="21"/>
          <w:lang w:eastAsia="zh-CN"/>
        </w:rPr>
        <w:t>）重要外购在研项目</w:t>
      </w:r>
      <w:bookmarkEnd w:id="360"/>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项目名称</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预期产生经济利益的方式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资本化或费用化的判断标准和具体依据</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pStyle w:val="4"/>
        <w:keepNext w:val="0"/>
        <w:keepLines w:val="0"/>
        <w:widowControl/>
        <w:suppressLineNumbers w:val="0"/>
      </w:pPr>
      <w:r>
        <w:rPr>
          <w:rFonts w:hint="eastAsia" w:ascii="宋体" w:hAnsi="宋体" w:eastAsia="宋体" w:cs="宋体"/>
          <w:sz w:val="18"/>
          <w:szCs w:val="18"/>
        </w:rPr>
        <w:t>无。</w:t>
      </w:r>
    </w:p>
    <w:p>
      <w:pPr>
        <w:keepNext/>
        <w:keepLines/>
        <w:spacing w:before="300" w:after="300" w:line="320" w:lineRule="exact"/>
        <w:jc w:val="left"/>
        <w:outlineLvl w:val="1"/>
        <w:rPr>
          <w:rFonts w:ascii="宋体" w:hAnsi="宋体" w:eastAsia="宋体" w:cs="宋体"/>
          <w:b/>
          <w:bCs/>
          <w:sz w:val="24"/>
          <w:szCs w:val="24"/>
        </w:rPr>
      </w:pPr>
      <w:bookmarkStart w:id="361" w:name="_Toc989231"/>
      <w:r>
        <w:rPr>
          <w:rFonts w:ascii="宋体" w:hAnsi="宋体" w:eastAsia="宋体" w:cs="宋体"/>
          <w:b/>
          <w:bCs/>
          <w:sz w:val="24"/>
          <w:szCs w:val="24"/>
        </w:rPr>
        <w:t>九、合并范围的变更</w:t>
      </w:r>
      <w:bookmarkEnd w:id="361"/>
    </w:p>
    <w:p>
      <w:pPr>
        <w:pStyle w:val="4"/>
        <w:keepNext w:val="0"/>
        <w:keepLines w:val="0"/>
        <w:widowControl/>
        <w:suppressLineNumbers w:val="0"/>
        <w:ind w:firstLine="210" w:firstLineChars="100"/>
        <w:rPr>
          <w:sz w:val="21"/>
          <w:szCs w:val="21"/>
        </w:rPr>
      </w:pPr>
      <w:bookmarkStart w:id="362" w:name="_Toc989233"/>
      <w:r>
        <w:rPr>
          <w:rFonts w:hint="eastAsia" w:ascii="宋体" w:hAnsi="宋体" w:eastAsia="宋体" w:cs="宋体"/>
          <w:sz w:val="21"/>
          <w:szCs w:val="21"/>
        </w:rPr>
        <w:t>本公司无合并范围发生变化的情况。</w:t>
      </w:r>
    </w:p>
    <w:p>
      <w:pPr>
        <w:keepNext/>
        <w:keepLines/>
        <w:spacing w:before="300" w:after="300" w:line="320" w:lineRule="exact"/>
        <w:jc w:val="left"/>
        <w:outlineLvl w:val="1"/>
        <w:rPr>
          <w:rFonts w:ascii="宋体" w:hAnsi="宋体" w:eastAsia="宋体" w:cs="宋体"/>
          <w:b/>
          <w:bCs/>
          <w:sz w:val="24"/>
          <w:szCs w:val="24"/>
        </w:rPr>
      </w:pPr>
      <w:r>
        <w:rPr>
          <w:rFonts w:ascii="宋体" w:hAnsi="宋体" w:eastAsia="宋体" w:cs="宋体"/>
          <w:b/>
          <w:bCs/>
          <w:sz w:val="24"/>
          <w:szCs w:val="24"/>
        </w:rPr>
        <w:t>十、在其他主体中的权益</w:t>
      </w:r>
      <w:bookmarkEnd w:id="362"/>
    </w:p>
    <w:p>
      <w:pPr>
        <w:keepNext/>
        <w:keepLines/>
        <w:spacing w:before="300" w:after="300" w:line="280" w:lineRule="exact"/>
        <w:jc w:val="left"/>
        <w:outlineLvl w:val="2"/>
        <w:rPr>
          <w:rFonts w:ascii="宋体" w:hAnsi="宋体" w:eastAsia="宋体" w:cs="宋体"/>
          <w:b/>
          <w:bCs/>
          <w:sz w:val="21"/>
          <w:szCs w:val="21"/>
        </w:rPr>
      </w:pPr>
      <w:bookmarkStart w:id="363" w:name="_Toc989234"/>
      <w:r>
        <w:rPr>
          <w:rFonts w:hint="eastAsia" w:ascii="宋体" w:hAnsi="宋体" w:cs="宋体"/>
          <w:b/>
          <w:bCs/>
          <w:sz w:val="21"/>
          <w:szCs w:val="21"/>
          <w:lang w:eastAsia="zh-CN"/>
        </w:rPr>
        <w:t>（一）</w:t>
      </w:r>
      <w:r>
        <w:rPr>
          <w:rFonts w:ascii="宋体" w:hAnsi="宋体" w:eastAsia="宋体" w:cs="宋体"/>
          <w:b/>
          <w:bCs/>
          <w:sz w:val="21"/>
          <w:szCs w:val="21"/>
        </w:rPr>
        <w:t>在子公司中的权益</w:t>
      </w:r>
      <w:bookmarkEnd w:id="363"/>
    </w:p>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3"/>
        <w:rPr>
          <w:rFonts w:hint="eastAsia" w:ascii="宋体" w:hAnsi="宋体" w:eastAsia="宋体" w:cs="宋体"/>
          <w:b/>
          <w:bCs/>
          <w:sz w:val="21"/>
          <w:szCs w:val="21"/>
          <w:lang w:val="en-US" w:eastAsia="zh-CN"/>
        </w:rPr>
      </w:pPr>
      <w:bookmarkStart w:id="364" w:name="_Toc989235"/>
      <w:r>
        <w:rPr>
          <w:rFonts w:hint="eastAsia" w:ascii="宋体" w:hAnsi="宋体" w:eastAsia="宋体" w:cs="宋体"/>
          <w:b/>
          <w:bCs/>
          <w:sz w:val="21"/>
          <w:szCs w:val="21"/>
          <w:lang w:val="en-US" w:eastAsia="zh-CN"/>
        </w:rPr>
        <w:t>1.企业集团的构成</w:t>
      </w:r>
      <w:bookmarkEnd w:id="364"/>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05"/>
        <w:gridCol w:w="1205"/>
        <w:gridCol w:w="1205"/>
        <w:gridCol w:w="1205"/>
        <w:gridCol w:w="1205"/>
        <w:gridCol w:w="1205"/>
        <w:gridCol w:w="1205"/>
        <w:gridCol w:w="120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子公司名称</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注册资本</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主要经营地</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注册地</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业务性质</w:t>
            </w:r>
          </w:p>
        </w:tc>
        <w:tc>
          <w:tcPr>
            <w:tcW w:w="2410"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持股比例</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取得方式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205" w:type="dxa"/>
            <w:vMerge w:val="continue"/>
            <w:tcBorders>
              <w:top w:val="single" w:color="auto" w:sz="2" w:space="0"/>
              <w:left w:val="single" w:color="auto" w:sz="2" w:space="0"/>
              <w:bottom w:val="single" w:color="auto" w:sz="2" w:space="0"/>
              <w:right w:val="single" w:color="auto" w:sz="2" w:space="0"/>
            </w:tcBorders>
            <w:vAlign w:val="center"/>
          </w:tcPr>
          <w:p/>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直接</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间接</w:t>
            </w:r>
          </w:p>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湖南博云东方粉末冶金有限公司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307,298,955.00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长沙市</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长沙市</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制造业</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97.07%</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同一控制下企业合并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长沙鑫航机轮刹车有限公司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377,000,000.00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长沙市</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长沙市</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制造业</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同一控制下企业合并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长沙伟徽高科技新材料有限公司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60,000,000.00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长沙市</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长沙市</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制造业</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非同一控制下企业合并</w:t>
            </w:r>
          </w:p>
        </w:tc>
      </w:tr>
    </w:tbl>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3"/>
        <w:rPr>
          <w:rFonts w:hint="eastAsia" w:ascii="宋体" w:hAnsi="宋体" w:eastAsia="宋体" w:cs="宋体"/>
          <w:b/>
          <w:bCs/>
          <w:sz w:val="21"/>
          <w:szCs w:val="21"/>
          <w:lang w:val="en-US" w:eastAsia="zh-CN"/>
        </w:rPr>
      </w:pPr>
      <w:bookmarkStart w:id="365" w:name="_Toc989236"/>
      <w:r>
        <w:rPr>
          <w:rFonts w:hint="eastAsia" w:ascii="宋体" w:hAnsi="宋体" w:eastAsia="宋体" w:cs="宋体"/>
          <w:b/>
          <w:bCs/>
          <w:sz w:val="21"/>
          <w:szCs w:val="21"/>
          <w:lang w:val="en-US" w:eastAsia="zh-CN"/>
        </w:rPr>
        <w:t>2.重要的非全资子公司</w:t>
      </w:r>
      <w:bookmarkEnd w:id="36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子公司名称</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少数股东持股比例</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本期归属于少数股东的损益</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本期向少数股东宣告分派的股利</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期末少数股东权益余额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湖南博云东方粉末冶金有限公司</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-1,207,122.42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21,811,935.95</w:t>
            </w:r>
          </w:p>
        </w:tc>
      </w:tr>
    </w:tbl>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3"/>
        <w:rPr>
          <w:rFonts w:hint="eastAsia" w:ascii="宋体" w:hAnsi="宋体" w:eastAsia="宋体" w:cs="宋体"/>
          <w:b/>
          <w:bCs/>
          <w:sz w:val="21"/>
          <w:szCs w:val="21"/>
          <w:lang w:val="en-US" w:eastAsia="zh-CN"/>
        </w:rPr>
      </w:pPr>
      <w:bookmarkStart w:id="366" w:name="_Toc989237"/>
      <w:r>
        <w:rPr>
          <w:rFonts w:hint="eastAsia" w:ascii="宋体" w:hAnsi="宋体" w:eastAsia="宋体" w:cs="宋体"/>
          <w:b/>
          <w:bCs/>
          <w:sz w:val="21"/>
          <w:szCs w:val="21"/>
          <w:lang w:val="en-US" w:eastAsia="zh-CN"/>
        </w:rPr>
        <w:t>3.重要非全资子公司的主要财务信息</w:t>
      </w:r>
      <w:bookmarkEnd w:id="366"/>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41"/>
        <w:gridCol w:w="741"/>
        <w:gridCol w:w="741"/>
        <w:gridCol w:w="741"/>
        <w:gridCol w:w="741"/>
        <w:gridCol w:w="741"/>
        <w:gridCol w:w="741"/>
        <w:gridCol w:w="741"/>
        <w:gridCol w:w="741"/>
        <w:gridCol w:w="741"/>
        <w:gridCol w:w="741"/>
        <w:gridCol w:w="741"/>
        <w:gridCol w:w="74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子公司名称</w:t>
            </w:r>
          </w:p>
        </w:tc>
        <w:tc>
          <w:tcPr>
            <w:tcW w:w="4449" w:type="dxa"/>
            <w:gridSpan w:val="6"/>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4449" w:type="dxa"/>
            <w:gridSpan w:val="6"/>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流动资产</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非流动资产</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资产合计</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流动负债</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非流动负债</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负债合计</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流动资产</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非流动资产</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资产合计</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流动负债</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非流动负债</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负债合计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湖南博云东方粉末冶金有限公司</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668,239,263.20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669,726,228.49</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1,337,965,491.69</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562,407,870.81</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29,953,821.00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592,361,691.81</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576,746,372.88</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603,059,139.03</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1,179,805,511.91</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359,373,892.18</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33,849,292.90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393,223,185.08</w:t>
            </w:r>
          </w:p>
        </w:tc>
      </w:tr>
    </w:tbl>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子公司名称</w:t>
            </w:r>
          </w:p>
        </w:tc>
        <w:tc>
          <w:tcPr>
            <w:tcW w:w="4284"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4284"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营业收入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净利润</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综合收益总额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经营活动现金流量</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营业收入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净利润</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综合收益总额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经营活动现金流量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湖南博云东方粉末冶金有限公司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362,165,929.02</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-48,916,232.82</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-40,978,526.95</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-55,860,784.09</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259,823,727.11</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1,337,929.71</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1,413,175.61</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hint="eastAsia" w:ascii="宋体" w:hAnsi="宋体" w:eastAsia="宋体" w:cs="宋体"/>
                <w:sz w:val="18"/>
                <w:szCs w:val="18"/>
                <w:highlight w:val="none"/>
                <w:shd w:val="clear"/>
              </w:rPr>
              <w:t>-13</w:t>
            </w:r>
            <w:r>
              <w:rPr>
                <w:rFonts w:ascii="宋体" w:hAnsi="宋体" w:eastAsia="宋体" w:cs="宋体"/>
                <w:sz w:val="18"/>
                <w:szCs w:val="18"/>
                <w:highlight w:val="none"/>
                <w:shd w:val="clear"/>
              </w:rPr>
              <w:t>,</w:t>
            </w:r>
            <w:r>
              <w:rPr>
                <w:rFonts w:hint="eastAsia" w:ascii="宋体" w:hAnsi="宋体" w:eastAsia="宋体" w:cs="宋体"/>
                <w:sz w:val="18"/>
                <w:szCs w:val="18"/>
                <w:highlight w:val="none"/>
                <w:shd w:val="clear"/>
              </w:rPr>
              <w:t>977</w:t>
            </w:r>
            <w:r>
              <w:rPr>
                <w:rFonts w:ascii="宋体" w:hAnsi="宋体" w:eastAsia="宋体" w:cs="宋体"/>
                <w:sz w:val="18"/>
                <w:szCs w:val="18"/>
                <w:highlight w:val="none"/>
                <w:shd w:val="clear"/>
              </w:rPr>
              <w:t>,</w:t>
            </w:r>
            <w:r>
              <w:rPr>
                <w:rFonts w:hint="eastAsia" w:ascii="宋体" w:hAnsi="宋体" w:eastAsia="宋体" w:cs="宋体"/>
                <w:sz w:val="18"/>
                <w:szCs w:val="18"/>
                <w:highlight w:val="none"/>
                <w:shd w:val="clear"/>
              </w:rPr>
              <w:t>802.24</w:t>
            </w:r>
          </w:p>
        </w:tc>
      </w:tr>
    </w:tbl>
    <w:p>
      <w:pPr>
        <w:keepNext/>
        <w:keepLines/>
        <w:spacing w:before="300" w:after="300" w:line="280" w:lineRule="exact"/>
        <w:jc w:val="left"/>
        <w:outlineLvl w:val="2"/>
        <w:rPr>
          <w:rFonts w:ascii="宋体" w:hAnsi="宋体" w:eastAsia="宋体" w:cs="宋体"/>
          <w:b/>
          <w:bCs/>
          <w:sz w:val="21"/>
          <w:szCs w:val="21"/>
        </w:rPr>
      </w:pPr>
      <w:bookmarkStart w:id="367" w:name="_Toc989238"/>
      <w:r>
        <w:rPr>
          <w:rFonts w:hint="eastAsia" w:ascii="宋体" w:hAnsi="宋体" w:cs="宋体"/>
          <w:b/>
          <w:bCs/>
          <w:sz w:val="21"/>
          <w:szCs w:val="21"/>
          <w:lang w:eastAsia="zh-CN"/>
        </w:rPr>
        <w:t>（二）</w:t>
      </w:r>
      <w:r>
        <w:rPr>
          <w:rFonts w:ascii="宋体" w:hAnsi="宋体" w:eastAsia="宋体" w:cs="宋体"/>
          <w:b/>
          <w:bCs/>
          <w:sz w:val="21"/>
          <w:szCs w:val="21"/>
        </w:rPr>
        <w:t>在合营安排或联营企业中的权益</w:t>
      </w:r>
      <w:bookmarkEnd w:id="367"/>
    </w:p>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3"/>
        <w:rPr>
          <w:rFonts w:hint="eastAsia" w:ascii="宋体" w:hAnsi="宋体" w:eastAsia="宋体" w:cs="宋体"/>
          <w:b/>
          <w:bCs/>
          <w:sz w:val="21"/>
          <w:szCs w:val="21"/>
          <w:lang w:val="en-US" w:eastAsia="zh-CN"/>
        </w:rPr>
      </w:pPr>
      <w:bookmarkStart w:id="368" w:name="_Toc989239"/>
      <w:r>
        <w:rPr>
          <w:rFonts w:hint="eastAsia" w:ascii="宋体" w:hAnsi="宋体" w:eastAsia="宋体" w:cs="宋体"/>
          <w:b/>
          <w:bCs/>
          <w:sz w:val="21"/>
          <w:szCs w:val="21"/>
          <w:lang w:val="en-US" w:eastAsia="zh-CN"/>
        </w:rPr>
        <w:t>1.重要的合营企业或联营企业</w:t>
      </w:r>
      <w:bookmarkEnd w:id="368"/>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合营企业或联营企业名称</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主要经营地</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注册地</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业务性质</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持股比例</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对合营企业或联营企业投资的会计处理方法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直接</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间接</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霍尼韦尔博云航空系统（湖南）有限公司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长沙</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长沙</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制造业</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权益法</w:t>
            </w:r>
          </w:p>
        </w:tc>
      </w:tr>
    </w:tbl>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3"/>
        <w:rPr>
          <w:rFonts w:hint="eastAsia" w:ascii="宋体" w:hAnsi="宋体" w:eastAsia="宋体" w:cs="宋体"/>
          <w:b/>
          <w:bCs/>
          <w:sz w:val="21"/>
          <w:szCs w:val="21"/>
          <w:lang w:val="en-US" w:eastAsia="zh-CN"/>
        </w:rPr>
      </w:pPr>
      <w:bookmarkStart w:id="369" w:name="_Toc989240"/>
      <w:r>
        <w:rPr>
          <w:rFonts w:hint="eastAsia" w:ascii="宋体" w:hAnsi="宋体" w:eastAsia="宋体" w:cs="宋体"/>
          <w:b/>
          <w:bCs/>
          <w:sz w:val="21"/>
          <w:szCs w:val="21"/>
          <w:lang w:val="en-US" w:eastAsia="zh-CN"/>
        </w:rPr>
        <w:t>2.重要联营企业的主要财务信息</w:t>
      </w:r>
      <w:bookmarkEnd w:id="36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霍尼韦尔博云航空系统（湖南）有限公司</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霍尼韦尔博云航空系统（湖南）有限公司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85,167,201.77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108,917,010.31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160,655,174.02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167,316,923.27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资产合计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245,822,375.79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276,233,933.58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71,085,560.52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72,859,989.99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172,251,709.16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169,110,941.00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243,337,269.68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241,970,930.99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少数股东权益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归属于母公司股东权益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2,485,106.11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34,263,002.59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按持股比例计算的净资产份额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1,217,701.99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16,788,871.27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调整事项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-1,662,539.43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-1,878,456.54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--商誉</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--内部交易未实现利润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-1,662,539.43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-1,878,456.54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对联营企业权益投资的账面价值</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14,910,414.73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存在公开报价的联营企业权益投资的公允价值</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营业收入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6,692,184.22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9,945,289.11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净利润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-31,777,896.48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-33,700,100.09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终止经营的净利润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综合收益总额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-31,777,896.48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-33,700,100.09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本年度收到的来自联营企业的股利</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3"/>
        <w:rPr>
          <w:rFonts w:hint="eastAsia" w:ascii="宋体" w:hAnsi="宋体" w:eastAsia="宋体" w:cs="宋体"/>
          <w:b/>
          <w:bCs/>
          <w:sz w:val="21"/>
          <w:szCs w:val="21"/>
          <w:lang w:val="en-US" w:eastAsia="zh-CN"/>
        </w:rPr>
      </w:pPr>
      <w:bookmarkStart w:id="370" w:name="_Toc989241"/>
      <w:r>
        <w:rPr>
          <w:rFonts w:hint="eastAsia" w:ascii="宋体" w:hAnsi="宋体" w:eastAsia="宋体" w:cs="宋体"/>
          <w:b/>
          <w:bCs/>
          <w:sz w:val="21"/>
          <w:szCs w:val="21"/>
          <w:lang w:val="en-US" w:eastAsia="zh-CN"/>
        </w:rPr>
        <w:t>3.合营企业或联营企业发生的超额亏损</w:t>
      </w:r>
      <w:bookmarkEnd w:id="370"/>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合营企业或联营企业名称</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累积未确认前期累计的损失</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本期未确认的损失（或本期分享的净利润）</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本期末累积未确认的损失</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霍尼韦尔博云航空系统（湖南）有限公司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-444,837.44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-444,837.44</w:t>
            </w:r>
          </w:p>
        </w:tc>
      </w:tr>
    </w:tbl>
    <w:p>
      <w:pPr>
        <w:keepNext/>
        <w:keepLines/>
        <w:spacing w:before="300" w:after="300" w:line="320" w:lineRule="exact"/>
        <w:jc w:val="left"/>
        <w:outlineLvl w:val="1"/>
        <w:rPr>
          <w:rFonts w:ascii="宋体" w:hAnsi="宋体" w:eastAsia="宋体" w:cs="宋体"/>
          <w:b/>
          <w:bCs/>
          <w:sz w:val="24"/>
          <w:szCs w:val="24"/>
        </w:rPr>
      </w:pPr>
      <w:bookmarkStart w:id="371" w:name="_Toc989242"/>
      <w:r>
        <w:rPr>
          <w:rFonts w:ascii="宋体" w:hAnsi="宋体" w:eastAsia="宋体" w:cs="宋体"/>
          <w:b/>
          <w:bCs/>
          <w:sz w:val="24"/>
          <w:szCs w:val="24"/>
        </w:rPr>
        <w:t>十一、政府补助</w:t>
      </w:r>
      <w:bookmarkEnd w:id="371"/>
    </w:p>
    <w:p>
      <w:pPr>
        <w:keepNext/>
        <w:keepLines/>
        <w:spacing w:before="300" w:after="300" w:line="280" w:lineRule="exact"/>
        <w:jc w:val="left"/>
        <w:outlineLvl w:val="2"/>
        <w:rPr>
          <w:rFonts w:ascii="宋体" w:hAnsi="宋体" w:eastAsia="宋体" w:cs="宋体"/>
          <w:b/>
          <w:bCs/>
          <w:sz w:val="21"/>
          <w:szCs w:val="21"/>
        </w:rPr>
      </w:pPr>
      <w:bookmarkStart w:id="372" w:name="_Toc989243"/>
      <w:r>
        <w:rPr>
          <w:rFonts w:hint="eastAsia" w:ascii="宋体" w:hAnsi="宋体" w:cs="宋体"/>
          <w:b/>
          <w:bCs/>
          <w:sz w:val="21"/>
          <w:szCs w:val="21"/>
          <w:lang w:eastAsia="zh-CN"/>
        </w:rPr>
        <w:t>（一）</w:t>
      </w:r>
      <w:r>
        <w:rPr>
          <w:rFonts w:ascii="宋体" w:hAnsi="宋体" w:eastAsia="宋体" w:cs="宋体"/>
          <w:b/>
          <w:bCs/>
          <w:sz w:val="21"/>
          <w:szCs w:val="21"/>
        </w:rPr>
        <w:t>报告期末按应收金额确认的政府补助</w:t>
      </w:r>
      <w:bookmarkEnd w:id="372"/>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0" w:after="0" w:line="240" w:lineRule="exact"/>
        <w:jc w:val="left"/>
        <w:rPr>
          <w:rFonts w:ascii="宋体" w:hAnsi="宋体" w:eastAsia="宋体" w:cs="宋体"/>
          <w:sz w:val="18"/>
          <w:szCs w:val="18"/>
        </w:rPr>
      </w:pPr>
      <w:r>
        <w:rPr>
          <w:rFonts w:ascii="宋体" w:hAnsi="宋体" w:eastAsia="宋体" w:cs="宋体"/>
          <w:sz w:val="18"/>
          <w:szCs w:val="18"/>
        </w:rPr>
        <w:t>未能在预计时点收到预计金额的政府补助的原因</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pageBreakBefore w:val="0"/>
        <w:widowControl w:val="0"/>
        <w:kinsoku/>
        <w:wordWrap/>
        <w:overflowPunct/>
        <w:topLinePunct w:val="0"/>
        <w:autoSpaceDE/>
        <w:autoSpaceDN/>
        <w:bidi w:val="0"/>
        <w:adjustRightInd/>
        <w:snapToGrid/>
        <w:spacing w:before="300" w:after="120" w:line="280" w:lineRule="exact"/>
        <w:jc w:val="left"/>
        <w:textAlignment w:val="auto"/>
        <w:outlineLvl w:val="2"/>
        <w:rPr>
          <w:rFonts w:ascii="宋体" w:hAnsi="宋体" w:eastAsia="宋体" w:cs="宋体"/>
          <w:b/>
          <w:bCs/>
          <w:sz w:val="21"/>
          <w:szCs w:val="21"/>
        </w:rPr>
      </w:pPr>
      <w:bookmarkStart w:id="373" w:name="_Toc989244"/>
      <w:r>
        <w:rPr>
          <w:rFonts w:hint="eastAsia" w:ascii="宋体" w:hAnsi="宋体" w:cs="宋体"/>
          <w:b/>
          <w:bCs/>
          <w:sz w:val="21"/>
          <w:szCs w:val="21"/>
          <w:lang w:eastAsia="zh-CN"/>
        </w:rPr>
        <w:t>（二）</w:t>
      </w:r>
      <w:r>
        <w:rPr>
          <w:rFonts w:ascii="宋体" w:hAnsi="宋体" w:eastAsia="宋体" w:cs="宋体"/>
          <w:b/>
          <w:bCs/>
          <w:sz w:val="21"/>
          <w:szCs w:val="21"/>
        </w:rPr>
        <w:t>涉及政府补助的负债项目</w:t>
      </w:r>
      <w:bookmarkEnd w:id="373"/>
    </w:p>
    <w:p>
      <w:pPr>
        <w:pageBreakBefore w:val="0"/>
        <w:widowControl w:val="0"/>
        <w:kinsoku/>
        <w:wordWrap/>
        <w:overflowPunct/>
        <w:topLinePunct w:val="0"/>
        <w:autoSpaceDE/>
        <w:autoSpaceDN/>
        <w:bidi w:val="0"/>
        <w:adjustRightInd/>
        <w:snapToGrid/>
        <w:spacing w:before="100" w:after="120" w:line="240" w:lineRule="exact"/>
        <w:jc w:val="left"/>
        <w:textAlignment w:val="auto"/>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4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469"/>
        <w:gridCol w:w="1400"/>
        <w:gridCol w:w="982"/>
        <w:gridCol w:w="945"/>
        <w:gridCol w:w="1319"/>
        <w:gridCol w:w="936"/>
        <w:gridCol w:w="1384"/>
        <w:gridCol w:w="120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46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会计科目</w:t>
            </w:r>
          </w:p>
        </w:tc>
        <w:tc>
          <w:tcPr>
            <w:tcW w:w="14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98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本期新增补助金额</w:t>
            </w:r>
          </w:p>
        </w:tc>
        <w:tc>
          <w:tcPr>
            <w:tcW w:w="9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本期计入营业外收入金额</w:t>
            </w:r>
          </w:p>
        </w:tc>
        <w:tc>
          <w:tcPr>
            <w:tcW w:w="131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本期转入其他收益金额</w:t>
            </w:r>
          </w:p>
        </w:tc>
        <w:tc>
          <w:tcPr>
            <w:tcW w:w="93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本期其他变动</w:t>
            </w:r>
          </w:p>
        </w:tc>
        <w:tc>
          <w:tcPr>
            <w:tcW w:w="138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与资产/收益相关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46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C/C复合材料技术产业化项目</w:t>
            </w:r>
          </w:p>
        </w:tc>
        <w:tc>
          <w:tcPr>
            <w:tcW w:w="14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9,336,889.14</w:t>
            </w:r>
          </w:p>
        </w:tc>
        <w:tc>
          <w:tcPr>
            <w:tcW w:w="9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4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1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312,127.13</w:t>
            </w:r>
          </w:p>
        </w:tc>
        <w:tc>
          <w:tcPr>
            <w:tcW w:w="93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8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9,024,762.01</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与资产相关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46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国家炭/炭复合材料工程技术研究中心项目</w:t>
            </w:r>
          </w:p>
        </w:tc>
        <w:tc>
          <w:tcPr>
            <w:tcW w:w="14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1,375,000.00</w:t>
            </w:r>
          </w:p>
        </w:tc>
        <w:tc>
          <w:tcPr>
            <w:tcW w:w="9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4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1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300,000.00</w:t>
            </w:r>
          </w:p>
        </w:tc>
        <w:tc>
          <w:tcPr>
            <w:tcW w:w="93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8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1,075,000.00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与资产相关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46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305吨高性能碳/碳复合材料研发与产业化项目</w:t>
            </w:r>
          </w:p>
        </w:tc>
        <w:tc>
          <w:tcPr>
            <w:tcW w:w="14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6,826,827.33</w:t>
            </w:r>
          </w:p>
        </w:tc>
        <w:tc>
          <w:tcPr>
            <w:tcW w:w="9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4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1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2,027,987.61</w:t>
            </w:r>
          </w:p>
        </w:tc>
        <w:tc>
          <w:tcPr>
            <w:tcW w:w="93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8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4,798,839.72</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与资产相关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46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湘江新区经济发展局-第四批中央专项资金</w:t>
            </w:r>
          </w:p>
        </w:tc>
        <w:tc>
          <w:tcPr>
            <w:tcW w:w="14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7,328,737.99</w:t>
            </w:r>
          </w:p>
        </w:tc>
        <w:tc>
          <w:tcPr>
            <w:tcW w:w="9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4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1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735,749.27</w:t>
            </w:r>
          </w:p>
        </w:tc>
        <w:tc>
          <w:tcPr>
            <w:tcW w:w="93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8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6,592,988.72</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与资产相关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46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大批量高密度碳/碳刹车材料制备关键技术研究与应用</w:t>
            </w:r>
          </w:p>
        </w:tc>
        <w:tc>
          <w:tcPr>
            <w:tcW w:w="14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1,206,000.00</w:t>
            </w:r>
          </w:p>
        </w:tc>
        <w:tc>
          <w:tcPr>
            <w:tcW w:w="9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4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1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603,000.00</w:t>
            </w:r>
          </w:p>
        </w:tc>
        <w:tc>
          <w:tcPr>
            <w:tcW w:w="93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8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603,000.00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与收益相关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46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湖南省企业科技创新创业团队支持计划</w:t>
            </w:r>
          </w:p>
        </w:tc>
        <w:tc>
          <w:tcPr>
            <w:tcW w:w="14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333,333.33</w:t>
            </w:r>
          </w:p>
        </w:tc>
        <w:tc>
          <w:tcPr>
            <w:tcW w:w="9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4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1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166,666.66</w:t>
            </w:r>
          </w:p>
        </w:tc>
        <w:tc>
          <w:tcPr>
            <w:tcW w:w="93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8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166,666.67</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与收益相关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46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高效精密硬质合金工模具与高强韧性特粗晶硬质合金掘进刀具麓谷基地产业化项目</w:t>
            </w:r>
          </w:p>
        </w:tc>
        <w:tc>
          <w:tcPr>
            <w:tcW w:w="14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33,829,258.97</w:t>
            </w:r>
          </w:p>
        </w:tc>
        <w:tc>
          <w:tcPr>
            <w:tcW w:w="9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4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1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5,073,801.61</w:t>
            </w:r>
          </w:p>
        </w:tc>
        <w:tc>
          <w:tcPr>
            <w:tcW w:w="93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8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28,755,457.36</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与资产相关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46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湖南省重大科技专项</w:t>
            </w:r>
          </w:p>
        </w:tc>
        <w:tc>
          <w:tcPr>
            <w:tcW w:w="14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2,745,842.04</w:t>
            </w:r>
          </w:p>
        </w:tc>
        <w:tc>
          <w:tcPr>
            <w:tcW w:w="9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4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1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743,186.95</w:t>
            </w:r>
          </w:p>
        </w:tc>
        <w:tc>
          <w:tcPr>
            <w:tcW w:w="93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8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2,002,655.09</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与资产相关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46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2021年智能化改造项目</w:t>
            </w:r>
          </w:p>
        </w:tc>
        <w:tc>
          <w:tcPr>
            <w:tcW w:w="14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6,986,285.30</w:t>
            </w:r>
          </w:p>
        </w:tc>
        <w:tc>
          <w:tcPr>
            <w:tcW w:w="9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4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1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971,215.88</w:t>
            </w:r>
          </w:p>
        </w:tc>
        <w:tc>
          <w:tcPr>
            <w:tcW w:w="93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8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6,015,069.42</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与资产相关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46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C919研制保障条件建设项目</w:t>
            </w:r>
          </w:p>
        </w:tc>
        <w:tc>
          <w:tcPr>
            <w:tcW w:w="14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37,213,523.77</w:t>
            </w:r>
          </w:p>
        </w:tc>
        <w:tc>
          <w:tcPr>
            <w:tcW w:w="9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4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1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3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-37,213,523.77</w:t>
            </w:r>
          </w:p>
        </w:tc>
        <w:tc>
          <w:tcPr>
            <w:tcW w:w="138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与资产相关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46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军民融合产业发展项目</w:t>
            </w:r>
          </w:p>
        </w:tc>
        <w:tc>
          <w:tcPr>
            <w:tcW w:w="14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6,774,507.65</w:t>
            </w:r>
          </w:p>
        </w:tc>
        <w:tc>
          <w:tcPr>
            <w:tcW w:w="9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4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1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897,232.68</w:t>
            </w:r>
          </w:p>
        </w:tc>
        <w:tc>
          <w:tcPr>
            <w:tcW w:w="93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8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5,877,274.97</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与资产相关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46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2018年金属碳化物车间建设项目支持资金</w:t>
            </w:r>
          </w:p>
        </w:tc>
        <w:tc>
          <w:tcPr>
            <w:tcW w:w="14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2,287,500.00</w:t>
            </w:r>
          </w:p>
        </w:tc>
        <w:tc>
          <w:tcPr>
            <w:tcW w:w="9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4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1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150,000.00</w:t>
            </w:r>
          </w:p>
        </w:tc>
        <w:tc>
          <w:tcPr>
            <w:tcW w:w="93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8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2,137,500.00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与资产相关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46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合计</w:t>
            </w:r>
          </w:p>
        </w:tc>
        <w:tc>
          <w:tcPr>
            <w:tcW w:w="14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116,243,705.52</w:t>
            </w:r>
          </w:p>
        </w:tc>
        <w:tc>
          <w:tcPr>
            <w:tcW w:w="9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4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1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11,980,967.79</w:t>
            </w:r>
          </w:p>
        </w:tc>
        <w:tc>
          <w:tcPr>
            <w:tcW w:w="93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-37,213,523.77</w:t>
            </w:r>
          </w:p>
        </w:tc>
        <w:tc>
          <w:tcPr>
            <w:tcW w:w="138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67,049,213.96</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与资产相关</w:t>
            </w:r>
          </w:p>
        </w:tc>
      </w:tr>
    </w:tbl>
    <w:p>
      <w:pPr>
        <w:keepNext/>
        <w:keepLines/>
        <w:spacing w:before="300" w:after="300" w:line="280" w:lineRule="exact"/>
        <w:jc w:val="left"/>
        <w:outlineLvl w:val="2"/>
        <w:rPr>
          <w:rFonts w:ascii="宋体" w:hAnsi="宋体" w:eastAsia="宋体" w:cs="宋体"/>
          <w:b/>
          <w:bCs/>
          <w:sz w:val="21"/>
          <w:szCs w:val="21"/>
        </w:rPr>
      </w:pPr>
      <w:bookmarkStart w:id="374" w:name="_Toc989245"/>
      <w:r>
        <w:rPr>
          <w:rFonts w:hint="eastAsia" w:ascii="宋体" w:hAnsi="宋体" w:cs="宋体"/>
          <w:b/>
          <w:bCs/>
          <w:sz w:val="21"/>
          <w:szCs w:val="21"/>
          <w:lang w:eastAsia="zh-CN"/>
        </w:rPr>
        <w:t>（三）</w:t>
      </w:r>
      <w:r>
        <w:rPr>
          <w:rFonts w:ascii="宋体" w:hAnsi="宋体" w:eastAsia="宋体" w:cs="宋体"/>
          <w:b/>
          <w:bCs/>
          <w:sz w:val="21"/>
          <w:szCs w:val="21"/>
        </w:rPr>
        <w:t>计入当期损益的政府补助</w:t>
      </w:r>
      <w:bookmarkEnd w:id="374"/>
    </w:p>
    <w:p>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会计科目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C/C复合材料技术产业化项目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312,127.13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312,127.11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航空航天用炭炭复合材料高技术产业化项目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274,413.60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国家炭/炭复合材料工程技术研究中心项目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300,000.00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300,000.00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305吨高性能碳/碳复合材料研发与产业化项目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2,027,987.61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1,617,151.54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湘江新区经济发展局-第四批中央专项资金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735,749.27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171,262.01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高效精密硬质合金工模具与高强韧性特粗晶硬质合金掘进刀具麓谷基地产业化项目设备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5,073,801.61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1,205,741.03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湖南省重大科技专项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743,186.95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2,254,157.96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2021年智能化改造项目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971,215.88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1,130,193.94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C919研制保障条件建设项目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5,256,229.56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军民融合产业发展项目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897,232.68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980,607.69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2018年金属碳化物车间建设项目支持资金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150,000.00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150,000.00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大批量高密度碳/碳刹车材料制备关键技术研究与应用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603,000.00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804,000.00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湖南省企业科技创新创业团队支持计划</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166,666.66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166,666.67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税费减免及退还</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4,634,597.35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2,567,926.26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2022年度湖南省工业企业技术改造经济贡献增量奖补资金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663,700.00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稳岗补贴</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225,502.22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227,435.88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highlight w:val="none"/>
              </w:rPr>
              <w:t>低烧结敏感性纳米碳化钨粉末制备项目款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213,000.00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350,000.00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2024年创客中国长沙市中小微企业创新创业大赛奖金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2024年度第一批创新型省份建设专项资金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湘江新区2022年度支持企业开展标准化建设补助</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150,000.00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高新技术企业补贴资金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40,000.00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其他小额政府补助</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1,500.00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35,000.00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收到2022年度省级人才发展专项资金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100,000.00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收到湖南湘江新区（长沙高新区）2021年度研发投入奖补项目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500,000.00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收到湖南湘江新区科技创新和产业促进局2021年度企业研发财政奖补资金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983,800.00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湖南省</w:t>
            </w:r>
            <w:r>
              <w:rPr>
                <w:rFonts w:hint="eastAsia" w:ascii="宋体" w:hAnsi="宋体" w:cs="宋体"/>
                <w:sz w:val="18"/>
                <w:szCs w:val="18"/>
                <w:lang w:eastAsia="zh-CN"/>
              </w:rPr>
              <w:t>军</w:t>
            </w:r>
            <w:r>
              <w:rPr>
                <w:rFonts w:ascii="宋体" w:hAnsi="宋体" w:eastAsia="宋体" w:cs="宋体"/>
                <w:sz w:val="18"/>
                <w:szCs w:val="18"/>
              </w:rPr>
              <w:t>民融合产业发展专项资金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900,000.00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2021年度湖南湘江新区先进制造业政策奖励资金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500,000.00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大飞机产业发展专项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2,937,700.00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工业企业技术改造贷款贴息市级负担资金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469,050.00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18,289,267.36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24,233,463.25</w:t>
            </w:r>
          </w:p>
        </w:tc>
      </w:tr>
    </w:tbl>
    <w:p>
      <w:pPr>
        <w:pStyle w:val="4"/>
        <w:keepNext w:val="0"/>
        <w:keepLines w:val="0"/>
        <w:widowControl/>
        <w:suppressLineNumbers w:val="0"/>
        <w:spacing w:before="0" w:beforeAutospacing="1" w:after="0" w:afterAutospacing="1"/>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其他说明：递延收益中其他变动金额</w:t>
      </w:r>
      <w:r>
        <w:rPr>
          <w:rFonts w:hint="default" w:ascii="Times New Roman" w:hAnsi="Times New Roman" w:eastAsia="宋体" w:cs="Times New Roman"/>
          <w:color w:val="000000"/>
          <w:sz w:val="21"/>
          <w:szCs w:val="21"/>
        </w:rPr>
        <w:t>37,213,523.77</w:t>
      </w:r>
      <w:r>
        <w:rPr>
          <w:rFonts w:hint="eastAsia" w:ascii="宋体" w:hAnsi="宋体" w:eastAsia="宋体" w:cs="宋体"/>
          <w:color w:val="000000"/>
          <w:sz w:val="21"/>
          <w:szCs w:val="21"/>
        </w:rPr>
        <w:t>元系研制保障条件建设项目补贴变更为资本金注入，转入专项应付款所致。</w:t>
      </w:r>
      <w:bookmarkStart w:id="375" w:name="_Toc989246"/>
    </w:p>
    <w:p>
      <w:pPr>
        <w:keepNext/>
        <w:keepLines/>
        <w:spacing w:before="300" w:after="300" w:line="320" w:lineRule="exact"/>
        <w:jc w:val="left"/>
        <w:outlineLvl w:val="1"/>
        <w:rPr>
          <w:rFonts w:ascii="宋体" w:hAnsi="宋体" w:eastAsia="宋体" w:cs="宋体"/>
          <w:b/>
          <w:bCs/>
          <w:sz w:val="24"/>
          <w:szCs w:val="24"/>
        </w:rPr>
      </w:pPr>
      <w:r>
        <w:rPr>
          <w:rFonts w:hint="eastAsia" w:ascii="宋体" w:hAnsi="宋体" w:eastAsia="宋体" w:cs="宋体"/>
          <w:b/>
          <w:bCs/>
          <w:sz w:val="24"/>
          <w:szCs w:val="24"/>
          <w:lang w:val="en-US" w:eastAsia="zh-CN"/>
        </w:rPr>
        <w:t>十二、</w:t>
      </w:r>
      <w:r>
        <w:rPr>
          <w:rFonts w:ascii="宋体" w:hAnsi="宋体" w:eastAsia="宋体" w:cs="宋体"/>
          <w:b/>
          <w:bCs/>
          <w:sz w:val="24"/>
          <w:szCs w:val="24"/>
        </w:rPr>
        <w:t>与金融工具相关的风险</w:t>
      </w:r>
      <w:bookmarkEnd w:id="375"/>
      <w:bookmarkStart w:id="376" w:name="_Toc989247"/>
    </w:p>
    <w:bookmarkEnd w:id="376"/>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本公司报告期的金融工具，金融资产主要为因经营而直接产生的贷款与应收款项，如货币资金、应收票据、应收账款、其他应收款等；金融负债主要为因经营而直接产生的其他金融负债，如应付票据、应付账款、长短期借款等。这些金融工具的主要目的在于为本公司的运营融资。</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本公司的金融工具导致的主要风险主要包括信用风险、流动风险及市场风险。</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bookmarkStart w:id="377" w:name="OLE_LINK59"/>
      <w:bookmarkEnd w:id="377"/>
      <w:r>
        <w:rPr>
          <w:rFonts w:hint="eastAsia" w:ascii="宋体" w:hAnsi="宋体" w:eastAsia="宋体" w:cs="宋体"/>
          <w:color w:val="000000"/>
          <w:sz w:val="21"/>
          <w:szCs w:val="21"/>
        </w:rPr>
        <w:t>（1）信用风险</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本公司的金融资产主要为货币资金、应收票据、应收账款、其他应收款、交易性金融资产。信用风险主要来源于客户等未能如期偿付的应收款项，最大的风险敞口等于这些金融工具的账面金额。</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1）信用风险显著增加判断标准：</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本公司在每个资产负债表日评估相关金融工具的信用风险自初始确认后是否已显著增加。</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在确定信用风险自初始确认后是否显著增加时，本公司考虑在无须付出不必要的额外成本或努力即可获得合理且有依据的信息，包括基于本公司历史数据的定性和定量分析、外部信用风险评级以及前瞻性信息。本公司以单项金融工具或者具有相似信用风险特征的金融工具组合为基础，通过比较金融工具在资产负债表日发生违约的风险与在初始确认日发生违约的风险，以确定金融工具预计存续期内发生违约风险的变化情况。</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当触发以下一个或多个定量、定性标准时，本公司认为金融工具的信用风险已发生显著增加：</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bookmarkStart w:id="378" w:name="OLE_LINK55"/>
      <w:bookmarkEnd w:id="378"/>
      <w:r>
        <w:rPr>
          <w:rFonts w:hint="default" w:ascii="Times New Roman" w:hAnsi="Times New Roman" w:eastAsia="宋体" w:cs="Times New Roman"/>
          <w:sz w:val="24"/>
          <w:szCs w:val="24"/>
        </w:rPr>
        <w:t>①</w:t>
      </w:r>
      <w:r>
        <w:rPr>
          <w:rFonts w:hint="eastAsia" w:ascii="宋体" w:hAnsi="宋体" w:eastAsia="宋体" w:cs="宋体"/>
          <w:color w:val="000000"/>
          <w:sz w:val="21"/>
          <w:szCs w:val="21"/>
        </w:rPr>
        <w:t>定量标准主要为报告日剩余存续期违约概率较初始确认时上升超过100%。</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bookmarkStart w:id="379" w:name="OLE_LINK56"/>
      <w:bookmarkEnd w:id="379"/>
      <w:r>
        <w:rPr>
          <w:rFonts w:hint="default" w:ascii="Times New Roman" w:hAnsi="Times New Roman" w:eastAsia="宋体" w:cs="Times New Roman"/>
          <w:sz w:val="24"/>
          <w:szCs w:val="24"/>
        </w:rPr>
        <w:t>②</w:t>
      </w:r>
      <w:r>
        <w:rPr>
          <w:rFonts w:hint="eastAsia" w:ascii="宋体" w:hAnsi="宋体" w:eastAsia="宋体" w:cs="宋体"/>
          <w:color w:val="000000"/>
          <w:sz w:val="21"/>
          <w:szCs w:val="21"/>
        </w:rPr>
        <w:t>定性标准主要债务人经营或财务情况出现重大不利变化、预警客户清单等。</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2）已发生信用减值资产的定义：</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为确定是否发生信用减值，本公司所采用的界定标准，与内部针对相关金融工具的信用风险管理目标保持一致，同时考虑定量、定性指标。本公司评估债务人是否发生信用减值时，主要考虑以下因素：</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default" w:ascii="Times New Roman" w:hAnsi="Times New Roman" w:eastAsia="宋体" w:cs="Times New Roman"/>
          <w:sz w:val="24"/>
          <w:szCs w:val="24"/>
        </w:rPr>
        <w:t>①</w:t>
      </w:r>
      <w:r>
        <w:rPr>
          <w:rFonts w:hint="eastAsia" w:ascii="宋体" w:hAnsi="宋体" w:eastAsia="宋体" w:cs="宋体"/>
          <w:color w:val="000000"/>
          <w:sz w:val="21"/>
          <w:szCs w:val="21"/>
        </w:rPr>
        <w:t>发行方或债务人发生重大财务困难；</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bookmarkStart w:id="380" w:name="OLE_LINK57"/>
      <w:bookmarkEnd w:id="380"/>
      <w:r>
        <w:rPr>
          <w:rFonts w:hint="default" w:ascii="Times New Roman" w:hAnsi="Times New Roman" w:eastAsia="宋体" w:cs="Times New Roman"/>
          <w:sz w:val="24"/>
          <w:szCs w:val="24"/>
        </w:rPr>
        <w:t>②</w:t>
      </w:r>
      <w:r>
        <w:rPr>
          <w:rFonts w:hint="eastAsia" w:ascii="宋体" w:hAnsi="宋体" w:eastAsia="宋体" w:cs="宋体"/>
          <w:color w:val="000000"/>
          <w:sz w:val="21"/>
          <w:szCs w:val="21"/>
        </w:rPr>
        <w:t>债务人违反合同，如偿付利息或本金违约或逾期等；</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bookmarkStart w:id="381" w:name="OLE_LINK58"/>
      <w:bookmarkEnd w:id="381"/>
      <w:r>
        <w:rPr>
          <w:rFonts w:hint="default" w:ascii="Times New Roman" w:hAnsi="Times New Roman" w:eastAsia="宋体" w:cs="Times New Roman"/>
          <w:sz w:val="24"/>
          <w:szCs w:val="24"/>
        </w:rPr>
        <w:t>③</w:t>
      </w:r>
      <w:r>
        <w:rPr>
          <w:rFonts w:hint="eastAsia" w:ascii="宋体" w:hAnsi="宋体" w:eastAsia="宋体" w:cs="宋体"/>
          <w:color w:val="000000"/>
          <w:sz w:val="21"/>
          <w:szCs w:val="21"/>
        </w:rPr>
        <w:t>债权人出于与债务人财务困难有关的经济或合同考虑，给予债务人在任何其他情况下都不会做出的让步；</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default" w:ascii="Times New Roman" w:hAnsi="Times New Roman" w:eastAsia="宋体" w:cs="Times New Roman"/>
          <w:sz w:val="24"/>
          <w:szCs w:val="24"/>
        </w:rPr>
        <w:t>④</w:t>
      </w:r>
      <w:r>
        <w:rPr>
          <w:rFonts w:hint="eastAsia" w:ascii="宋体" w:hAnsi="宋体" w:eastAsia="宋体" w:cs="宋体"/>
          <w:color w:val="000000"/>
          <w:sz w:val="21"/>
          <w:szCs w:val="21"/>
        </w:rPr>
        <w:t>债务人很可能破产或进行其他财务重组；</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default" w:ascii="Times New Roman" w:hAnsi="Times New Roman" w:eastAsia="宋体" w:cs="Times New Roman"/>
          <w:sz w:val="24"/>
          <w:szCs w:val="24"/>
        </w:rPr>
        <w:t>⑤</w:t>
      </w:r>
      <w:r>
        <w:rPr>
          <w:rFonts w:hint="eastAsia" w:ascii="宋体" w:hAnsi="宋体" w:eastAsia="宋体" w:cs="宋体"/>
          <w:color w:val="000000"/>
          <w:sz w:val="21"/>
          <w:szCs w:val="21"/>
        </w:rPr>
        <w:t>发行方或债务人财务困难导致该金融资产的活跃市场消失；</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default" w:ascii="Times New Roman" w:hAnsi="Times New Roman" w:eastAsia="宋体" w:cs="Times New Roman"/>
          <w:sz w:val="24"/>
          <w:szCs w:val="24"/>
        </w:rPr>
        <w:t>⑥</w:t>
      </w:r>
      <w:r>
        <w:rPr>
          <w:rFonts w:hint="eastAsia" w:ascii="宋体" w:hAnsi="宋体" w:eastAsia="宋体" w:cs="宋体"/>
          <w:color w:val="000000"/>
          <w:sz w:val="21"/>
          <w:szCs w:val="21"/>
        </w:rPr>
        <w:t>以大幅折扣购买或源生一项金融资产，该折扣反映了发生信用损失的事实；</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金融资产发生信用减值，有可能是多个事件的共同作用所致，未必是可单独识别的事件所致。</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3）预期信用损失计量的参数</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根据信用风险是否发生显著增加以及是否已发生信用减值，本公司对不同的资产分别以12 个月或整个存续期的预期信用损失计量减值准备。预期信用损失计量的关键参数包括违约损失率和违约风险敞口。本公司考虑历史统计数据(回款期限以及还款方式等)的定量分析及前瞻性信息，建立违约概率、违约损失率及违约风险敞口的违约损失率模型。</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相关定义如下：</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default" w:ascii="Times New Roman" w:hAnsi="Times New Roman" w:eastAsia="宋体" w:cs="Times New Roman"/>
          <w:sz w:val="24"/>
          <w:szCs w:val="24"/>
        </w:rPr>
        <w:t>①</w:t>
      </w:r>
      <w:r>
        <w:rPr>
          <w:rFonts w:hint="eastAsia" w:ascii="宋体" w:hAnsi="宋体" w:eastAsia="宋体" w:cs="宋体"/>
          <w:color w:val="000000"/>
          <w:sz w:val="21"/>
          <w:szCs w:val="21"/>
        </w:rPr>
        <w:t>违约概率是指债务人在未来12个月或在整个剩余存续期，无法履行其偿付义务的可能性。本公司的违约概率以应收款项历史迁移率模型为基础且考虑业绩增长因素进行调整，加入前瞻性信息，以反映当前宏观经济环境下债务人违约概率；</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default" w:ascii="Times New Roman" w:hAnsi="Times New Roman" w:eastAsia="宋体" w:cs="Times New Roman"/>
          <w:sz w:val="24"/>
          <w:szCs w:val="24"/>
        </w:rPr>
        <w:t>②</w:t>
      </w:r>
      <w:r>
        <w:rPr>
          <w:rFonts w:hint="eastAsia" w:ascii="宋体" w:hAnsi="宋体" w:eastAsia="宋体" w:cs="宋体"/>
          <w:color w:val="000000"/>
          <w:sz w:val="21"/>
          <w:szCs w:val="21"/>
        </w:rPr>
        <w:t>违约损失率是指本公司对违约风险暴露发生损失程度作出的预期。违约损失率为违约发生时风险敞口损失的百分比，以未来12个月内或整个存续期为基准进行计算；</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default" w:ascii="Times New Roman" w:hAnsi="Times New Roman" w:eastAsia="宋体" w:cs="Times New Roman"/>
          <w:sz w:val="24"/>
          <w:szCs w:val="24"/>
        </w:rPr>
        <w:t>③</w:t>
      </w:r>
      <w:r>
        <w:rPr>
          <w:rFonts w:hint="eastAsia" w:ascii="宋体" w:hAnsi="宋体" w:eastAsia="宋体" w:cs="宋体"/>
          <w:color w:val="000000"/>
          <w:sz w:val="21"/>
          <w:szCs w:val="21"/>
        </w:rPr>
        <w:t>违约风险敞口是指，在未来12个月或在整个剩余存续期中，在违约发生时，本公司应被偿付的金额。</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前瞻性信息</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信用风险显著增加的评估及预期信用损失的计算均涉及前瞻性信息。本公司通过进行历史数据分析，识别出影响各业务类型信用风险及预期信用损失的关键经济指标。</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本公司的货币资金主要为银行存款、保证金性质的其他货币资金，主要存放于在国内A股上市的部分商业银行；应收票据主要为银行承兑汇票；交易性金融资产为购买银行的理财产品。本公司管理层认为上述金融资产不存在重大的信用风险。</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 xml:space="preserve">本公司应收账款主要为飞机刹车材料、军用及民用CC复合材料和粉末冶金材料销售形成的应收账款，其中：飞机刹车材料和军用CC复合材料销售客户，主要为国内航空公司、部队等军方和军工产品配套企业等，相应主要客户较为稳定且优质，报告期末，本公司管理层根据公司坏账准备计提政策，合理的计提了坏账准备。本公司管理层认为，上述应收账款不存在重大信用风险。 </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本公司其他应收款，主要为企业往来款、备用金等，已根据公司相应坏账准备计提政策，合理的计提了减值准备，本公司管理层认为，其他应收款所产生的信用风险是可控的。</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（2）流动性风险</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本公司采用循环流动性计划工具管理资金短缺风险。该工具既考虑其金融工具的到期日，也考虑本公司运营产生的预计现金流量。</w:t>
      </w:r>
    </w:p>
    <w:p>
      <w:pPr>
        <w:pStyle w:val="4"/>
        <w:keepNext w:val="0"/>
        <w:keepLines w:val="0"/>
        <w:widowControl/>
        <w:suppressLineNumbers w:val="0"/>
        <w:spacing w:before="0" w:beforeAutospacing="0" w:after="0" w:afterAutospacing="0" w:line="360" w:lineRule="atLeast"/>
        <w:ind w:left="0" w:right="0" w:firstLine="420"/>
        <w:jc w:val="left"/>
        <w:rPr>
          <w:rFonts w:hint="eastAsia" w:ascii="宋体" w:hAnsi="宋体" w:eastAsia="宋体" w:cs="宋体"/>
          <w:color w:val="000000"/>
          <w:sz w:val="21"/>
          <w:szCs w:val="21"/>
        </w:rPr>
      </w:pPr>
      <w:r>
        <w:rPr>
          <w:rFonts w:hint="eastAsia" w:ascii="宋体" w:hAnsi="宋体" w:eastAsia="宋体" w:cs="宋体"/>
          <w:color w:val="000000"/>
          <w:sz w:val="21"/>
          <w:szCs w:val="21"/>
        </w:rPr>
        <w:t>金融负债按未折现的合同现金流量所做的到期期限分析</w:t>
      </w:r>
    </w:p>
    <w:tbl>
      <w:tblPr>
        <w:tblStyle w:val="8"/>
        <w:tblW w:w="4579" w:type="pct"/>
        <w:tblInd w:w="72"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autofit"/>
        <w:tblCellMar>
          <w:top w:w="0" w:type="dxa"/>
          <w:left w:w="108" w:type="dxa"/>
          <w:bottom w:w="0" w:type="dxa"/>
          <w:right w:w="108" w:type="dxa"/>
        </w:tblCellMar>
      </w:tblPr>
      <w:tblGrid>
        <w:gridCol w:w="2244"/>
        <w:gridCol w:w="1699"/>
        <w:gridCol w:w="1435"/>
        <w:gridCol w:w="2105"/>
        <w:gridCol w:w="1540"/>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454" w:hRule="atLeast"/>
          <w:tblHeader/>
        </w:trPr>
        <w:tc>
          <w:tcPr>
            <w:tcW w:w="124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项目</w:t>
            </w:r>
          </w:p>
        </w:tc>
        <w:tc>
          <w:tcPr>
            <w:tcW w:w="3755"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期末余额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454" w:hRule="atLeast"/>
          <w:tblHeader/>
        </w:trPr>
        <w:tc>
          <w:tcPr>
            <w:tcW w:w="124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eastAsia="宋体" w:cs="Times New Roman"/>
                <w:color w:val="000000"/>
                <w:sz w:val="18"/>
              </w:rPr>
            </w:pPr>
          </w:p>
        </w:tc>
        <w:tc>
          <w:tcPr>
            <w:tcW w:w="941"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1年以内</w:t>
            </w:r>
          </w:p>
        </w:tc>
        <w:tc>
          <w:tcPr>
            <w:tcW w:w="795"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1年以上</w:t>
            </w:r>
          </w:p>
        </w:tc>
        <w:tc>
          <w:tcPr>
            <w:tcW w:w="1166"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未折现合同金额合计</w:t>
            </w:r>
          </w:p>
        </w:tc>
        <w:tc>
          <w:tcPr>
            <w:tcW w:w="852"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账面价值</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454" w:hRule="atLeast"/>
        </w:trPr>
        <w:tc>
          <w:tcPr>
            <w:tcW w:w="1244"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短期借款</w:t>
            </w:r>
          </w:p>
        </w:tc>
        <w:tc>
          <w:tcPr>
            <w:tcW w:w="941"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righ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329,260,444.44</w:t>
            </w:r>
          </w:p>
        </w:tc>
        <w:tc>
          <w:tcPr>
            <w:tcW w:w="795"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right"/>
              <w:rPr>
                <w:rFonts w:ascii="Times New Roman" w:hAnsi="Times New Roman" w:eastAsia="宋体" w:cs="Times New Roman"/>
                <w:color w:val="000000"/>
                <w:sz w:val="18"/>
                <w:szCs w:val="18"/>
              </w:rPr>
            </w:pPr>
          </w:p>
        </w:tc>
        <w:tc>
          <w:tcPr>
            <w:tcW w:w="1166"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righ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329,260,444.44</w:t>
            </w:r>
          </w:p>
        </w:tc>
        <w:tc>
          <w:tcPr>
            <w:tcW w:w="852"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righ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320,257,847.26</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454" w:hRule="atLeast"/>
        </w:trPr>
        <w:tc>
          <w:tcPr>
            <w:tcW w:w="1244"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应付票据</w:t>
            </w:r>
          </w:p>
        </w:tc>
        <w:tc>
          <w:tcPr>
            <w:tcW w:w="941"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righ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113,510,103.41</w:t>
            </w:r>
          </w:p>
        </w:tc>
        <w:tc>
          <w:tcPr>
            <w:tcW w:w="795"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right"/>
              <w:rPr>
                <w:rFonts w:ascii="Times New Roman" w:hAnsi="Times New Roman" w:eastAsia="宋体" w:cs="Times New Roman"/>
                <w:color w:val="000000"/>
                <w:sz w:val="18"/>
                <w:szCs w:val="18"/>
              </w:rPr>
            </w:pPr>
          </w:p>
        </w:tc>
        <w:tc>
          <w:tcPr>
            <w:tcW w:w="1166"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righ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113,510,103.41</w:t>
            </w:r>
          </w:p>
        </w:tc>
        <w:tc>
          <w:tcPr>
            <w:tcW w:w="852"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righ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113,510,103.41</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454" w:hRule="atLeast"/>
        </w:trPr>
        <w:tc>
          <w:tcPr>
            <w:tcW w:w="1244"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应付账款</w:t>
            </w:r>
          </w:p>
        </w:tc>
        <w:tc>
          <w:tcPr>
            <w:tcW w:w="941"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righ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150,925,768.35</w:t>
            </w:r>
          </w:p>
        </w:tc>
        <w:tc>
          <w:tcPr>
            <w:tcW w:w="795"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righ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31,191,867.46</w:t>
            </w:r>
          </w:p>
        </w:tc>
        <w:tc>
          <w:tcPr>
            <w:tcW w:w="1166"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righ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182,117,635.81</w:t>
            </w:r>
          </w:p>
        </w:tc>
        <w:tc>
          <w:tcPr>
            <w:tcW w:w="852"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righ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182,117,635.81</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454" w:hRule="atLeast"/>
        </w:trPr>
        <w:tc>
          <w:tcPr>
            <w:tcW w:w="1244"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其他应付款</w:t>
            </w:r>
          </w:p>
        </w:tc>
        <w:tc>
          <w:tcPr>
            <w:tcW w:w="941"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righ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4,038,808.87</w:t>
            </w:r>
          </w:p>
        </w:tc>
        <w:tc>
          <w:tcPr>
            <w:tcW w:w="795"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righ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2,341,084.61</w:t>
            </w:r>
          </w:p>
        </w:tc>
        <w:tc>
          <w:tcPr>
            <w:tcW w:w="1166"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righ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6,379,893.48</w:t>
            </w:r>
          </w:p>
        </w:tc>
        <w:tc>
          <w:tcPr>
            <w:tcW w:w="852"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righ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6,379,893.48</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454" w:hRule="atLeast"/>
        </w:trPr>
        <w:tc>
          <w:tcPr>
            <w:tcW w:w="1244"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其他流动负债</w:t>
            </w:r>
          </w:p>
        </w:tc>
        <w:tc>
          <w:tcPr>
            <w:tcW w:w="941"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righ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49,490,019.02</w:t>
            </w:r>
          </w:p>
        </w:tc>
        <w:tc>
          <w:tcPr>
            <w:tcW w:w="795"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right"/>
              <w:rPr>
                <w:rFonts w:ascii="Times New Roman" w:hAnsi="Times New Roman" w:eastAsia="宋体" w:cs="Times New Roman"/>
                <w:color w:val="000000"/>
                <w:sz w:val="18"/>
                <w:szCs w:val="18"/>
              </w:rPr>
            </w:pPr>
          </w:p>
        </w:tc>
        <w:tc>
          <w:tcPr>
            <w:tcW w:w="1166"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righ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49,490,019.02</w:t>
            </w:r>
          </w:p>
        </w:tc>
        <w:tc>
          <w:tcPr>
            <w:tcW w:w="852"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righ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49,490,019.02</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454" w:hRule="atLeast"/>
        </w:trPr>
        <w:tc>
          <w:tcPr>
            <w:tcW w:w="1244"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一年内到期的非流动负债</w:t>
            </w:r>
          </w:p>
        </w:tc>
        <w:tc>
          <w:tcPr>
            <w:tcW w:w="941"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righ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30,953,777.78</w:t>
            </w:r>
          </w:p>
        </w:tc>
        <w:tc>
          <w:tcPr>
            <w:tcW w:w="795"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right"/>
              <w:rPr>
                <w:rFonts w:ascii="Times New Roman" w:hAnsi="Times New Roman" w:eastAsia="宋体" w:cs="Times New Roman"/>
                <w:color w:val="000000"/>
                <w:sz w:val="18"/>
                <w:szCs w:val="18"/>
              </w:rPr>
            </w:pPr>
          </w:p>
        </w:tc>
        <w:tc>
          <w:tcPr>
            <w:tcW w:w="1166"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righ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30,953,777.78</w:t>
            </w:r>
          </w:p>
        </w:tc>
        <w:tc>
          <w:tcPr>
            <w:tcW w:w="852"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righ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30,024,166.67</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454" w:hRule="atLeast"/>
        </w:trPr>
        <w:tc>
          <w:tcPr>
            <w:tcW w:w="1244"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合计</w:t>
            </w:r>
          </w:p>
        </w:tc>
        <w:tc>
          <w:tcPr>
            <w:tcW w:w="941"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righ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678,178,921.87</w:t>
            </w:r>
          </w:p>
        </w:tc>
        <w:tc>
          <w:tcPr>
            <w:tcW w:w="795"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righ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33,532,952.07</w:t>
            </w:r>
          </w:p>
        </w:tc>
        <w:tc>
          <w:tcPr>
            <w:tcW w:w="1166"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righ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711,711,873.94</w:t>
            </w:r>
          </w:p>
        </w:tc>
        <w:tc>
          <w:tcPr>
            <w:tcW w:w="852"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righ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701,779,665.65</w:t>
            </w:r>
          </w:p>
        </w:tc>
      </w:tr>
    </w:tbl>
    <w:p>
      <w:pPr>
        <w:pStyle w:val="4"/>
        <w:keepNext w:val="0"/>
        <w:keepLines w:val="0"/>
        <w:widowControl/>
        <w:suppressLineNumbers w:val="0"/>
        <w:spacing w:before="100" w:beforeAutospacing="0" w:after="100" w:afterAutospacing="0"/>
        <w:ind w:left="0" w:right="0"/>
        <w:jc w:val="left"/>
        <w:rPr>
          <w:rFonts w:hint="default" w:ascii="Times New Roman" w:hAnsi="Times New Roman" w:cs="Times New Roman"/>
          <w:sz w:val="24"/>
          <w:szCs w:val="24"/>
        </w:rPr>
      </w:pPr>
    </w:p>
    <w:tbl>
      <w:tblPr>
        <w:tblStyle w:val="8"/>
        <w:tblW w:w="4578" w:type="pct"/>
        <w:tblInd w:w="109"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autofit"/>
        <w:tblCellMar>
          <w:top w:w="0" w:type="dxa"/>
          <w:left w:w="108" w:type="dxa"/>
          <w:bottom w:w="0" w:type="dxa"/>
          <w:right w:w="108" w:type="dxa"/>
        </w:tblCellMar>
      </w:tblPr>
      <w:tblGrid>
        <w:gridCol w:w="2486"/>
        <w:gridCol w:w="1518"/>
        <w:gridCol w:w="1417"/>
        <w:gridCol w:w="2079"/>
        <w:gridCol w:w="1521"/>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454" w:hRule="atLeast"/>
          <w:tblHeader/>
        </w:trPr>
        <w:tc>
          <w:tcPr>
            <w:tcW w:w="137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项目</w:t>
            </w:r>
          </w:p>
        </w:tc>
        <w:tc>
          <w:tcPr>
            <w:tcW w:w="3621"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上年年末余额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454" w:hRule="atLeast"/>
          <w:tblHeader/>
        </w:trPr>
        <w:tc>
          <w:tcPr>
            <w:tcW w:w="137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eastAsia="宋体" w:cs="Times New Roman"/>
                <w:color w:val="000000"/>
                <w:sz w:val="18"/>
              </w:rPr>
            </w:pPr>
          </w:p>
        </w:tc>
        <w:tc>
          <w:tcPr>
            <w:tcW w:w="841"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1年以内</w:t>
            </w:r>
          </w:p>
        </w:tc>
        <w:tc>
          <w:tcPr>
            <w:tcW w:w="785"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1年以上</w:t>
            </w:r>
          </w:p>
        </w:tc>
        <w:tc>
          <w:tcPr>
            <w:tcW w:w="1152"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未折现合同金额合计</w:t>
            </w:r>
          </w:p>
        </w:tc>
        <w:tc>
          <w:tcPr>
            <w:tcW w:w="843"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账面价值</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454" w:hRule="atLeast"/>
        </w:trPr>
        <w:tc>
          <w:tcPr>
            <w:tcW w:w="1378"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短期借款</w:t>
            </w:r>
          </w:p>
        </w:tc>
        <w:tc>
          <w:tcPr>
            <w:tcW w:w="841"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righ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236,299,166.67</w:t>
            </w:r>
          </w:p>
        </w:tc>
        <w:tc>
          <w:tcPr>
            <w:tcW w:w="785"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right"/>
              <w:rPr>
                <w:rFonts w:ascii="Times New Roman" w:hAnsi="Times New Roman" w:eastAsia="宋体" w:cs="Times New Roman"/>
                <w:color w:val="000000"/>
                <w:sz w:val="18"/>
                <w:szCs w:val="18"/>
              </w:rPr>
            </w:pPr>
          </w:p>
        </w:tc>
        <w:tc>
          <w:tcPr>
            <w:tcW w:w="1152"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righ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236,299,166.67</w:t>
            </w:r>
          </w:p>
        </w:tc>
        <w:tc>
          <w:tcPr>
            <w:tcW w:w="843"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righ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230,175,000.00</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454" w:hRule="atLeast"/>
        </w:trPr>
        <w:tc>
          <w:tcPr>
            <w:tcW w:w="1378"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应付票据</w:t>
            </w:r>
          </w:p>
        </w:tc>
        <w:tc>
          <w:tcPr>
            <w:tcW w:w="841"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righ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125,433,836.83</w:t>
            </w:r>
          </w:p>
        </w:tc>
        <w:tc>
          <w:tcPr>
            <w:tcW w:w="785"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right"/>
              <w:rPr>
                <w:rFonts w:ascii="Times New Roman" w:hAnsi="Times New Roman" w:eastAsia="宋体" w:cs="Times New Roman"/>
                <w:color w:val="000000"/>
                <w:sz w:val="18"/>
                <w:szCs w:val="18"/>
              </w:rPr>
            </w:pPr>
          </w:p>
        </w:tc>
        <w:tc>
          <w:tcPr>
            <w:tcW w:w="1152"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righ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125,433,836.83</w:t>
            </w:r>
          </w:p>
        </w:tc>
        <w:tc>
          <w:tcPr>
            <w:tcW w:w="843"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righ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125,433,836.83</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PrEx>
        <w:trPr>
          <w:trHeight w:val="454" w:hRule="atLeast"/>
        </w:trPr>
        <w:tc>
          <w:tcPr>
            <w:tcW w:w="1378"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应付账款</w:t>
            </w:r>
          </w:p>
        </w:tc>
        <w:tc>
          <w:tcPr>
            <w:tcW w:w="841"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righ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83,607,509.08</w:t>
            </w:r>
          </w:p>
        </w:tc>
        <w:tc>
          <w:tcPr>
            <w:tcW w:w="785"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righ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19,581,993.84</w:t>
            </w:r>
          </w:p>
        </w:tc>
        <w:tc>
          <w:tcPr>
            <w:tcW w:w="1152"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righ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103,189,502.92</w:t>
            </w:r>
          </w:p>
        </w:tc>
        <w:tc>
          <w:tcPr>
            <w:tcW w:w="843"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righ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103,189,502.92</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454" w:hRule="atLeast"/>
        </w:trPr>
        <w:tc>
          <w:tcPr>
            <w:tcW w:w="1378"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其他应付款</w:t>
            </w:r>
          </w:p>
        </w:tc>
        <w:tc>
          <w:tcPr>
            <w:tcW w:w="841"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righ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1,631,082.92</w:t>
            </w:r>
          </w:p>
        </w:tc>
        <w:tc>
          <w:tcPr>
            <w:tcW w:w="785"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righ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37,062,740.81</w:t>
            </w:r>
          </w:p>
        </w:tc>
        <w:tc>
          <w:tcPr>
            <w:tcW w:w="1152"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righ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38,693,823.73</w:t>
            </w:r>
          </w:p>
        </w:tc>
        <w:tc>
          <w:tcPr>
            <w:tcW w:w="843"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righ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38,693,823.73</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PrEx>
        <w:trPr>
          <w:trHeight w:val="454" w:hRule="atLeast"/>
        </w:trPr>
        <w:tc>
          <w:tcPr>
            <w:tcW w:w="1378"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其他流动负债</w:t>
            </w:r>
          </w:p>
        </w:tc>
        <w:tc>
          <w:tcPr>
            <w:tcW w:w="841"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righ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48,637,053.78</w:t>
            </w:r>
          </w:p>
        </w:tc>
        <w:tc>
          <w:tcPr>
            <w:tcW w:w="785"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right"/>
              <w:rPr>
                <w:rFonts w:ascii="Times New Roman" w:hAnsi="Times New Roman" w:eastAsia="宋体" w:cs="Times New Roman"/>
                <w:color w:val="000000"/>
                <w:sz w:val="18"/>
                <w:szCs w:val="18"/>
              </w:rPr>
            </w:pPr>
          </w:p>
        </w:tc>
        <w:tc>
          <w:tcPr>
            <w:tcW w:w="1152"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righ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48,637,053.78</w:t>
            </w:r>
          </w:p>
        </w:tc>
        <w:tc>
          <w:tcPr>
            <w:tcW w:w="843"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righ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48,637,053.78</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454" w:hRule="atLeast"/>
        </w:trPr>
        <w:tc>
          <w:tcPr>
            <w:tcW w:w="1378"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一年内到期的非流动负债</w:t>
            </w:r>
          </w:p>
        </w:tc>
        <w:tc>
          <w:tcPr>
            <w:tcW w:w="841"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right"/>
              <w:rPr>
                <w:rFonts w:ascii="Times New Roman" w:hAnsi="Times New Roman" w:eastAsia="宋体" w:cs="Times New Roman"/>
                <w:color w:val="000000"/>
                <w:sz w:val="18"/>
                <w:szCs w:val="18"/>
              </w:rPr>
            </w:pPr>
          </w:p>
        </w:tc>
        <w:tc>
          <w:tcPr>
            <w:tcW w:w="785"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right"/>
              <w:rPr>
                <w:rFonts w:ascii="Times New Roman" w:hAnsi="Times New Roman" w:eastAsia="宋体" w:cs="Times New Roman"/>
                <w:color w:val="000000"/>
                <w:sz w:val="18"/>
                <w:szCs w:val="18"/>
              </w:rPr>
            </w:pPr>
          </w:p>
        </w:tc>
        <w:tc>
          <w:tcPr>
            <w:tcW w:w="1152"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right"/>
              <w:rPr>
                <w:rFonts w:ascii="Times New Roman" w:hAnsi="Times New Roman" w:eastAsia="宋体" w:cs="Times New Roman"/>
                <w:color w:val="000000"/>
                <w:sz w:val="18"/>
                <w:szCs w:val="18"/>
              </w:rPr>
            </w:pPr>
          </w:p>
        </w:tc>
        <w:tc>
          <w:tcPr>
            <w:tcW w:w="843"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right"/>
              <w:rPr>
                <w:rFonts w:ascii="Times New Roman" w:hAnsi="Times New Roman" w:eastAsia="宋体" w:cs="Times New Roman"/>
                <w:color w:val="000000"/>
                <w:sz w:val="18"/>
                <w:szCs w:val="18"/>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454" w:hRule="atLeast"/>
        </w:trPr>
        <w:tc>
          <w:tcPr>
            <w:tcW w:w="1378"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合计</w:t>
            </w:r>
          </w:p>
        </w:tc>
        <w:tc>
          <w:tcPr>
            <w:tcW w:w="841"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righ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495,608,649.28</w:t>
            </w:r>
          </w:p>
        </w:tc>
        <w:tc>
          <w:tcPr>
            <w:tcW w:w="785"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righ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56,644,734.65</w:t>
            </w:r>
          </w:p>
        </w:tc>
        <w:tc>
          <w:tcPr>
            <w:tcW w:w="1152"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righ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552,253,383.93</w:t>
            </w:r>
          </w:p>
        </w:tc>
        <w:tc>
          <w:tcPr>
            <w:tcW w:w="843"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righ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546,129,217.26</w:t>
            </w:r>
          </w:p>
        </w:tc>
      </w:tr>
    </w:tbl>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w:t>
      </w:r>
      <w:r>
        <w:rPr>
          <w:rFonts w:hint="default" w:ascii="Times New Roman" w:hAnsi="Times New Roman" w:eastAsia="宋体" w:cs="Times New Roman"/>
          <w:color w:val="000000"/>
          <w:sz w:val="21"/>
          <w:szCs w:val="21"/>
        </w:rPr>
        <w:t>3</w:t>
      </w:r>
      <w:r>
        <w:rPr>
          <w:rFonts w:hint="eastAsia" w:ascii="宋体" w:hAnsi="宋体" w:eastAsia="宋体" w:cs="宋体"/>
          <w:color w:val="000000"/>
          <w:sz w:val="21"/>
          <w:szCs w:val="21"/>
        </w:rPr>
        <w:t>）市场风险</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金融工具的市场风险是指金融工具的公允价值或未来现金流量因市场价格变动而发生波动的风险，包括汇率风险、利率风险和其他价格风险。</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1）利率风险</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利率风险是指金融工具的公允价值或未来现金流量因市场利率变动而发生波动的风险。</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本公司借款均为银行借款，借款合同对借款利率均进行了明确约定，故本公司金融负债不存在市场利率变动的重大风险 </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2）汇率风险</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汇率风险是指金融工具的公允价值或未来现金流量因外汇汇率变动而发生波动的风险。</w:t>
      </w:r>
    </w:p>
    <w:p>
      <w:pPr>
        <w:pStyle w:val="4"/>
        <w:keepNext w:val="0"/>
        <w:keepLines w:val="0"/>
        <w:widowControl/>
        <w:suppressLineNumbers w:val="0"/>
        <w:spacing w:before="0" w:beforeAutospacing="0" w:after="0" w:afterAutospacing="0" w:line="360" w:lineRule="atLeast"/>
        <w:ind w:left="0" w:right="0" w:firstLine="420"/>
        <w:jc w:val="left"/>
        <w:rPr>
          <w:rFonts w:ascii="Calibri" w:hAnsi="Calibri" w:cs="Calibri"/>
          <w:sz w:val="21"/>
          <w:szCs w:val="21"/>
        </w:rPr>
      </w:pPr>
      <w:r>
        <w:rPr>
          <w:rFonts w:hint="eastAsia" w:ascii="宋体" w:hAnsi="宋体" w:eastAsia="宋体" w:cs="宋体"/>
          <w:color w:val="000000"/>
          <w:sz w:val="21"/>
          <w:szCs w:val="21"/>
        </w:rPr>
        <w:t>本公司承受外汇风险主要与所持有的美元、港币或欧元现金、银行存款和部分客户货款与人民币之间的汇率变动。但本公司管理层认为，美元、港币或欧元的现金和银行存款、部分客户货款与本公司总资产所占比例较小，故本公司所面临的外汇风险并不重大。 </w:t>
      </w:r>
      <w:r>
        <w:rPr>
          <w:rFonts w:hint="default" w:ascii="Times New Roman" w:hAnsi="Times New Roman" w:eastAsia="宋体" w:cs="Times New Roman"/>
          <w:color w:val="000000"/>
          <w:sz w:val="21"/>
          <w:szCs w:val="21"/>
        </w:rPr>
        <w:t> </w:t>
      </w:r>
    </w:p>
    <w:p>
      <w:pPr>
        <w:keepNext/>
        <w:keepLines/>
        <w:spacing w:before="300" w:after="300" w:line="320" w:lineRule="exact"/>
        <w:jc w:val="left"/>
        <w:outlineLvl w:val="1"/>
        <w:rPr>
          <w:rFonts w:ascii="宋体" w:hAnsi="宋体" w:eastAsia="宋体" w:cs="宋体"/>
          <w:b/>
          <w:bCs/>
          <w:sz w:val="24"/>
          <w:szCs w:val="24"/>
        </w:rPr>
      </w:pPr>
      <w:bookmarkStart w:id="382" w:name="_Toc989248"/>
      <w:r>
        <w:rPr>
          <w:rFonts w:ascii="宋体" w:hAnsi="宋体" w:eastAsia="宋体" w:cs="宋体"/>
          <w:b/>
          <w:bCs/>
          <w:sz w:val="24"/>
          <w:szCs w:val="24"/>
        </w:rPr>
        <w:t>十三、公允价值的披露</w:t>
      </w:r>
      <w:bookmarkEnd w:id="382"/>
    </w:p>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2"/>
        <w:rPr>
          <w:rFonts w:ascii="宋体" w:hAnsi="宋体" w:eastAsia="宋体" w:cs="宋体"/>
          <w:b/>
          <w:bCs/>
          <w:sz w:val="21"/>
          <w:szCs w:val="21"/>
        </w:rPr>
      </w:pPr>
      <w:bookmarkStart w:id="383" w:name="OLE_LINK4"/>
      <w:bookmarkStart w:id="384" w:name="_Toc989249"/>
      <w:r>
        <w:rPr>
          <w:rFonts w:hint="eastAsia" w:ascii="宋体" w:hAnsi="宋体" w:eastAsia="宋体" w:cs="宋体"/>
          <w:b/>
          <w:bCs/>
          <w:sz w:val="21"/>
          <w:szCs w:val="21"/>
          <w:lang w:eastAsia="zh-CN"/>
        </w:rPr>
        <w:t>（一）</w:t>
      </w:r>
      <w:bookmarkEnd w:id="383"/>
      <w:r>
        <w:rPr>
          <w:rFonts w:ascii="宋体" w:hAnsi="宋体" w:eastAsia="宋体" w:cs="宋体"/>
          <w:b/>
          <w:bCs/>
          <w:sz w:val="21"/>
          <w:szCs w:val="21"/>
        </w:rPr>
        <w:t>以公允价值计量的资产和负债的期末公允价值</w:t>
      </w:r>
      <w:bookmarkEnd w:id="384"/>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7711"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期末公允价值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第一层次公允价值计量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第二层次公允价值计量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第三层次公允价值计量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一、持续的公允价值计量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应收款项融资</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4,488,656.99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4,488,656.99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（三）其他权益工具投资</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89,111,401.05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89,111,401.05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持续以公允价值计量的资产总额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93,600,058.04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93,600,058.04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二、非持续的公允价值计量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r>
    </w:tbl>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2"/>
        <w:rPr>
          <w:rFonts w:hint="eastAsia" w:ascii="宋体" w:hAnsi="宋体" w:eastAsia="宋体" w:cs="宋体"/>
          <w:b/>
          <w:bCs/>
          <w:sz w:val="21"/>
          <w:szCs w:val="21"/>
          <w:lang w:eastAsia="zh-CN"/>
        </w:rPr>
      </w:pPr>
      <w:bookmarkStart w:id="385" w:name="_Toc989250"/>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二</w:t>
      </w:r>
      <w:r>
        <w:rPr>
          <w:rFonts w:hint="eastAsia" w:ascii="宋体" w:hAnsi="宋体" w:eastAsia="宋体" w:cs="宋体"/>
          <w:b/>
          <w:bCs/>
          <w:sz w:val="21"/>
          <w:szCs w:val="21"/>
          <w:lang w:eastAsia="zh-CN"/>
        </w:rPr>
        <w:t>）</w:t>
      </w:r>
      <w:r>
        <w:rPr>
          <w:rFonts w:ascii="宋体" w:hAnsi="宋体" w:eastAsia="宋体" w:cs="宋体"/>
          <w:b/>
          <w:bCs/>
          <w:sz w:val="21"/>
          <w:szCs w:val="21"/>
        </w:rPr>
        <w:t>持续和非持续第一层次公允价值计量项目市价的确定依据</w:t>
      </w:r>
      <w:bookmarkEnd w:id="385"/>
    </w:p>
    <w:p>
      <w:pPr>
        <w:pStyle w:val="4"/>
        <w:keepNext w:val="0"/>
        <w:keepLines w:val="0"/>
        <w:widowControl/>
        <w:suppressLineNumbers w:val="0"/>
        <w:spacing w:before="0" w:beforeAutospacing="1" w:after="0" w:afterAutospacing="1"/>
        <w:ind w:left="0" w:right="0"/>
      </w:pPr>
      <w:r>
        <w:rPr>
          <w:rFonts w:hint="eastAsia" w:ascii="宋体" w:hAnsi="宋体" w:eastAsia="宋体" w:cs="宋体"/>
          <w:color w:val="000000"/>
          <w:sz w:val="21"/>
          <w:szCs w:val="21"/>
        </w:rPr>
        <w:t>第一层次输入值是在计量日能够取得的相同资产或负债在活跃市场上未经调整的报价。</w:t>
      </w:r>
    </w:p>
    <w:p>
      <w:pPr>
        <w:keepNext/>
        <w:keepLines/>
        <w:spacing w:before="300" w:after="300" w:line="280" w:lineRule="exact"/>
        <w:jc w:val="left"/>
        <w:outlineLvl w:val="2"/>
        <w:rPr>
          <w:rFonts w:ascii="宋体" w:hAnsi="宋体" w:eastAsia="宋体" w:cs="宋体"/>
          <w:b/>
          <w:bCs/>
          <w:sz w:val="21"/>
          <w:szCs w:val="21"/>
        </w:rPr>
      </w:pPr>
      <w:bookmarkStart w:id="386" w:name="_Toc989251"/>
      <w:r>
        <w:rPr>
          <w:rFonts w:hint="eastAsia" w:ascii="宋体" w:hAnsi="宋体" w:eastAsia="宋体" w:cs="宋体"/>
          <w:b/>
          <w:bCs/>
          <w:sz w:val="21"/>
          <w:szCs w:val="21"/>
          <w:lang w:eastAsia="zh-CN"/>
        </w:rPr>
        <w:t>（三）</w:t>
      </w:r>
      <w:r>
        <w:rPr>
          <w:rFonts w:ascii="宋体" w:hAnsi="宋体" w:eastAsia="宋体" w:cs="宋体"/>
          <w:b/>
          <w:bCs/>
          <w:sz w:val="21"/>
          <w:szCs w:val="21"/>
        </w:rPr>
        <w:t>持续和非持续第二层次公允价值计量项目，采用的估值技术和重要参数的定性及定量信息</w:t>
      </w:r>
      <w:bookmarkEnd w:id="386"/>
    </w:p>
    <w:p>
      <w:pPr>
        <w:pStyle w:val="4"/>
        <w:keepNext w:val="0"/>
        <w:keepLines w:val="0"/>
        <w:widowControl/>
        <w:suppressLineNumbers w:val="0"/>
        <w:spacing w:before="0" w:beforeAutospacing="1" w:after="0" w:afterAutospacing="1"/>
        <w:ind w:left="0" w:right="0"/>
      </w:pPr>
      <w:r>
        <w:rPr>
          <w:rFonts w:hint="eastAsia" w:ascii="宋体" w:hAnsi="宋体" w:eastAsia="宋体" w:cs="宋体"/>
          <w:color w:val="000000"/>
          <w:sz w:val="21"/>
          <w:szCs w:val="21"/>
        </w:rPr>
        <w:t>第二层次输入值是除第一层次输入值外相关资产或负债直接或间接可观察的输入值。</w:t>
      </w:r>
    </w:p>
    <w:p>
      <w:pPr>
        <w:keepNext/>
        <w:keepLines/>
        <w:spacing w:before="300" w:after="300" w:line="280" w:lineRule="exact"/>
        <w:jc w:val="left"/>
        <w:outlineLvl w:val="2"/>
        <w:rPr>
          <w:rFonts w:ascii="宋体" w:hAnsi="宋体" w:eastAsia="宋体" w:cs="宋体"/>
          <w:b/>
          <w:bCs/>
          <w:sz w:val="21"/>
          <w:szCs w:val="21"/>
        </w:rPr>
      </w:pPr>
      <w:bookmarkStart w:id="387" w:name="_Toc989252"/>
      <w:r>
        <w:rPr>
          <w:rFonts w:hint="eastAsia" w:ascii="宋体" w:hAnsi="宋体" w:eastAsia="宋体" w:cs="宋体"/>
          <w:b/>
          <w:bCs/>
          <w:sz w:val="21"/>
          <w:szCs w:val="21"/>
          <w:lang w:eastAsia="zh-CN"/>
        </w:rPr>
        <w:t>（四）</w:t>
      </w:r>
      <w:r>
        <w:rPr>
          <w:rFonts w:ascii="宋体" w:hAnsi="宋体" w:eastAsia="宋体" w:cs="宋体"/>
          <w:b/>
          <w:bCs/>
          <w:sz w:val="21"/>
          <w:szCs w:val="21"/>
        </w:rPr>
        <w:t>持续和非持续第三层次公允价值计量项目，采用的估值技术和重要参数的定性及定量信息</w:t>
      </w:r>
      <w:bookmarkEnd w:id="387"/>
    </w:p>
    <w:p>
      <w:pPr>
        <w:pStyle w:val="4"/>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1"/>
          <w:szCs w:val="21"/>
        </w:rPr>
        <w:t>①本公司持有的在市场上无可用的观察输入值及估值技术的其他权益工具投资，以第三层级估值作为公允价值的计量依据。其中，湖南沃尔博精密工具有限公司（曾用名：上海钨夫投资管理有限公司）、湖南飞机起降系统技术研发有限公司采用市场比较法对其估值。</w:t>
      </w:r>
      <w:r>
        <w:rPr>
          <w:rStyle w:val="7"/>
          <w:rFonts w:hint="default" w:ascii="Times New Roman" w:hAnsi="Times New Roman" w:eastAsia="宋体" w:cs="Times New Roman"/>
          <w:color w:val="000000"/>
          <w:sz w:val="21"/>
          <w:szCs w:val="21"/>
        </w:rPr>
        <w:t> </w:t>
      </w:r>
    </w:p>
    <w:tbl>
      <w:tblPr>
        <w:tblStyle w:val="5"/>
        <w:tblW w:w="4580"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4247"/>
        <w:gridCol w:w="1593"/>
        <w:gridCol w:w="1371"/>
        <w:gridCol w:w="1814"/>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67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eastAsia" w:ascii="宋体" w:hAnsi="宋体" w:eastAsia="宋体" w:cs="宋体"/>
                <w:color w:val="000000"/>
                <w:sz w:val="18"/>
                <w:szCs w:val="18"/>
              </w:rPr>
              <w:t>项目</w:t>
            </w:r>
          </w:p>
        </w:tc>
        <w:tc>
          <w:tcPr>
            <w:tcW w:w="137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eastAsia" w:ascii="宋体" w:hAnsi="宋体" w:eastAsia="宋体" w:cs="宋体"/>
                <w:color w:val="000000"/>
                <w:sz w:val="18"/>
                <w:szCs w:val="18"/>
              </w:rPr>
              <w:t>期末公允价值</w:t>
            </w:r>
          </w:p>
        </w:tc>
        <w:tc>
          <w:tcPr>
            <w:tcW w:w="118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eastAsia" w:ascii="宋体" w:hAnsi="宋体" w:eastAsia="宋体" w:cs="宋体"/>
                <w:color w:val="000000"/>
                <w:sz w:val="18"/>
                <w:szCs w:val="18"/>
              </w:rPr>
              <w:t>估值技术</w:t>
            </w:r>
          </w:p>
        </w:tc>
        <w:tc>
          <w:tcPr>
            <w:tcW w:w="157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eastAsia" w:ascii="宋体" w:hAnsi="宋体" w:eastAsia="宋体" w:cs="宋体"/>
                <w:color w:val="000000"/>
                <w:sz w:val="18"/>
                <w:szCs w:val="18"/>
              </w:rPr>
              <w:t>不可观察输入值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67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left"/>
              <w:rPr>
                <w:rFonts w:hint="default" w:ascii="Calibri" w:hAnsi="Calibri" w:cs="Calibri"/>
                <w:sz w:val="21"/>
                <w:szCs w:val="21"/>
              </w:rPr>
            </w:pPr>
            <w:r>
              <w:rPr>
                <w:rFonts w:hint="eastAsia" w:ascii="宋体" w:hAnsi="宋体" w:eastAsia="宋体" w:cs="宋体"/>
                <w:color w:val="000000"/>
                <w:sz w:val="18"/>
                <w:szCs w:val="18"/>
              </w:rPr>
              <w:t>湖南沃尔博精密工具有限公司</w:t>
            </w:r>
          </w:p>
        </w:tc>
        <w:tc>
          <w:tcPr>
            <w:tcW w:w="137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right"/>
              <w:rPr>
                <w:rFonts w:hint="default" w:ascii="Calibri" w:hAnsi="Calibri" w:cs="Calibri"/>
                <w:sz w:val="21"/>
                <w:szCs w:val="21"/>
              </w:rPr>
            </w:pPr>
            <w:r>
              <w:rPr>
                <w:rFonts w:hint="default" w:ascii="Times New Roman" w:hAnsi="Times New Roman" w:cs="Times New Roman"/>
                <w:color w:val="000000"/>
                <w:sz w:val="18"/>
                <w:szCs w:val="18"/>
              </w:rPr>
              <w:t>51,350,000.00</w:t>
            </w:r>
          </w:p>
        </w:tc>
        <w:tc>
          <w:tcPr>
            <w:tcW w:w="11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right"/>
              <w:rPr>
                <w:rFonts w:hint="default" w:ascii="Calibri" w:hAnsi="Calibri" w:cs="Calibri"/>
                <w:sz w:val="21"/>
                <w:szCs w:val="21"/>
              </w:rPr>
            </w:pPr>
            <w:r>
              <w:rPr>
                <w:rFonts w:hint="eastAsia" w:ascii="宋体" w:hAnsi="宋体" w:eastAsia="宋体" w:cs="宋体"/>
                <w:color w:val="000000"/>
                <w:sz w:val="18"/>
                <w:szCs w:val="18"/>
              </w:rPr>
              <w:t>交易价格法</w:t>
            </w:r>
          </w:p>
        </w:tc>
        <w:tc>
          <w:tcPr>
            <w:tcW w:w="157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left"/>
              <w:rPr>
                <w:rFonts w:hint="default" w:ascii="Calibri" w:hAnsi="Calibri" w:cs="Calibri"/>
                <w:sz w:val="21"/>
                <w:szCs w:val="21"/>
              </w:rPr>
            </w:pPr>
            <w:r>
              <w:rPr>
                <w:rFonts w:hint="eastAsia" w:ascii="宋体" w:hAnsi="宋体" w:eastAsia="宋体" w:cs="宋体"/>
                <w:color w:val="000000"/>
                <w:sz w:val="18"/>
                <w:szCs w:val="18"/>
              </w:rPr>
              <w:t>近期交易价格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367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left"/>
              <w:rPr>
                <w:rFonts w:hint="default" w:ascii="Calibri" w:hAnsi="Calibri" w:cs="Calibri"/>
                <w:sz w:val="21"/>
                <w:szCs w:val="21"/>
              </w:rPr>
            </w:pPr>
            <w:r>
              <w:rPr>
                <w:rFonts w:hint="eastAsia" w:ascii="宋体" w:hAnsi="宋体" w:eastAsia="宋体" w:cs="宋体"/>
                <w:color w:val="000000"/>
                <w:sz w:val="18"/>
                <w:szCs w:val="18"/>
              </w:rPr>
              <w:t>深圳富联智能制造产业创新中心有限公司</w:t>
            </w:r>
          </w:p>
        </w:tc>
        <w:tc>
          <w:tcPr>
            <w:tcW w:w="137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right"/>
              <w:rPr>
                <w:rFonts w:hint="default" w:ascii="Calibri" w:hAnsi="Calibri" w:cs="Calibri"/>
                <w:sz w:val="21"/>
                <w:szCs w:val="21"/>
              </w:rPr>
            </w:pPr>
            <w:r>
              <w:rPr>
                <w:rFonts w:hint="default" w:ascii="Times New Roman" w:hAnsi="Times New Roman" w:cs="Times New Roman"/>
                <w:color w:val="000000"/>
                <w:sz w:val="18"/>
                <w:szCs w:val="18"/>
              </w:rPr>
              <w:t>2,971,401.05</w:t>
            </w:r>
          </w:p>
        </w:tc>
        <w:tc>
          <w:tcPr>
            <w:tcW w:w="11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right"/>
              <w:rPr>
                <w:rFonts w:hint="default" w:ascii="Calibri" w:hAnsi="Calibri" w:cs="Calibri"/>
                <w:sz w:val="21"/>
                <w:szCs w:val="21"/>
              </w:rPr>
            </w:pPr>
            <w:r>
              <w:rPr>
                <w:rFonts w:hint="eastAsia" w:ascii="宋体" w:hAnsi="宋体" w:eastAsia="宋体" w:cs="宋体"/>
                <w:color w:val="000000"/>
                <w:sz w:val="18"/>
                <w:szCs w:val="18"/>
              </w:rPr>
              <w:t>净资产价值</w:t>
            </w:r>
          </w:p>
        </w:tc>
        <w:tc>
          <w:tcPr>
            <w:tcW w:w="157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left"/>
              <w:rPr>
                <w:rFonts w:hint="default" w:ascii="Calibri" w:hAnsi="Calibri" w:cs="Calibri"/>
                <w:sz w:val="21"/>
                <w:szCs w:val="21"/>
              </w:rPr>
            </w:pPr>
            <w:r>
              <w:rPr>
                <w:rFonts w:hint="eastAsia" w:ascii="宋体" w:hAnsi="宋体" w:eastAsia="宋体" w:cs="宋体"/>
                <w:color w:val="000000"/>
                <w:sz w:val="18"/>
                <w:szCs w:val="18"/>
              </w:rPr>
              <w:t>期末净资产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367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left"/>
              <w:rPr>
                <w:rFonts w:hint="default" w:ascii="Calibri" w:hAnsi="Calibri" w:cs="Calibri"/>
                <w:sz w:val="21"/>
                <w:szCs w:val="21"/>
              </w:rPr>
            </w:pPr>
            <w:r>
              <w:rPr>
                <w:rFonts w:hint="eastAsia" w:ascii="宋体" w:hAnsi="宋体" w:eastAsia="宋体" w:cs="宋体"/>
                <w:color w:val="000000"/>
                <w:sz w:val="18"/>
                <w:szCs w:val="18"/>
              </w:rPr>
              <w:t>湖南飞机起降系统技术研发有限公司</w:t>
            </w:r>
          </w:p>
        </w:tc>
        <w:tc>
          <w:tcPr>
            <w:tcW w:w="137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right"/>
              <w:rPr>
                <w:rFonts w:hint="default" w:ascii="Calibri" w:hAnsi="Calibri" w:cs="Calibri"/>
                <w:sz w:val="21"/>
                <w:szCs w:val="21"/>
              </w:rPr>
            </w:pPr>
            <w:r>
              <w:rPr>
                <w:rFonts w:hint="default" w:ascii="Times New Roman" w:hAnsi="Times New Roman" w:cs="Times New Roman"/>
                <w:color w:val="000000"/>
                <w:sz w:val="18"/>
                <w:szCs w:val="18"/>
              </w:rPr>
              <w:t>34,790,000.00</w:t>
            </w:r>
          </w:p>
        </w:tc>
        <w:tc>
          <w:tcPr>
            <w:tcW w:w="11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right"/>
              <w:rPr>
                <w:rFonts w:hint="default" w:ascii="Calibri" w:hAnsi="Calibri" w:cs="Calibri"/>
                <w:sz w:val="21"/>
                <w:szCs w:val="21"/>
              </w:rPr>
            </w:pPr>
            <w:r>
              <w:rPr>
                <w:rFonts w:hint="eastAsia" w:ascii="宋体" w:hAnsi="宋体" w:eastAsia="宋体" w:cs="宋体"/>
                <w:color w:val="000000"/>
                <w:sz w:val="18"/>
                <w:szCs w:val="18"/>
              </w:rPr>
              <w:t>交易价格法</w:t>
            </w:r>
          </w:p>
        </w:tc>
        <w:tc>
          <w:tcPr>
            <w:tcW w:w="157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left"/>
              <w:rPr>
                <w:rFonts w:hint="default" w:ascii="Calibri" w:hAnsi="Calibri" w:cs="Calibri"/>
                <w:sz w:val="21"/>
                <w:szCs w:val="21"/>
              </w:rPr>
            </w:pPr>
            <w:r>
              <w:rPr>
                <w:rFonts w:hint="eastAsia" w:ascii="宋体" w:hAnsi="宋体" w:eastAsia="宋体" w:cs="宋体"/>
                <w:color w:val="000000"/>
                <w:sz w:val="18"/>
                <w:szCs w:val="18"/>
              </w:rPr>
              <w:t>近期交易价格</w:t>
            </w:r>
          </w:p>
        </w:tc>
      </w:tr>
    </w:tbl>
    <w:p>
      <w:pPr>
        <w:pStyle w:val="4"/>
        <w:keepNext w:val="0"/>
        <w:keepLines w:val="0"/>
        <w:widowControl/>
        <w:suppressLineNumbers w:val="0"/>
      </w:pPr>
      <w:r>
        <w:rPr>
          <w:rFonts w:hint="eastAsia" w:ascii="宋体" w:hAnsi="宋体" w:eastAsia="宋体" w:cs="宋体"/>
          <w:sz w:val="21"/>
          <w:szCs w:val="21"/>
        </w:rPr>
        <w:t>②应收款项融资为应收银行承兑汇票，其管理模式实质为既收取合同现金流量又背书转让或贴现，故公司将银行承兑汇票根据票面金额作为公允价值进行计量。</w:t>
      </w:r>
    </w:p>
    <w:p>
      <w:pPr>
        <w:keepNext/>
        <w:keepLines/>
        <w:spacing w:before="300" w:after="300" w:line="280" w:lineRule="exact"/>
        <w:ind w:left="630" w:hanging="630" w:hangingChars="300"/>
        <w:jc w:val="left"/>
        <w:outlineLvl w:val="2"/>
        <w:rPr>
          <w:rFonts w:ascii="宋体" w:hAnsi="宋体" w:eastAsia="宋体" w:cs="宋体"/>
          <w:b/>
          <w:bCs/>
          <w:sz w:val="21"/>
          <w:szCs w:val="21"/>
        </w:rPr>
      </w:pPr>
      <w:bookmarkStart w:id="388" w:name="_Toc989253"/>
      <w:r>
        <w:rPr>
          <w:rFonts w:hint="eastAsia" w:ascii="宋体" w:hAnsi="宋体" w:eastAsia="宋体" w:cs="宋体"/>
          <w:b/>
          <w:bCs/>
          <w:sz w:val="21"/>
          <w:szCs w:val="21"/>
          <w:lang w:eastAsia="zh-CN"/>
        </w:rPr>
        <w:t>（五）</w:t>
      </w:r>
      <w:r>
        <w:rPr>
          <w:rFonts w:ascii="宋体" w:hAnsi="宋体" w:eastAsia="宋体" w:cs="宋体"/>
          <w:b/>
          <w:bCs/>
          <w:sz w:val="21"/>
          <w:szCs w:val="21"/>
        </w:rPr>
        <w:t>持续的第三层次公允价值计量项目，期初与期末账面价值间的调节信息及不可观察参数敏感性分析</w:t>
      </w:r>
      <w:bookmarkEnd w:id="388"/>
    </w:p>
    <w:p>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0" w:afterAutospacing="0"/>
        <w:ind w:left="0" w:right="0"/>
        <w:textAlignment w:val="auto"/>
      </w:pPr>
      <w:r>
        <w:rPr>
          <w:rFonts w:hint="eastAsia" w:ascii="宋体" w:hAnsi="宋体" w:eastAsia="宋体" w:cs="宋体"/>
          <w:color w:val="000000"/>
          <w:sz w:val="21"/>
          <w:szCs w:val="21"/>
        </w:rPr>
        <w:t>第三层次输入值是相关资产或负债的不可观察输入值。</w:t>
      </w:r>
    </w:p>
    <w:p>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0" w:afterAutospacing="0"/>
        <w:ind w:left="0" w:right="0"/>
        <w:textAlignment w:val="auto"/>
      </w:pPr>
      <w:r>
        <w:rPr>
          <w:rFonts w:hint="eastAsia" w:ascii="宋体" w:hAnsi="宋体" w:eastAsia="宋体" w:cs="宋体"/>
          <w:color w:val="000000"/>
          <w:sz w:val="21"/>
          <w:szCs w:val="21"/>
        </w:rPr>
        <w:t>公允价值计量结果所属的层次，由对公允价值计量整体而言具有重要意义的输入值所属的最低层次决定。</w:t>
      </w:r>
    </w:p>
    <w:p>
      <w:pPr>
        <w:keepNext/>
        <w:keepLines/>
        <w:spacing w:before="300" w:after="300" w:line="320" w:lineRule="exact"/>
        <w:jc w:val="left"/>
        <w:outlineLvl w:val="1"/>
        <w:rPr>
          <w:rFonts w:ascii="宋体" w:hAnsi="宋体" w:eastAsia="宋体" w:cs="宋体"/>
          <w:b/>
          <w:bCs/>
          <w:sz w:val="24"/>
          <w:szCs w:val="24"/>
        </w:rPr>
      </w:pPr>
      <w:bookmarkStart w:id="389" w:name="_Toc989254"/>
      <w:r>
        <w:rPr>
          <w:rFonts w:ascii="宋体" w:hAnsi="宋体" w:eastAsia="宋体" w:cs="宋体"/>
          <w:b/>
          <w:bCs/>
          <w:sz w:val="24"/>
          <w:szCs w:val="24"/>
        </w:rPr>
        <w:t>十四、关联方及关联交易</w:t>
      </w:r>
      <w:bookmarkEnd w:id="389"/>
    </w:p>
    <w:p>
      <w:pPr>
        <w:keepNext/>
        <w:keepLines/>
        <w:pageBreakBefore w:val="0"/>
        <w:widowControl w:val="0"/>
        <w:kinsoku/>
        <w:wordWrap/>
        <w:overflowPunct/>
        <w:topLinePunct w:val="0"/>
        <w:autoSpaceDE/>
        <w:autoSpaceDN/>
        <w:bidi w:val="0"/>
        <w:adjustRightInd/>
        <w:snapToGrid/>
        <w:spacing w:before="300" w:after="60" w:line="280" w:lineRule="exact"/>
        <w:jc w:val="left"/>
        <w:textAlignment w:val="auto"/>
        <w:outlineLvl w:val="2"/>
        <w:rPr>
          <w:rFonts w:hint="eastAsia" w:ascii="宋体" w:hAnsi="宋体" w:eastAsia="宋体" w:cs="宋体"/>
          <w:b/>
          <w:bCs/>
          <w:sz w:val="21"/>
          <w:szCs w:val="21"/>
          <w:lang w:eastAsia="zh-CN"/>
        </w:rPr>
      </w:pPr>
      <w:bookmarkStart w:id="390" w:name="_Toc989255"/>
      <w:r>
        <w:rPr>
          <w:rFonts w:hint="eastAsia" w:ascii="宋体" w:hAnsi="宋体" w:eastAsia="宋体" w:cs="宋体"/>
          <w:b/>
          <w:bCs/>
          <w:sz w:val="21"/>
          <w:szCs w:val="21"/>
          <w:lang w:eastAsia="zh-CN"/>
        </w:rPr>
        <w:t>（一）本企业的母公司情况</w:t>
      </w:r>
      <w:bookmarkEnd w:id="390"/>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母公司名称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注册地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业务性质</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注册资本</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母公司对本企业的持股比例</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母公司对本企业的表决权比例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中南大学粉末冶金工程研究中心有限公司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湖南省长沙市</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研究、开发、生产</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16,326.53万元</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12.65%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12.65%</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本企业的母公司情况的说明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本企业最终控制方是湖南省人民政府国有资产监督管理委员会。</w:t>
      </w:r>
    </w:p>
    <w:p>
      <w:pPr>
        <w:keepNext/>
        <w:keepLines/>
        <w:spacing w:before="300" w:after="300" w:line="280" w:lineRule="exact"/>
        <w:jc w:val="left"/>
        <w:outlineLvl w:val="2"/>
        <w:rPr>
          <w:rFonts w:ascii="宋体" w:hAnsi="宋体" w:eastAsia="宋体" w:cs="宋体"/>
          <w:b/>
          <w:bCs/>
          <w:sz w:val="21"/>
          <w:szCs w:val="21"/>
        </w:rPr>
      </w:pPr>
      <w:bookmarkStart w:id="391" w:name="_Toc989256"/>
      <w:r>
        <w:rPr>
          <w:rFonts w:hint="eastAsia" w:ascii="宋体" w:hAnsi="宋体" w:eastAsia="宋体" w:cs="宋体"/>
          <w:b/>
          <w:bCs/>
          <w:sz w:val="21"/>
          <w:szCs w:val="21"/>
          <w:lang w:eastAsia="zh-CN"/>
        </w:rPr>
        <w:t>（二）</w:t>
      </w:r>
      <w:r>
        <w:rPr>
          <w:rFonts w:ascii="宋体" w:hAnsi="宋体" w:eastAsia="宋体" w:cs="宋体"/>
          <w:b/>
          <w:bCs/>
          <w:sz w:val="21"/>
          <w:szCs w:val="21"/>
        </w:rPr>
        <w:t>本企业的子公司情况</w:t>
      </w:r>
      <w:bookmarkEnd w:id="391"/>
    </w:p>
    <w:p>
      <w:pPr>
        <w:spacing w:before="100" w:after="100" w:line="240" w:lineRule="exact"/>
        <w:jc w:val="left"/>
        <w:rPr>
          <w:rFonts w:ascii="宋体" w:hAnsi="宋体" w:eastAsia="宋体" w:cs="宋体"/>
          <w:sz w:val="18"/>
          <w:szCs w:val="18"/>
        </w:rPr>
      </w:pPr>
      <w:r>
        <w:rPr>
          <w:rFonts w:ascii="宋体" w:hAnsi="宋体" w:eastAsia="宋体" w:cs="宋体"/>
          <w:sz w:val="18"/>
          <w:szCs w:val="18"/>
        </w:rPr>
        <w:t>本企业子公司的情况详见附注十、在其他主体中的权益。</w:t>
      </w:r>
    </w:p>
    <w:p>
      <w:pPr>
        <w:keepNext/>
        <w:keepLines/>
        <w:spacing w:before="300" w:after="300" w:line="280" w:lineRule="exact"/>
        <w:jc w:val="left"/>
        <w:outlineLvl w:val="2"/>
        <w:rPr>
          <w:rFonts w:ascii="宋体" w:hAnsi="宋体" w:eastAsia="宋体" w:cs="宋体"/>
          <w:b/>
          <w:bCs/>
          <w:sz w:val="21"/>
          <w:szCs w:val="21"/>
        </w:rPr>
      </w:pPr>
      <w:bookmarkStart w:id="392" w:name="_Toc989257"/>
      <w:r>
        <w:rPr>
          <w:rFonts w:hint="eastAsia" w:ascii="宋体" w:hAnsi="宋体" w:eastAsia="宋体" w:cs="宋体"/>
          <w:b/>
          <w:bCs/>
          <w:sz w:val="21"/>
          <w:szCs w:val="21"/>
          <w:lang w:eastAsia="zh-CN"/>
        </w:rPr>
        <w:t>（三）</w:t>
      </w:r>
      <w:r>
        <w:rPr>
          <w:rFonts w:ascii="宋体" w:hAnsi="宋体" w:eastAsia="宋体" w:cs="宋体"/>
          <w:b/>
          <w:bCs/>
          <w:sz w:val="21"/>
          <w:szCs w:val="21"/>
        </w:rPr>
        <w:t>本企业合营和联营企业情况</w:t>
      </w:r>
      <w:bookmarkEnd w:id="392"/>
    </w:p>
    <w:p>
      <w:pPr>
        <w:spacing w:before="100" w:after="100" w:line="240" w:lineRule="exact"/>
        <w:jc w:val="left"/>
        <w:rPr>
          <w:rFonts w:ascii="宋体" w:hAnsi="宋体" w:eastAsia="宋体" w:cs="宋体"/>
          <w:sz w:val="18"/>
          <w:szCs w:val="18"/>
        </w:rPr>
      </w:pPr>
      <w:r>
        <w:rPr>
          <w:rFonts w:ascii="宋体" w:hAnsi="宋体" w:eastAsia="宋体" w:cs="宋体"/>
          <w:sz w:val="18"/>
          <w:szCs w:val="18"/>
        </w:rPr>
        <w:t>本企业重要的合营或联营企业详见附注十、在其他主体中的权益。</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本期与本公司发生关联方交易，或前期与本公司发生关联方交易形成余额的其他合营或联营企业情况如下：</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合营或联营企业名称</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与本企业关系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霍尼韦尔博云航空系统（湖南）有限公司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联营企业</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pageBreakBefore w:val="0"/>
        <w:widowControl w:val="0"/>
        <w:kinsoku/>
        <w:wordWrap/>
        <w:overflowPunct/>
        <w:topLinePunct w:val="0"/>
        <w:autoSpaceDE/>
        <w:autoSpaceDN/>
        <w:bidi w:val="0"/>
        <w:adjustRightInd/>
        <w:snapToGrid/>
        <w:spacing w:before="300" w:after="60" w:line="280" w:lineRule="exact"/>
        <w:jc w:val="left"/>
        <w:textAlignment w:val="auto"/>
        <w:outlineLvl w:val="2"/>
        <w:rPr>
          <w:rFonts w:ascii="宋体" w:hAnsi="宋体" w:eastAsia="宋体" w:cs="宋体"/>
          <w:b/>
          <w:bCs/>
          <w:sz w:val="21"/>
          <w:szCs w:val="21"/>
        </w:rPr>
      </w:pPr>
      <w:bookmarkStart w:id="393" w:name="_Toc989258"/>
      <w:r>
        <w:rPr>
          <w:rFonts w:hint="eastAsia" w:ascii="宋体" w:hAnsi="宋体" w:eastAsia="宋体" w:cs="宋体"/>
          <w:b/>
          <w:bCs/>
          <w:sz w:val="21"/>
          <w:szCs w:val="21"/>
          <w:lang w:eastAsia="zh-CN"/>
        </w:rPr>
        <w:t>（四）</w:t>
      </w:r>
      <w:r>
        <w:rPr>
          <w:rFonts w:ascii="宋体" w:hAnsi="宋体" w:eastAsia="宋体" w:cs="宋体"/>
          <w:b/>
          <w:bCs/>
          <w:sz w:val="21"/>
          <w:szCs w:val="21"/>
        </w:rPr>
        <w:t>其他关联方情况</w:t>
      </w:r>
      <w:bookmarkEnd w:id="393"/>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其他关联方名称</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其他关联方与本企业关系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湖南博云汽车制动材料有限公司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同一控制人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湖南炜铂科技有限公司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同一控制人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湖南炜铂新材料科技有限公司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同一控制人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湖南博云投资管理有限公司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同一控制人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湖南飞机起降系统技术研发有限公司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同一控制人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湖南建院建设工程检测有限责任公司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同一控制人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湖南省中南建设装饰有限公司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同一控制人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湖南省建设项目投资管理有限责任公司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同一控制人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沃尔夫切削技术（太仓）有限公司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同一控制人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湖南省机械设备进出口有限公司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同一控制人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湖南湘江研究院教育管理有限公司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同一控制人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湖南湘江研究院有限责任公司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同一控制人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WOLF Werkzeugtechnologie GmbH</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同一控制人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WOLF Precision Tools India Pvt.Ltd</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同一控制人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湖南省国锦湘安实业有限公司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同一控制人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湖南沃尔博精密工具有限公司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同一控制人</w:t>
            </w:r>
          </w:p>
        </w:tc>
      </w:tr>
    </w:tbl>
    <w:p>
      <w:pPr>
        <w:keepNext/>
        <w:keepLines/>
        <w:spacing w:before="300" w:after="300" w:line="280" w:lineRule="exact"/>
        <w:jc w:val="left"/>
        <w:outlineLvl w:val="2"/>
        <w:rPr>
          <w:rFonts w:ascii="宋体" w:hAnsi="宋体" w:eastAsia="宋体" w:cs="宋体"/>
          <w:b/>
          <w:bCs/>
          <w:sz w:val="21"/>
          <w:szCs w:val="21"/>
        </w:rPr>
      </w:pPr>
      <w:bookmarkStart w:id="394" w:name="_Toc989259"/>
      <w:r>
        <w:rPr>
          <w:rFonts w:hint="eastAsia" w:ascii="宋体" w:hAnsi="宋体" w:eastAsia="宋体" w:cs="宋体"/>
          <w:b/>
          <w:bCs/>
          <w:sz w:val="21"/>
          <w:szCs w:val="21"/>
          <w:lang w:eastAsia="zh-CN"/>
        </w:rPr>
        <w:t>（五）</w:t>
      </w:r>
      <w:r>
        <w:rPr>
          <w:rFonts w:ascii="宋体" w:hAnsi="宋体" w:eastAsia="宋体" w:cs="宋体"/>
          <w:b/>
          <w:bCs/>
          <w:sz w:val="21"/>
          <w:szCs w:val="21"/>
        </w:rPr>
        <w:t>关联交易情况</w:t>
      </w:r>
      <w:bookmarkEnd w:id="394"/>
    </w:p>
    <w:p>
      <w:pPr>
        <w:keepNext/>
        <w:keepLines/>
        <w:spacing w:before="300" w:after="300" w:line="280" w:lineRule="exact"/>
        <w:jc w:val="left"/>
        <w:outlineLvl w:val="3"/>
        <w:rPr>
          <w:rFonts w:ascii="宋体" w:hAnsi="宋体" w:eastAsia="宋体" w:cs="宋体"/>
          <w:b/>
          <w:bCs/>
          <w:sz w:val="21"/>
          <w:szCs w:val="21"/>
        </w:rPr>
      </w:pPr>
      <w:bookmarkStart w:id="395" w:name="_Toc989260"/>
      <w:r>
        <w:rPr>
          <w:rFonts w:hint="eastAsia" w:ascii="宋体" w:hAnsi="宋体" w:eastAsia="宋体" w:cs="宋体"/>
          <w:b/>
          <w:bCs/>
          <w:sz w:val="21"/>
          <w:szCs w:val="21"/>
          <w:lang w:val="en-US" w:eastAsia="zh-CN"/>
        </w:rPr>
        <w:t>1.</w:t>
      </w:r>
      <w:r>
        <w:rPr>
          <w:rFonts w:ascii="宋体" w:hAnsi="宋体" w:eastAsia="宋体" w:cs="宋体"/>
          <w:b/>
          <w:bCs/>
          <w:sz w:val="21"/>
          <w:szCs w:val="21"/>
        </w:rPr>
        <w:t>购销商品、提供和接受劳务的关联交易</w:t>
      </w:r>
      <w:bookmarkEnd w:id="395"/>
    </w:p>
    <w:p>
      <w:pPr>
        <w:keepNext w:val="0"/>
        <w:keepLines w:val="0"/>
        <w:pageBreakBefore w:val="0"/>
        <w:widowControl w:val="0"/>
        <w:kinsoku/>
        <w:wordWrap/>
        <w:overflowPunct/>
        <w:topLinePunct w:val="0"/>
        <w:autoSpaceDE/>
        <w:autoSpaceDN/>
        <w:bidi w:val="0"/>
        <w:adjustRightInd/>
        <w:snapToGrid/>
        <w:spacing w:before="100" w:line="240" w:lineRule="exact"/>
        <w:jc w:val="left"/>
        <w:textAlignment w:val="auto"/>
        <w:rPr>
          <w:rFonts w:ascii="宋体" w:hAnsi="宋体" w:eastAsia="宋体" w:cs="宋体"/>
          <w:sz w:val="18"/>
          <w:szCs w:val="18"/>
        </w:rPr>
      </w:pPr>
      <w:r>
        <w:rPr>
          <w:rFonts w:ascii="宋体" w:hAnsi="宋体" w:eastAsia="宋体" w:cs="宋体"/>
          <w:sz w:val="18"/>
          <w:szCs w:val="18"/>
        </w:rPr>
        <w:t>采购商品/接受劳务情况表</w:t>
      </w:r>
    </w:p>
    <w:p>
      <w:pPr>
        <w:keepNext w:val="0"/>
        <w:keepLines w:val="0"/>
        <w:pageBreakBefore w:val="0"/>
        <w:widowControl w:val="0"/>
        <w:kinsoku/>
        <w:wordWrap/>
        <w:overflowPunct/>
        <w:topLinePunct w:val="0"/>
        <w:autoSpaceDE/>
        <w:autoSpaceDN/>
        <w:bidi w:val="0"/>
        <w:adjustRightInd/>
        <w:snapToGrid/>
        <w:spacing w:line="240" w:lineRule="exact"/>
        <w:jc w:val="right"/>
        <w:textAlignment w:val="auto"/>
        <w:rPr>
          <w:rFonts w:ascii="宋体" w:hAnsi="宋体" w:eastAsia="宋体" w:cs="宋体"/>
          <w:sz w:val="18"/>
          <w:szCs w:val="18"/>
        </w:rPr>
      </w:pPr>
      <w:r>
        <w:rPr>
          <w:rFonts w:ascii="宋体" w:hAnsi="宋体" w:eastAsia="宋体" w:cs="宋体"/>
          <w:sz w:val="18"/>
          <w:szCs w:val="18"/>
        </w:rPr>
        <w:t>单位：元</w:t>
      </w:r>
    </w:p>
    <w:tbl>
      <w:tblPr>
        <w:tblStyle w:val="5"/>
        <w:tblW w:w="963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关联方</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关联交易内容</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获批的交易额度</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是否超过交易额度</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湖南博云汽车制动材料有限公司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水电费</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612,780.96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1,189,745.25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湖南省中南建设装饰有限公司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建筑装饰装修设计、施工、维修服务</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2,281,546.69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4,492,723.97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湖南省建设项目投资管理有限责任公司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监理、造价咨询服务费</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409,959.82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959,245.26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湖南省机械设备进出口有限公司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设备</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5,740,215.13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1,818,266.89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湖南省国锦湘安实业有限公司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工作服</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227,096.46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湖南湘江研究院教育管理有限公司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安全培训费</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2,640.00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湖南湘江研究院有限责任公司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培训费</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11,475.47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沃尔夫切削技术（太仓）有限公司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货款</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105,614.32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湖南炜铂科技有限公司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货款</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47,433.63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湖南沃尔博精密工具有限公司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货款</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3,798.21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中南大学粉末冶金工程研究中心有限公司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股权转让款资金占用利息</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1,728,378.17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合计</w:t>
            </w:r>
          </w:p>
        </w:tc>
        <w:tc>
          <w:tcPr>
            <w:tcW w:w="1606" w:type="dxa"/>
            <w:tcBorders>
              <w:top w:val="single" w:color="auto" w:sz="2" w:space="0"/>
              <w:left w:val="single" w:color="auto" w:sz="2" w:space="0"/>
              <w:bottom w:val="single" w:color="auto" w:sz="2" w:space="0"/>
              <w:right w:val="single" w:color="auto" w:sz="2" w:space="0"/>
            </w:tcBorders>
            <w:vAlign w:val="center"/>
          </w:tcPr>
          <w:p>
            <w:pPr>
              <w:jc w:val="left"/>
              <w:rPr>
                <w:rFonts w:ascii="宋体" w:hAnsi="宋体" w:eastAsia="宋体" w:cs="宋体"/>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11,168,298.86</w:t>
            </w:r>
          </w:p>
        </w:tc>
        <w:tc>
          <w:tcPr>
            <w:tcW w:w="1606" w:type="dxa"/>
            <w:tcBorders>
              <w:top w:val="single" w:color="auto" w:sz="2" w:space="0"/>
              <w:left w:val="single" w:color="auto" w:sz="2" w:space="0"/>
              <w:bottom w:val="single" w:color="auto" w:sz="2" w:space="0"/>
              <w:right w:val="single" w:color="auto" w:sz="2" w:space="0"/>
            </w:tcBorders>
            <w:vAlign w:val="center"/>
          </w:tcPr>
          <w:p>
            <w:pPr>
              <w:jc w:val="right"/>
              <w:rPr>
                <w:rFonts w:ascii="宋体" w:hAnsi="宋体" w:eastAsia="宋体" w:cs="宋体"/>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jc w:val="right"/>
              <w:rPr>
                <w:rFonts w:ascii="宋体" w:hAnsi="宋体" w:eastAsia="宋体" w:cs="宋体"/>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8,462,621.37</w:t>
            </w:r>
          </w:p>
        </w:tc>
      </w:tr>
    </w:tbl>
    <w:p>
      <w:pPr>
        <w:keepNext w:val="0"/>
        <w:keepLines w:val="0"/>
        <w:pageBreakBefore w:val="0"/>
        <w:widowControl w:val="0"/>
        <w:kinsoku/>
        <w:wordWrap/>
        <w:overflowPunct/>
        <w:topLinePunct w:val="0"/>
        <w:autoSpaceDE/>
        <w:autoSpaceDN/>
        <w:bidi w:val="0"/>
        <w:adjustRightInd/>
        <w:snapToGrid/>
        <w:spacing w:before="220" w:after="100" w:line="240" w:lineRule="exact"/>
        <w:jc w:val="left"/>
        <w:textAlignment w:val="auto"/>
        <w:rPr>
          <w:rFonts w:ascii="宋体" w:hAnsi="宋体" w:eastAsia="宋体" w:cs="宋体"/>
          <w:sz w:val="18"/>
          <w:szCs w:val="18"/>
        </w:rPr>
      </w:pPr>
      <w:r>
        <w:rPr>
          <w:rFonts w:ascii="宋体" w:hAnsi="宋体" w:eastAsia="宋体" w:cs="宋体"/>
          <w:sz w:val="18"/>
          <w:szCs w:val="18"/>
        </w:rPr>
        <w:t>出售商品/提供劳务情况表</w:t>
      </w:r>
      <w:r>
        <w:rPr>
          <w:rFonts w:hint="eastAsia" w:ascii="宋体" w:hAnsi="宋体" w:cs="宋体"/>
          <w:sz w:val="18"/>
          <w:szCs w:val="18"/>
          <w:lang w:val="en-US" w:eastAsia="zh-CN"/>
        </w:rPr>
        <w:t xml:space="preserve">                                                                         </w:t>
      </w:r>
      <w:r>
        <w:rPr>
          <w:rFonts w:ascii="宋体" w:hAnsi="宋体" w:eastAsia="宋体" w:cs="宋体"/>
          <w:sz w:val="18"/>
          <w:szCs w:val="18"/>
        </w:rPr>
        <w:t>单位：元</w:t>
      </w:r>
    </w:p>
    <w:tbl>
      <w:tblPr>
        <w:tblStyle w:val="5"/>
        <w:tblW w:w="964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关联方</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关联交易内容</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霍尼韦尔博云航空系统（湖南）有限公司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销售产品、测试服务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2,173,663.43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11,331,390.66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中南大学粉末冶金工程研究中心有限公司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房租、餐费</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214,648.63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189,885.91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湖南博云投资管理有限公司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房租、餐费</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86,154.71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41,466.09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湖南飞机起降系统技术研发有限公司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房租</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1,324.80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湖南建院建设工程检测有限责任公司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房租</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533,944.91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湖南省机械设备进出口有限公司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产品销售</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2,190,821.95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2,045,167.00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湖南炜铂科技有限公司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房租</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256,505.27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327,275.75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湖南炜铂新材料科技有限公司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房租</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91,087.27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湖南沃尔博精密工具有限公司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房租、餐费</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789,621.18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33,650.00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沃尔夫切削技术（太仓）有限公司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产品销售</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611,684.20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1,207,354.10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WOLF Werkzeugtechnologie GmbH</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产品销售</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116,724.16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36,930.34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WOLF Precision Tools India Pvt.Ltd</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产品销售</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323,423.01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1,016,830.50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湖南沃尔博精密工具有限公司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出售长期资产</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24,754,867.26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合计</w:t>
            </w:r>
          </w:p>
        </w:tc>
        <w:tc>
          <w:tcPr>
            <w:tcW w:w="2410" w:type="dxa"/>
            <w:tcBorders>
              <w:top w:val="single" w:color="auto" w:sz="2" w:space="0"/>
              <w:left w:val="single" w:color="auto" w:sz="2" w:space="0"/>
              <w:bottom w:val="single" w:color="auto" w:sz="2" w:space="0"/>
              <w:right w:val="single" w:color="auto" w:sz="2" w:space="0"/>
            </w:tcBorders>
            <w:vAlign w:val="center"/>
          </w:tcPr>
          <w:p>
            <w:pPr>
              <w:rPr>
                <w:rFonts w:ascii="宋体" w:hAnsi="宋体" w:eastAsia="宋体" w:cs="宋体"/>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32,143,145.98</w:t>
            </w:r>
          </w:p>
        </w:tc>
        <w:tc>
          <w:tcPr>
            <w:tcW w:w="2410"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16,231,275.15</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购销商品、提供和接受劳务的关联交易说明</w:t>
      </w:r>
    </w:p>
    <w:p>
      <w:pPr>
        <w:keepNext/>
        <w:keepLines/>
        <w:spacing w:before="300" w:after="300" w:line="280" w:lineRule="exact"/>
        <w:jc w:val="left"/>
        <w:outlineLvl w:val="3"/>
        <w:rPr>
          <w:rFonts w:ascii="宋体" w:hAnsi="宋体" w:eastAsia="宋体" w:cs="宋体"/>
          <w:b/>
          <w:bCs/>
          <w:sz w:val="21"/>
          <w:szCs w:val="21"/>
        </w:rPr>
      </w:pPr>
      <w:bookmarkStart w:id="396" w:name="_Toc989261"/>
      <w:r>
        <w:rPr>
          <w:rFonts w:hint="eastAsia" w:ascii="宋体" w:hAnsi="宋体" w:eastAsia="宋体" w:cs="宋体"/>
          <w:b/>
          <w:bCs/>
          <w:sz w:val="21"/>
          <w:szCs w:val="21"/>
          <w:lang w:val="en-US" w:eastAsia="zh-CN"/>
        </w:rPr>
        <w:t>2.</w:t>
      </w:r>
      <w:r>
        <w:rPr>
          <w:rFonts w:ascii="宋体" w:hAnsi="宋体" w:eastAsia="宋体" w:cs="宋体"/>
          <w:b/>
          <w:bCs/>
          <w:sz w:val="21"/>
          <w:szCs w:val="21"/>
        </w:rPr>
        <w:t>关联租赁情况</w:t>
      </w:r>
      <w:bookmarkEnd w:id="396"/>
    </w:p>
    <w:p>
      <w:pPr>
        <w:spacing w:before="40" w:after="40" w:line="240" w:lineRule="exact"/>
        <w:jc w:val="left"/>
        <w:rPr>
          <w:rFonts w:ascii="宋体" w:hAnsi="宋体" w:eastAsia="宋体" w:cs="宋体"/>
          <w:sz w:val="18"/>
          <w:szCs w:val="18"/>
        </w:rPr>
      </w:pPr>
      <w:r>
        <w:rPr>
          <w:rFonts w:ascii="宋体" w:hAnsi="宋体" w:eastAsia="宋体" w:cs="宋体"/>
          <w:sz w:val="18"/>
          <w:szCs w:val="18"/>
        </w:rPr>
        <w:t>本公司作为出租方：</w:t>
      </w:r>
      <w:r>
        <w:rPr>
          <w:rFonts w:hint="eastAsia" w:ascii="宋体" w:hAnsi="宋体" w:cs="宋体"/>
          <w:sz w:val="18"/>
          <w:szCs w:val="18"/>
          <w:lang w:val="en-US" w:eastAsia="zh-CN"/>
        </w:rPr>
        <w:t xml:space="preserve">                                                                               </w:t>
      </w:r>
      <w:r>
        <w:rPr>
          <w:rFonts w:ascii="宋体" w:hAnsi="宋体" w:eastAsia="宋体" w:cs="宋体"/>
          <w:sz w:val="18"/>
          <w:szCs w:val="18"/>
        </w:rPr>
        <w:t>单位：元</w:t>
      </w:r>
    </w:p>
    <w:tbl>
      <w:tblPr>
        <w:tblStyle w:val="5"/>
        <w:tblW w:w="964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承租方名称</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租赁资产种类</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本期确认的租赁收入</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上期确认的租赁收入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湖南炜铂科技有限公司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办公楼</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251,367.65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245,634.34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湖南炜铂科技有限公司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房屋</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5,137.62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15,412.84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中南大学粉末冶金工程研究中心有限公司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房屋</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214,648.63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226,566.03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湖南博云投资管理有限公司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房屋</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86,154.71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52,004.62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湖南飞机起降系统技术研发有限公司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房屋</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7,590.06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湖南沃尔博精密工具有限公司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办公楼</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480,513.00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湖南炜铂新材料科技有限公司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房屋</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1,100.92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湖南炜铂新材料科技有限公司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办公楼</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89,986.35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湖南沃尔博精密工具有限公司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房屋</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5,137.61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合计</w:t>
            </w:r>
          </w:p>
        </w:tc>
        <w:tc>
          <w:tcPr>
            <w:tcW w:w="2410" w:type="dxa"/>
            <w:tcBorders>
              <w:top w:val="single" w:color="auto" w:sz="2" w:space="0"/>
              <w:left w:val="single" w:color="auto" w:sz="2" w:space="0"/>
              <w:bottom w:val="single" w:color="auto" w:sz="2" w:space="0"/>
              <w:right w:val="single" w:color="auto" w:sz="2" w:space="0"/>
            </w:tcBorders>
            <w:vAlign w:val="center"/>
          </w:tcPr>
          <w:p>
            <w:pPr>
              <w:jc w:val="left"/>
              <w:rPr>
                <w:rFonts w:ascii="宋体" w:hAnsi="宋体" w:eastAsia="宋体" w:cs="宋体"/>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1,134,046.49</w:t>
            </w:r>
          </w:p>
        </w:tc>
        <w:tc>
          <w:tcPr>
            <w:tcW w:w="2410"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547,207.89</w:t>
            </w:r>
          </w:p>
        </w:tc>
      </w:tr>
    </w:tbl>
    <w:p>
      <w:pPr>
        <w:keepNext w:val="0"/>
        <w:keepLines w:val="0"/>
        <w:pageBreakBefore w:val="0"/>
        <w:widowControl w:val="0"/>
        <w:kinsoku/>
        <w:wordWrap/>
        <w:overflowPunct/>
        <w:topLinePunct w:val="0"/>
        <w:autoSpaceDE/>
        <w:autoSpaceDN/>
        <w:bidi w:val="0"/>
        <w:adjustRightInd/>
        <w:snapToGrid/>
        <w:spacing w:before="280" w:after="40" w:line="240" w:lineRule="exact"/>
        <w:jc w:val="left"/>
        <w:textAlignment w:val="auto"/>
        <w:rPr>
          <w:rFonts w:ascii="宋体" w:hAnsi="宋体" w:eastAsia="宋体" w:cs="宋体"/>
          <w:sz w:val="18"/>
          <w:szCs w:val="18"/>
        </w:rPr>
      </w:pPr>
      <w:r>
        <w:rPr>
          <w:rFonts w:ascii="宋体" w:hAnsi="宋体" w:eastAsia="宋体" w:cs="宋体"/>
          <w:sz w:val="18"/>
          <w:szCs w:val="18"/>
        </w:rPr>
        <w:t>本公司作为承租方：</w:t>
      </w:r>
      <w:r>
        <w:rPr>
          <w:rFonts w:hint="eastAsia" w:ascii="宋体" w:hAnsi="宋体" w:cs="宋体"/>
          <w:sz w:val="18"/>
          <w:szCs w:val="18"/>
          <w:lang w:val="en-US" w:eastAsia="zh-CN"/>
        </w:rPr>
        <w:t xml:space="preserve">                                                                              </w:t>
      </w:r>
      <w:r>
        <w:rPr>
          <w:rFonts w:ascii="宋体" w:hAnsi="宋体" w:eastAsia="宋体" w:cs="宋体"/>
          <w:sz w:val="18"/>
          <w:szCs w:val="18"/>
        </w:rPr>
        <w:t>单位：元</w:t>
      </w:r>
    </w:p>
    <w:tbl>
      <w:tblPr>
        <w:tblStyle w:val="5"/>
        <w:tblW w:w="963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03"/>
        <w:gridCol w:w="803"/>
        <w:gridCol w:w="803"/>
        <w:gridCol w:w="803"/>
        <w:gridCol w:w="803"/>
        <w:gridCol w:w="803"/>
        <w:gridCol w:w="803"/>
        <w:gridCol w:w="803"/>
        <w:gridCol w:w="803"/>
        <w:gridCol w:w="803"/>
        <w:gridCol w:w="803"/>
        <w:gridCol w:w="80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出租方名称</w:t>
            </w:r>
          </w:p>
        </w:tc>
        <w:tc>
          <w:tcPr>
            <w:tcW w:w="8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租赁资产种类</w:t>
            </w:r>
          </w:p>
        </w:tc>
        <w:tc>
          <w:tcPr>
            <w:tcW w:w="160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简化处理的短期租赁和低价值资产租赁的租金费用（如适用）</w:t>
            </w:r>
          </w:p>
        </w:tc>
        <w:tc>
          <w:tcPr>
            <w:tcW w:w="160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未纳入租赁负债计量的可变租赁付款额（如适用）</w:t>
            </w:r>
          </w:p>
        </w:tc>
        <w:tc>
          <w:tcPr>
            <w:tcW w:w="160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支付的租金</w:t>
            </w:r>
          </w:p>
        </w:tc>
        <w:tc>
          <w:tcPr>
            <w:tcW w:w="160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承担的租赁负债利息支出</w:t>
            </w:r>
          </w:p>
        </w:tc>
        <w:tc>
          <w:tcPr>
            <w:tcW w:w="160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增加的使用权资产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vMerge w:val="continue"/>
            <w:tcBorders>
              <w:top w:val="single" w:color="auto" w:sz="2" w:space="0"/>
              <w:left w:val="single" w:color="auto" w:sz="2" w:space="0"/>
              <w:bottom w:val="single" w:color="auto" w:sz="2" w:space="0"/>
              <w:right w:val="single" w:color="auto" w:sz="2" w:space="0"/>
            </w:tcBorders>
            <w:vAlign w:val="center"/>
          </w:tcPr>
          <w:p/>
        </w:tc>
        <w:tc>
          <w:tcPr>
            <w:tcW w:w="803" w:type="dxa"/>
            <w:vMerge w:val="continue"/>
            <w:tcBorders>
              <w:top w:val="single" w:color="auto" w:sz="2" w:space="0"/>
              <w:left w:val="single" w:color="auto" w:sz="2" w:space="0"/>
              <w:bottom w:val="single" w:color="auto" w:sz="2" w:space="0"/>
              <w:right w:val="single" w:color="auto" w:sz="2" w:space="0"/>
            </w:tcBorders>
            <w:vAlign w:val="center"/>
          </w:tcP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湖南飞机起降系统技术研发有限公司</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房屋</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9,624.16</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9,624.16</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湖南博云汽车制动材料有限公司</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房屋</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36,720.00</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9,360.00</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36,720.00</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9,360.00</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宋体" w:hAnsi="宋体" w:eastAsia="宋体" w:cs="宋体"/>
                <w:sz w:val="18"/>
                <w:szCs w:val="18"/>
                <w:highlight w:val="none"/>
              </w:rPr>
            </w:pPr>
            <w:bookmarkStart w:id="397" w:name="_Toc989262"/>
            <w:r>
              <w:rPr>
                <w:rFonts w:hint="eastAsia" w:ascii="宋体" w:hAnsi="宋体" w:eastAsia="宋体" w:cs="宋体"/>
                <w:i w:val="0"/>
                <w:iCs w:val="0"/>
                <w:color w:val="000000"/>
                <w:kern w:val="0"/>
                <w:sz w:val="22"/>
                <w:szCs w:val="22"/>
                <w:highlight w:val="none"/>
                <w:u w:val="none"/>
                <w:lang w:val="en-US" w:eastAsia="zh-CN" w:bidi="ar"/>
              </w:rPr>
              <w:t>合计</w:t>
            </w:r>
          </w:p>
        </w:tc>
        <w:tc>
          <w:tcPr>
            <w:tcW w:w="803" w:type="dxa"/>
            <w:tcBorders>
              <w:top w:val="single" w:color="auto" w:sz="2" w:space="0"/>
              <w:left w:val="single" w:color="auto" w:sz="2" w:space="0"/>
              <w:bottom w:val="single" w:color="auto" w:sz="2" w:space="0"/>
              <w:right w:val="single" w:color="auto" w:sz="2" w:space="0"/>
            </w:tcBorders>
            <w:vAlign w:val="center"/>
          </w:tcPr>
          <w:p>
            <w:pPr>
              <w:rPr>
                <w:rFonts w:ascii="宋体" w:hAnsi="宋体" w:eastAsia="宋体" w:cs="宋体"/>
                <w:sz w:val="18"/>
                <w:szCs w:val="18"/>
                <w:highlight w:val="none"/>
              </w:rPr>
            </w:pPr>
          </w:p>
        </w:tc>
        <w:tc>
          <w:tcPr>
            <w:tcW w:w="80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46,344.16</w:t>
            </w:r>
          </w:p>
        </w:tc>
        <w:tc>
          <w:tcPr>
            <w:tcW w:w="80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9,360.00</w:t>
            </w:r>
          </w:p>
        </w:tc>
        <w:tc>
          <w:tcPr>
            <w:tcW w:w="80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right"/>
              <w:textAlignment w:val="center"/>
              <w:rPr>
                <w:rFonts w:ascii="宋体" w:hAnsi="宋体" w:eastAsia="宋体" w:cs="宋体"/>
                <w:sz w:val="18"/>
                <w:szCs w:val="18"/>
                <w:highlight w:val="none"/>
              </w:rPr>
            </w:pPr>
          </w:p>
        </w:tc>
        <w:tc>
          <w:tcPr>
            <w:tcW w:w="80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right"/>
              <w:textAlignment w:val="center"/>
              <w:rPr>
                <w:rFonts w:ascii="宋体" w:hAnsi="宋体" w:eastAsia="宋体" w:cs="宋体"/>
                <w:sz w:val="18"/>
                <w:szCs w:val="18"/>
                <w:highlight w:val="none"/>
              </w:rPr>
            </w:pPr>
          </w:p>
        </w:tc>
        <w:tc>
          <w:tcPr>
            <w:tcW w:w="80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46,344.16</w:t>
            </w:r>
          </w:p>
        </w:tc>
        <w:tc>
          <w:tcPr>
            <w:tcW w:w="80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9,360.00</w:t>
            </w:r>
          </w:p>
        </w:tc>
        <w:tc>
          <w:tcPr>
            <w:tcW w:w="80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宋体" w:hAnsi="宋体" w:eastAsia="宋体" w:cs="宋体"/>
                <w:sz w:val="18"/>
                <w:szCs w:val="18"/>
                <w:highlight w:val="none"/>
              </w:rPr>
            </w:pPr>
          </w:p>
        </w:tc>
        <w:tc>
          <w:tcPr>
            <w:tcW w:w="803" w:type="dxa"/>
            <w:tcBorders>
              <w:top w:val="single" w:color="auto" w:sz="2" w:space="0"/>
              <w:left w:val="single" w:color="auto" w:sz="2" w:space="0"/>
              <w:bottom w:val="single" w:color="auto" w:sz="2" w:space="0"/>
              <w:right w:val="single" w:color="auto" w:sz="2" w:space="0"/>
            </w:tcBorders>
            <w:vAlign w:val="center"/>
          </w:tcPr>
          <w:p>
            <w:pPr>
              <w:rPr>
                <w:rFonts w:ascii="宋体" w:hAnsi="宋体" w:eastAsia="宋体" w:cs="宋体"/>
                <w:sz w:val="18"/>
                <w:szCs w:val="18"/>
                <w:highlight w:val="none"/>
              </w:rPr>
            </w:pPr>
          </w:p>
        </w:tc>
        <w:tc>
          <w:tcPr>
            <w:tcW w:w="80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right"/>
              <w:textAlignment w:val="center"/>
              <w:rPr>
                <w:rFonts w:ascii="宋体" w:hAnsi="宋体" w:eastAsia="宋体" w:cs="宋体"/>
                <w:sz w:val="18"/>
                <w:szCs w:val="18"/>
                <w:highlight w:val="none"/>
              </w:rPr>
            </w:pPr>
          </w:p>
        </w:tc>
        <w:tc>
          <w:tcPr>
            <w:tcW w:w="80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right"/>
              <w:textAlignment w:val="center"/>
              <w:rPr>
                <w:rFonts w:ascii="宋体" w:hAnsi="宋体" w:eastAsia="宋体" w:cs="宋体"/>
                <w:sz w:val="18"/>
                <w:szCs w:val="18"/>
                <w:highlight w:val="none"/>
              </w:rPr>
            </w:pPr>
          </w:p>
        </w:tc>
      </w:tr>
    </w:tbl>
    <w:p>
      <w:pPr>
        <w:keepNext/>
        <w:keepLines/>
        <w:spacing w:before="300" w:after="300" w:line="280" w:lineRule="exact"/>
        <w:jc w:val="left"/>
        <w:outlineLvl w:val="3"/>
        <w:rPr>
          <w:rFonts w:ascii="宋体" w:hAnsi="宋体" w:eastAsia="宋体" w:cs="宋体"/>
          <w:b/>
          <w:bCs/>
          <w:sz w:val="21"/>
          <w:szCs w:val="21"/>
        </w:rPr>
      </w:pPr>
      <w:r>
        <w:rPr>
          <w:rFonts w:hint="eastAsia" w:ascii="宋体" w:hAnsi="宋体" w:eastAsia="宋体" w:cs="宋体"/>
          <w:b/>
          <w:bCs/>
          <w:sz w:val="21"/>
          <w:szCs w:val="21"/>
          <w:lang w:val="en-US" w:eastAsia="zh-CN"/>
        </w:rPr>
        <w:t>3.</w:t>
      </w:r>
      <w:r>
        <w:rPr>
          <w:rFonts w:ascii="宋体" w:hAnsi="宋体" w:eastAsia="宋体" w:cs="宋体"/>
          <w:b/>
          <w:bCs/>
          <w:sz w:val="21"/>
          <w:szCs w:val="21"/>
        </w:rPr>
        <w:t>关键管理人员报酬</w:t>
      </w:r>
      <w:bookmarkEnd w:id="397"/>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关键管理人员薪酬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hint="eastAsia" w:ascii="宋体" w:hAnsi="宋体" w:cs="宋体"/>
                <w:sz w:val="18"/>
                <w:szCs w:val="18"/>
                <w:lang w:val="en-US" w:eastAsia="zh-CN"/>
              </w:rPr>
              <w:t>3,927,502.47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4,486,000.00</w:t>
            </w:r>
          </w:p>
        </w:tc>
      </w:tr>
    </w:tbl>
    <w:p>
      <w:pPr>
        <w:keepNext/>
        <w:keepLines/>
        <w:spacing w:before="300" w:after="300" w:line="280" w:lineRule="exact"/>
        <w:jc w:val="left"/>
        <w:outlineLvl w:val="2"/>
        <w:rPr>
          <w:rFonts w:ascii="宋体" w:hAnsi="宋体" w:eastAsia="宋体" w:cs="宋体"/>
          <w:b/>
          <w:bCs/>
          <w:sz w:val="21"/>
          <w:szCs w:val="21"/>
        </w:rPr>
      </w:pPr>
      <w:bookmarkStart w:id="398" w:name="_Toc989263"/>
      <w:r>
        <w:rPr>
          <w:rFonts w:hint="eastAsia" w:ascii="宋体" w:hAnsi="宋体" w:eastAsia="宋体" w:cs="宋体"/>
          <w:b/>
          <w:bCs/>
          <w:sz w:val="21"/>
          <w:szCs w:val="21"/>
          <w:lang w:eastAsia="zh-CN"/>
        </w:rPr>
        <w:t>（六）</w:t>
      </w:r>
      <w:r>
        <w:rPr>
          <w:rFonts w:ascii="宋体" w:hAnsi="宋体" w:eastAsia="宋体" w:cs="宋体"/>
          <w:b/>
          <w:bCs/>
          <w:sz w:val="21"/>
          <w:szCs w:val="21"/>
        </w:rPr>
        <w:t>关联方应收应付款项</w:t>
      </w:r>
      <w:bookmarkEnd w:id="398"/>
    </w:p>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3"/>
        <w:rPr>
          <w:rFonts w:ascii="宋体" w:hAnsi="宋体" w:eastAsia="宋体" w:cs="宋体"/>
          <w:b/>
          <w:bCs/>
          <w:sz w:val="21"/>
          <w:szCs w:val="21"/>
        </w:rPr>
      </w:pPr>
      <w:bookmarkStart w:id="399" w:name="_Toc989264"/>
      <w:r>
        <w:rPr>
          <w:rFonts w:hint="eastAsia" w:ascii="宋体" w:hAnsi="宋体" w:eastAsia="宋体" w:cs="宋体"/>
          <w:b/>
          <w:bCs/>
          <w:sz w:val="21"/>
          <w:szCs w:val="21"/>
          <w:lang w:val="en-US" w:eastAsia="zh-CN"/>
        </w:rPr>
        <w:t>1.</w:t>
      </w:r>
      <w:r>
        <w:rPr>
          <w:rFonts w:ascii="宋体" w:hAnsi="宋体" w:eastAsia="宋体" w:cs="宋体"/>
          <w:b/>
          <w:bCs/>
          <w:sz w:val="21"/>
          <w:szCs w:val="21"/>
        </w:rPr>
        <w:t>应收项目</w:t>
      </w:r>
      <w:bookmarkEnd w:id="39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项目名称</w:t>
            </w:r>
          </w:p>
        </w:tc>
        <w:tc>
          <w:tcPr>
            <w:tcW w:w="160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关联方</w:t>
            </w:r>
          </w:p>
        </w:tc>
        <w:tc>
          <w:tcPr>
            <w:tcW w:w="321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60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应收账款</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沃尔夫切削技术（太仓）有限公司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0.31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0.31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中南大学粉末冶金工程研究中心有限公司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2,015.51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100.78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霍尼韦尔博云航空系统（湖南）有限公司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17,804,317.04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2,489,907.87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19,391,732.25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1,819,122.29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湖南建院建设工程检测有限责任公司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46,341.32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2,317.07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湖南沃尔博精密工具有限公司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1,436.70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71.84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47,600.00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2,380.00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WOLF Precision Tools India Pvt.Ltd</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208,244.76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10,412.24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WOLF Werkzeugtechnologie GmbH</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346,989.56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48,823.85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310,656.18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28,424.23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湖南省机械设备进出口有限公司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418,720.10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20,936.01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230,847.18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11,542.36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湖南炜铂科技有限公司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291,246.80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14,562.34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湖南炜铂新材料科技有限公司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98,085.12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4,904.26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其他应收款</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中南大学粉末冶金工程研究中心有限公司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14,675.70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733.78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13,552.10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677.61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湖南飞机起降系统技术研发有限公司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预付账款</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湖南博云汽车制动材料有限公司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2,500.00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2,500.00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其他非流动资产</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湖南省机械设备进出口有限公司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1,398,872.56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3"/>
        <w:rPr>
          <w:rFonts w:hint="eastAsia" w:ascii="宋体" w:hAnsi="宋体" w:eastAsia="宋体" w:cs="宋体"/>
          <w:b/>
          <w:bCs/>
          <w:sz w:val="21"/>
          <w:szCs w:val="21"/>
          <w:lang w:val="en-US" w:eastAsia="zh-CN"/>
        </w:rPr>
      </w:pPr>
      <w:bookmarkStart w:id="400" w:name="_Toc989265"/>
      <w:r>
        <w:rPr>
          <w:rFonts w:hint="eastAsia" w:ascii="宋体" w:hAnsi="宋体" w:eastAsia="宋体" w:cs="宋体"/>
          <w:b/>
          <w:bCs/>
          <w:sz w:val="21"/>
          <w:szCs w:val="21"/>
          <w:lang w:val="en-US" w:eastAsia="zh-CN"/>
        </w:rPr>
        <w:t>2.应付项目</w:t>
      </w:r>
      <w:bookmarkEnd w:id="400"/>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项目名称</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关联方</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期末账面余额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期初账面余额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应付账款</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湖南省建设项目投资管理有限责任公司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72,750.00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1,012,350.00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湖南省机械设备进出口有限公司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227,540.51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湖南沃尔博精密工具有限公司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4,692.86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其他应付款</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中南大学粉末冶金工程研究中心有限公司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4,200.00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34,860,000.00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湖南炜铂科技有限公司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湖南博云投资管理有限公司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1,100.00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湖南飞机起降系统技术研发有限公司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湖南沃尔博精密工具有限公司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25,500.32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4,400.00</w:t>
            </w:r>
          </w:p>
        </w:tc>
      </w:tr>
    </w:tbl>
    <w:p>
      <w:pPr>
        <w:keepNext/>
        <w:keepLines/>
        <w:spacing w:before="300" w:after="300" w:line="280" w:lineRule="exact"/>
        <w:jc w:val="left"/>
        <w:outlineLvl w:val="2"/>
        <w:rPr>
          <w:rFonts w:ascii="宋体" w:hAnsi="宋体" w:eastAsia="宋体" w:cs="宋体"/>
          <w:b/>
          <w:bCs/>
          <w:sz w:val="21"/>
          <w:szCs w:val="21"/>
        </w:rPr>
      </w:pPr>
      <w:bookmarkStart w:id="401" w:name="_Toc989266"/>
      <w:r>
        <w:rPr>
          <w:rFonts w:hint="eastAsia" w:ascii="宋体" w:hAnsi="宋体" w:eastAsia="宋体" w:cs="宋体"/>
          <w:b/>
          <w:bCs/>
          <w:sz w:val="21"/>
          <w:szCs w:val="21"/>
          <w:lang w:val="en-US" w:eastAsia="zh-CN"/>
        </w:rPr>
        <w:t>（七）</w:t>
      </w:r>
      <w:r>
        <w:rPr>
          <w:rFonts w:ascii="宋体" w:hAnsi="宋体" w:eastAsia="宋体" w:cs="宋体"/>
          <w:b/>
          <w:bCs/>
          <w:sz w:val="21"/>
          <w:szCs w:val="21"/>
        </w:rPr>
        <w:t>关联方承诺</w:t>
      </w:r>
      <w:bookmarkEnd w:id="401"/>
    </w:p>
    <w:p>
      <w:pPr>
        <w:keepNext/>
        <w:keepLines/>
        <w:pageBreakBefore w:val="0"/>
        <w:widowControl w:val="0"/>
        <w:kinsoku/>
        <w:wordWrap/>
        <w:overflowPunct/>
        <w:topLinePunct w:val="0"/>
        <w:autoSpaceDE/>
        <w:autoSpaceDN/>
        <w:bidi w:val="0"/>
        <w:adjustRightInd/>
        <w:snapToGrid/>
        <w:spacing w:before="157" w:beforeLines="50" w:line="280" w:lineRule="exact"/>
        <w:ind w:firstLine="420" w:firstLineChars="200"/>
        <w:jc w:val="left"/>
        <w:textAlignment w:val="auto"/>
        <w:outlineLvl w:val="9"/>
        <w:rPr>
          <w:rFonts w:hint="default" w:ascii="宋体" w:hAnsi="宋体" w:eastAsia="宋体" w:cs="宋体"/>
          <w:color w:val="000000"/>
          <w:kern w:val="0"/>
          <w:sz w:val="21"/>
          <w:szCs w:val="21"/>
          <w:lang w:val="en-US" w:eastAsia="zh-CN" w:bidi="ar"/>
        </w:rPr>
      </w:pPr>
      <w:bookmarkStart w:id="402" w:name="_Toc989267"/>
      <w:r>
        <w:rPr>
          <w:rFonts w:hint="eastAsia" w:ascii="宋体" w:hAnsi="宋体" w:eastAsia="宋体" w:cs="宋体"/>
          <w:color w:val="000000"/>
          <w:kern w:val="0"/>
          <w:sz w:val="21"/>
          <w:szCs w:val="21"/>
          <w:lang w:val="en-US" w:eastAsia="zh-CN" w:bidi="ar"/>
        </w:rPr>
        <w:t>代为培育承诺</w:t>
      </w:r>
      <w:r>
        <w:rPr>
          <w:rFonts w:hint="eastAsia" w:ascii="宋体" w:hAnsi="宋体" w:cs="宋体"/>
          <w:color w:val="000000"/>
          <w:kern w:val="0"/>
          <w:sz w:val="21"/>
          <w:szCs w:val="21"/>
          <w:lang w:val="en-US" w:eastAsia="zh-CN" w:bidi="ar"/>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pPr>
      <w:r>
        <w:rPr>
          <w:rFonts w:hint="eastAsia" w:ascii="宋体" w:hAnsi="宋体" w:eastAsia="宋体" w:cs="宋体"/>
          <w:color w:val="000000"/>
          <w:sz w:val="21"/>
          <w:szCs w:val="21"/>
        </w:rPr>
        <w:t>公司于</w:t>
      </w:r>
      <w:r>
        <w:rPr>
          <w:rFonts w:hint="default" w:ascii="Times New Roman" w:hAnsi="Times New Roman" w:eastAsia="宋体" w:cs="Times New Roman"/>
          <w:color w:val="000000"/>
          <w:sz w:val="21"/>
          <w:szCs w:val="21"/>
        </w:rPr>
        <w:t>2024</w:t>
      </w:r>
      <w:r>
        <w:rPr>
          <w:rFonts w:hint="eastAsia" w:ascii="宋体" w:hAnsi="宋体" w:eastAsia="宋体" w:cs="宋体"/>
          <w:color w:val="000000"/>
          <w:sz w:val="21"/>
          <w:szCs w:val="21"/>
        </w:rPr>
        <w:t>年</w:t>
      </w:r>
      <w:r>
        <w:rPr>
          <w:rFonts w:hint="default" w:ascii="Times New Roman" w:hAnsi="Times New Roman" w:eastAsia="宋体" w:cs="Times New Roman"/>
          <w:color w:val="000000"/>
          <w:sz w:val="21"/>
          <w:szCs w:val="21"/>
        </w:rPr>
        <w:t>6</w:t>
      </w:r>
      <w:r>
        <w:rPr>
          <w:rFonts w:hint="eastAsia" w:ascii="宋体" w:hAnsi="宋体" w:eastAsia="宋体" w:cs="宋体"/>
          <w:color w:val="000000"/>
          <w:sz w:val="21"/>
          <w:szCs w:val="21"/>
        </w:rPr>
        <w:t>月</w:t>
      </w:r>
      <w:r>
        <w:rPr>
          <w:rFonts w:hint="default" w:ascii="Times New Roman" w:hAnsi="Times New Roman" w:eastAsia="宋体" w:cs="Times New Roman"/>
          <w:color w:val="000000"/>
          <w:sz w:val="21"/>
          <w:szCs w:val="21"/>
        </w:rPr>
        <w:t>11</w:t>
      </w:r>
      <w:r>
        <w:rPr>
          <w:rFonts w:hint="eastAsia" w:ascii="宋体" w:hAnsi="宋体" w:eastAsia="宋体" w:cs="宋体"/>
          <w:color w:val="000000"/>
          <w:sz w:val="21"/>
          <w:szCs w:val="21"/>
        </w:rPr>
        <w:t>日审议通过了《湖南博云新材料股份有限公司关于与控股股东和兴湘资本签署〈代为培育协议〉暨关联交易的议案》，同意公司与控股股东中南大学粉末冶金工程研究中心有限公司（以下简称</w:t>
      </w:r>
      <w:r>
        <w:rPr>
          <w:rFonts w:hint="default" w:ascii="Times New Roman" w:hAnsi="Times New Roman" w:eastAsia="宋体" w:cs="Times New Roman"/>
          <w:color w:val="000000"/>
          <w:sz w:val="21"/>
          <w:szCs w:val="21"/>
        </w:rPr>
        <w:t>“</w:t>
      </w:r>
      <w:r>
        <w:rPr>
          <w:rFonts w:hint="eastAsia" w:ascii="宋体" w:hAnsi="宋体" w:eastAsia="宋体" w:cs="宋体"/>
          <w:color w:val="000000"/>
          <w:sz w:val="21"/>
          <w:szCs w:val="21"/>
        </w:rPr>
        <w:t>粉冶中心</w:t>
      </w:r>
      <w:r>
        <w:rPr>
          <w:rFonts w:hint="default" w:ascii="Times New Roman" w:hAnsi="Times New Roman" w:eastAsia="宋体" w:cs="Times New Roman"/>
          <w:color w:val="000000"/>
          <w:sz w:val="21"/>
          <w:szCs w:val="21"/>
        </w:rPr>
        <w:t>”</w:t>
      </w:r>
      <w:r>
        <w:rPr>
          <w:rFonts w:hint="eastAsia" w:ascii="宋体" w:hAnsi="宋体" w:eastAsia="宋体" w:cs="宋体"/>
          <w:color w:val="000000"/>
          <w:sz w:val="21"/>
          <w:szCs w:val="21"/>
        </w:rPr>
        <w:t>）及湖南兴湘资本管理有限公司（以下简称</w:t>
      </w:r>
      <w:r>
        <w:rPr>
          <w:rFonts w:hint="default" w:ascii="Times New Roman" w:hAnsi="Times New Roman" w:eastAsia="宋体" w:cs="Times New Roman"/>
          <w:color w:val="000000"/>
          <w:sz w:val="21"/>
          <w:szCs w:val="21"/>
        </w:rPr>
        <w:t>“</w:t>
      </w:r>
      <w:r>
        <w:rPr>
          <w:rFonts w:hint="eastAsia" w:ascii="宋体" w:hAnsi="宋体" w:eastAsia="宋体" w:cs="宋体"/>
          <w:color w:val="000000"/>
          <w:sz w:val="21"/>
          <w:szCs w:val="21"/>
        </w:rPr>
        <w:t>兴湘资本</w:t>
      </w:r>
      <w:r>
        <w:rPr>
          <w:rFonts w:hint="default" w:ascii="Times New Roman" w:hAnsi="Times New Roman" w:eastAsia="宋体" w:cs="Times New Roman"/>
          <w:color w:val="000000"/>
          <w:sz w:val="21"/>
          <w:szCs w:val="21"/>
        </w:rPr>
        <w:t>”</w:t>
      </w:r>
      <w:r>
        <w:rPr>
          <w:rFonts w:hint="eastAsia" w:ascii="宋体" w:hAnsi="宋体" w:eastAsia="宋体" w:cs="宋体"/>
          <w:color w:val="000000"/>
          <w:sz w:val="21"/>
          <w:szCs w:val="21"/>
        </w:rPr>
        <w:t>）签署《代为培育协议》。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pPr>
      <w:r>
        <w:rPr>
          <w:rFonts w:hint="eastAsia" w:ascii="宋体" w:hAnsi="宋体" w:eastAsia="宋体" w:cs="宋体"/>
          <w:color w:val="000000"/>
          <w:sz w:val="21"/>
          <w:szCs w:val="21"/>
        </w:rPr>
        <w:t>由粉冶中心和兴湘资本按照市场原则为公司代为培育符合公司需要的，但暂不适合公司实施的飞机机轮刹车系统部分核心部件关键技术研究与产品开发项目（主要包括飞机铝合金轮毂部分组件、高性能低成本碳盘和控制系统部分附件，以下简称</w:t>
      </w:r>
      <w:r>
        <w:rPr>
          <w:rFonts w:hint="default" w:ascii="Times New Roman" w:hAnsi="Times New Roman" w:eastAsia="宋体" w:cs="Times New Roman"/>
          <w:color w:val="000000"/>
          <w:sz w:val="21"/>
          <w:szCs w:val="21"/>
        </w:rPr>
        <w:t>“</w:t>
      </w:r>
      <w:r>
        <w:rPr>
          <w:rFonts w:hint="eastAsia" w:ascii="宋体" w:hAnsi="宋体" w:eastAsia="宋体" w:cs="宋体"/>
          <w:color w:val="000000"/>
          <w:sz w:val="21"/>
          <w:szCs w:val="21"/>
        </w:rPr>
        <w:t>培育标的</w:t>
      </w:r>
      <w:r>
        <w:rPr>
          <w:rFonts w:hint="default" w:ascii="Times New Roman" w:hAnsi="Times New Roman" w:eastAsia="宋体" w:cs="Times New Roman"/>
          <w:color w:val="000000"/>
          <w:sz w:val="21"/>
          <w:szCs w:val="21"/>
        </w:rPr>
        <w:t>”</w:t>
      </w:r>
      <w:r>
        <w:rPr>
          <w:rFonts w:hint="eastAsia" w:ascii="宋体" w:hAnsi="宋体" w:eastAsia="宋体" w:cs="宋体"/>
          <w:color w:val="000000"/>
          <w:sz w:val="21"/>
          <w:szCs w:val="21"/>
        </w:rPr>
        <w:t>）的研发、生产。培育标的成熟达到注入上市公司的条件时，粉</w:t>
      </w:r>
      <w:r>
        <w:rPr>
          <w:rFonts w:hint="eastAsia" w:ascii="宋体" w:hAnsi="宋体" w:cs="宋体"/>
          <w:color w:val="000000"/>
          <w:sz w:val="21"/>
          <w:szCs w:val="21"/>
          <w:lang w:eastAsia="zh-CN"/>
        </w:rPr>
        <w:t>冶</w:t>
      </w:r>
      <w:r>
        <w:rPr>
          <w:rFonts w:hint="eastAsia" w:ascii="宋体" w:hAnsi="宋体" w:eastAsia="宋体" w:cs="宋体"/>
          <w:color w:val="000000"/>
          <w:sz w:val="21"/>
          <w:szCs w:val="21"/>
        </w:rPr>
        <w:t>中心和兴湘资本应立即书面通知公司，并启动将所持炜铂科技股权注入公司的程序。</w:t>
      </w:r>
    </w:p>
    <w:bookmarkEnd w:id="402"/>
    <w:p>
      <w:pPr>
        <w:keepNext/>
        <w:keepLines/>
        <w:spacing w:before="300" w:after="300" w:line="280" w:lineRule="exact"/>
        <w:jc w:val="left"/>
        <w:outlineLvl w:val="2"/>
        <w:rPr>
          <w:rFonts w:hint="eastAsia" w:ascii="宋体" w:hAnsi="宋体" w:eastAsia="宋体" w:cs="宋体"/>
          <w:b/>
          <w:bCs/>
          <w:sz w:val="21"/>
          <w:szCs w:val="21"/>
          <w:lang w:val="en-US" w:eastAsia="zh-CN"/>
        </w:rPr>
      </w:pPr>
      <w:bookmarkStart w:id="403" w:name="_Toc989268"/>
      <w:r>
        <w:rPr>
          <w:rFonts w:hint="eastAsia" w:ascii="宋体" w:hAnsi="宋体" w:eastAsia="宋体" w:cs="宋体"/>
          <w:b/>
          <w:bCs/>
          <w:sz w:val="21"/>
          <w:szCs w:val="21"/>
          <w:lang w:val="en-US" w:eastAsia="zh-CN"/>
        </w:rPr>
        <w:t>（八）其他</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无。</w:t>
      </w:r>
    </w:p>
    <w:p>
      <w:pPr>
        <w:keepNext/>
        <w:keepLines/>
        <w:spacing w:before="300" w:after="300" w:line="320" w:lineRule="exact"/>
        <w:jc w:val="left"/>
        <w:outlineLvl w:val="1"/>
        <w:rPr>
          <w:rFonts w:ascii="宋体" w:hAnsi="宋体" w:eastAsia="宋体" w:cs="宋体"/>
          <w:b/>
          <w:bCs/>
          <w:sz w:val="24"/>
          <w:szCs w:val="24"/>
        </w:rPr>
      </w:pPr>
      <w:r>
        <w:rPr>
          <w:rFonts w:ascii="宋体" w:hAnsi="宋体" w:eastAsia="宋体" w:cs="宋体"/>
          <w:b/>
          <w:bCs/>
          <w:sz w:val="24"/>
          <w:szCs w:val="24"/>
        </w:rPr>
        <w:t>十五、承诺及或有事项</w:t>
      </w:r>
      <w:bookmarkEnd w:id="403"/>
    </w:p>
    <w:p>
      <w:pPr>
        <w:keepNext/>
        <w:keepLines/>
        <w:spacing w:before="300" w:after="300" w:line="280" w:lineRule="exact"/>
        <w:jc w:val="left"/>
        <w:outlineLvl w:val="2"/>
        <w:rPr>
          <w:rFonts w:ascii="宋体" w:hAnsi="宋体" w:eastAsia="宋体" w:cs="宋体"/>
          <w:b/>
          <w:bCs/>
          <w:sz w:val="21"/>
          <w:szCs w:val="21"/>
        </w:rPr>
      </w:pPr>
      <w:r>
        <w:rPr>
          <w:rFonts w:hint="eastAsia" w:ascii="宋体" w:hAnsi="宋体" w:eastAsia="宋体" w:cs="宋体"/>
          <w:b/>
          <w:bCs/>
          <w:sz w:val="21"/>
          <w:szCs w:val="21"/>
          <w:lang w:eastAsia="zh-CN"/>
        </w:rPr>
        <w:t>（一）</w:t>
      </w:r>
      <w:r>
        <w:rPr>
          <w:rFonts w:ascii="宋体" w:hAnsi="宋体" w:eastAsia="宋体" w:cs="宋体"/>
          <w:b/>
          <w:bCs/>
          <w:sz w:val="21"/>
          <w:szCs w:val="21"/>
        </w:rPr>
        <w:t>重要承诺事项</w:t>
      </w:r>
    </w:p>
    <w:p>
      <w:pPr>
        <w:keepNext/>
        <w:keepLines/>
        <w:spacing w:before="300" w:after="300" w:line="280" w:lineRule="exact"/>
        <w:jc w:val="left"/>
        <w:outlineLvl w:val="3"/>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1.资产负债表日存在的重要承诺</w:t>
      </w:r>
    </w:p>
    <w:p>
      <w:pPr>
        <w:pStyle w:val="4"/>
        <w:keepNext w:val="0"/>
        <w:keepLines w:val="0"/>
        <w:widowControl/>
        <w:suppressLineNumbers w:val="0"/>
        <w:spacing w:before="0" w:beforeAutospacing="1" w:after="0" w:afterAutospacing="1"/>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截至资产负债表日，公司已开立未到期的信用证为</w:t>
      </w:r>
      <w:r>
        <w:rPr>
          <w:rFonts w:hint="default" w:ascii="Times New Roman" w:hAnsi="Times New Roman" w:eastAsia="宋体" w:cs="Times New Roman"/>
          <w:color w:val="000000"/>
          <w:sz w:val="21"/>
          <w:szCs w:val="21"/>
        </w:rPr>
        <w:t>5,957,034.06</w:t>
      </w:r>
      <w:r>
        <w:rPr>
          <w:rFonts w:hint="eastAsia" w:ascii="宋体" w:hAnsi="宋体" w:eastAsia="宋体" w:cs="宋体"/>
          <w:color w:val="000000"/>
          <w:sz w:val="21"/>
          <w:szCs w:val="21"/>
        </w:rPr>
        <w:t>元，其中：到期日为</w:t>
      </w:r>
      <w:r>
        <w:rPr>
          <w:rFonts w:hint="default" w:ascii="Times New Roman" w:hAnsi="Times New Roman" w:eastAsia="宋体" w:cs="Times New Roman"/>
          <w:color w:val="000000"/>
          <w:sz w:val="21"/>
          <w:szCs w:val="21"/>
        </w:rPr>
        <w:t>2025</w:t>
      </w:r>
      <w:r>
        <w:rPr>
          <w:rFonts w:hint="eastAsia" w:ascii="宋体" w:hAnsi="宋体" w:eastAsia="宋体" w:cs="宋体"/>
          <w:color w:val="000000"/>
          <w:sz w:val="21"/>
          <w:szCs w:val="21"/>
        </w:rPr>
        <w:t>年</w:t>
      </w:r>
      <w:r>
        <w:rPr>
          <w:rFonts w:hint="default" w:ascii="Times New Roman" w:hAnsi="Times New Roman" w:eastAsia="宋体" w:cs="Times New Roman"/>
          <w:color w:val="000000"/>
          <w:sz w:val="21"/>
          <w:szCs w:val="21"/>
        </w:rPr>
        <w:t>7</w:t>
      </w:r>
      <w:r>
        <w:rPr>
          <w:rFonts w:hint="eastAsia" w:ascii="宋体" w:hAnsi="宋体" w:eastAsia="宋体" w:cs="宋体"/>
          <w:color w:val="000000"/>
          <w:sz w:val="21"/>
          <w:szCs w:val="21"/>
        </w:rPr>
        <w:t>月</w:t>
      </w:r>
      <w:r>
        <w:rPr>
          <w:rFonts w:hint="default" w:ascii="Times New Roman" w:hAnsi="Times New Roman" w:eastAsia="宋体" w:cs="Times New Roman"/>
          <w:color w:val="000000"/>
          <w:sz w:val="21"/>
          <w:szCs w:val="21"/>
        </w:rPr>
        <w:t>3</w:t>
      </w:r>
      <w:r>
        <w:rPr>
          <w:rFonts w:hint="eastAsia" w:ascii="宋体" w:hAnsi="宋体" w:eastAsia="宋体" w:cs="宋体"/>
          <w:color w:val="000000"/>
          <w:sz w:val="21"/>
          <w:szCs w:val="21"/>
        </w:rPr>
        <w:t>日的信用证，信用证保证金</w:t>
      </w:r>
      <w:r>
        <w:rPr>
          <w:rFonts w:hint="default" w:ascii="Times New Roman" w:hAnsi="Times New Roman" w:eastAsia="宋体" w:cs="Times New Roman"/>
          <w:color w:val="000000"/>
          <w:sz w:val="21"/>
          <w:szCs w:val="21"/>
        </w:rPr>
        <w:t>2,856,821.95</w:t>
      </w:r>
      <w:r>
        <w:rPr>
          <w:rFonts w:hint="eastAsia" w:ascii="宋体" w:hAnsi="宋体" w:eastAsia="宋体" w:cs="宋体"/>
          <w:color w:val="000000"/>
          <w:sz w:val="21"/>
          <w:szCs w:val="21"/>
        </w:rPr>
        <w:t>元；到期日为</w:t>
      </w:r>
      <w:r>
        <w:rPr>
          <w:rFonts w:hint="default" w:ascii="Times New Roman" w:hAnsi="Times New Roman" w:eastAsia="宋体" w:cs="Times New Roman"/>
          <w:color w:val="000000"/>
          <w:sz w:val="21"/>
          <w:szCs w:val="21"/>
        </w:rPr>
        <w:t>2026</w:t>
      </w:r>
      <w:r>
        <w:rPr>
          <w:rFonts w:hint="eastAsia" w:ascii="宋体" w:hAnsi="宋体" w:eastAsia="宋体" w:cs="宋体"/>
          <w:color w:val="000000"/>
          <w:sz w:val="21"/>
          <w:szCs w:val="21"/>
        </w:rPr>
        <w:t>年</w:t>
      </w:r>
      <w:r>
        <w:rPr>
          <w:rFonts w:hint="default" w:ascii="Times New Roman" w:hAnsi="Times New Roman" w:eastAsia="宋体" w:cs="Times New Roman"/>
          <w:color w:val="000000"/>
          <w:sz w:val="21"/>
          <w:szCs w:val="21"/>
        </w:rPr>
        <w:t>3</w:t>
      </w:r>
      <w:r>
        <w:rPr>
          <w:rFonts w:hint="eastAsia" w:ascii="宋体" w:hAnsi="宋体" w:eastAsia="宋体" w:cs="宋体"/>
          <w:color w:val="000000"/>
          <w:sz w:val="21"/>
          <w:szCs w:val="21"/>
        </w:rPr>
        <w:t>月</w:t>
      </w:r>
      <w:r>
        <w:rPr>
          <w:rFonts w:hint="default" w:ascii="Times New Roman" w:hAnsi="Times New Roman" w:eastAsia="宋体" w:cs="Times New Roman"/>
          <w:color w:val="000000"/>
          <w:sz w:val="21"/>
          <w:szCs w:val="21"/>
        </w:rPr>
        <w:t>30</w:t>
      </w:r>
      <w:r>
        <w:rPr>
          <w:rFonts w:hint="eastAsia" w:ascii="宋体" w:hAnsi="宋体" w:eastAsia="宋体" w:cs="宋体"/>
          <w:color w:val="000000"/>
          <w:sz w:val="21"/>
          <w:szCs w:val="21"/>
        </w:rPr>
        <w:t>日的信用证，信用证保证金</w:t>
      </w:r>
      <w:r>
        <w:rPr>
          <w:rFonts w:hint="default" w:ascii="Times New Roman" w:hAnsi="Times New Roman" w:eastAsia="宋体" w:cs="Times New Roman"/>
          <w:color w:val="000000"/>
          <w:sz w:val="21"/>
          <w:szCs w:val="21"/>
        </w:rPr>
        <w:t>3,100,212.11</w:t>
      </w:r>
      <w:r>
        <w:rPr>
          <w:rFonts w:hint="eastAsia" w:ascii="宋体" w:hAnsi="宋体" w:eastAsia="宋体" w:cs="宋体"/>
          <w:color w:val="000000"/>
          <w:sz w:val="21"/>
          <w:szCs w:val="21"/>
        </w:rPr>
        <w:t>元</w:t>
      </w:r>
    </w:p>
    <w:p>
      <w:pPr>
        <w:keepNext/>
        <w:keepLines/>
        <w:spacing w:before="300" w:after="300" w:line="280" w:lineRule="exact"/>
        <w:jc w:val="left"/>
        <w:outlineLvl w:val="3"/>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2.除上述事项外，公司没有需要披露的其他承诺事项</w:t>
      </w:r>
    </w:p>
    <w:p>
      <w:pPr>
        <w:keepNext/>
        <w:keepLines/>
        <w:spacing w:before="300" w:after="300" w:line="280" w:lineRule="exact"/>
        <w:jc w:val="left"/>
        <w:outlineLvl w:val="2"/>
        <w:rPr>
          <w:rFonts w:ascii="宋体" w:hAnsi="宋体" w:eastAsia="宋体" w:cs="宋体"/>
          <w:b/>
          <w:bCs/>
          <w:sz w:val="21"/>
          <w:szCs w:val="21"/>
        </w:rPr>
      </w:pPr>
      <w:bookmarkStart w:id="404" w:name="_Toc989271"/>
      <w:r>
        <w:rPr>
          <w:rFonts w:hint="eastAsia" w:ascii="宋体" w:hAnsi="宋体" w:eastAsia="宋体" w:cs="宋体"/>
          <w:b/>
          <w:bCs/>
          <w:sz w:val="21"/>
          <w:szCs w:val="21"/>
          <w:lang w:eastAsia="zh-CN"/>
        </w:rPr>
        <w:t>（二）</w:t>
      </w:r>
      <w:r>
        <w:rPr>
          <w:rFonts w:ascii="宋体" w:hAnsi="宋体" w:eastAsia="宋体" w:cs="宋体"/>
          <w:b/>
          <w:bCs/>
          <w:sz w:val="21"/>
          <w:szCs w:val="21"/>
        </w:rPr>
        <w:t>或有事项</w:t>
      </w:r>
    </w:p>
    <w:bookmarkEnd w:id="404"/>
    <w:p>
      <w:pPr>
        <w:keepNext/>
        <w:keepLines/>
        <w:spacing w:before="300" w:after="300" w:line="280" w:lineRule="exact"/>
        <w:jc w:val="left"/>
        <w:outlineLvl w:val="3"/>
        <w:rPr>
          <w:rFonts w:ascii="宋体" w:hAnsi="宋体" w:eastAsia="宋体" w:cs="宋体"/>
          <w:b/>
          <w:bCs/>
          <w:sz w:val="21"/>
          <w:szCs w:val="21"/>
        </w:rPr>
      </w:pPr>
      <w:r>
        <w:rPr>
          <w:rFonts w:hint="eastAsia" w:ascii="宋体" w:hAnsi="宋体" w:eastAsia="宋体" w:cs="宋体"/>
          <w:b/>
          <w:bCs/>
          <w:sz w:val="21"/>
          <w:szCs w:val="21"/>
          <w:lang w:val="en-US" w:eastAsia="zh-CN"/>
        </w:rPr>
        <w:t>1.</w:t>
      </w:r>
      <w:r>
        <w:rPr>
          <w:rFonts w:ascii="宋体" w:hAnsi="宋体" w:eastAsia="宋体" w:cs="宋体"/>
          <w:b/>
          <w:bCs/>
          <w:sz w:val="21"/>
          <w:szCs w:val="21"/>
        </w:rPr>
        <w:t>资产负债表日存在的重要或有事项</w:t>
      </w:r>
    </w:p>
    <w:p>
      <w:pPr>
        <w:pStyle w:val="4"/>
        <w:keepNext w:val="0"/>
        <w:keepLines w:val="0"/>
        <w:widowControl/>
        <w:suppressLineNumbers w:val="0"/>
        <w:spacing w:before="0" w:beforeAutospacing="1" w:after="0" w:afterAutospacing="1"/>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截至资产负债表日，公司已背书或贴现且在资产负债表日尚未到期的应收票据金额为</w:t>
      </w:r>
      <w:r>
        <w:rPr>
          <w:rFonts w:hint="default" w:ascii="Times New Roman" w:hAnsi="Times New Roman" w:eastAsia="宋体" w:cs="Times New Roman"/>
          <w:color w:val="000000"/>
          <w:sz w:val="21"/>
          <w:szCs w:val="21"/>
        </w:rPr>
        <w:t>98,833,195.44</w:t>
      </w:r>
      <w:r>
        <w:rPr>
          <w:rFonts w:hint="eastAsia" w:ascii="宋体" w:hAnsi="宋体" w:eastAsia="宋体" w:cs="宋体"/>
          <w:color w:val="000000"/>
          <w:sz w:val="21"/>
          <w:szCs w:val="21"/>
        </w:rPr>
        <w:t>元，其中：已终止确认金额为</w:t>
      </w:r>
      <w:r>
        <w:rPr>
          <w:rFonts w:hint="default" w:ascii="Times New Roman" w:hAnsi="Times New Roman" w:eastAsia="宋体" w:cs="Times New Roman"/>
          <w:color w:val="000000"/>
          <w:sz w:val="21"/>
          <w:szCs w:val="21"/>
        </w:rPr>
        <w:t>53,605,175.99</w:t>
      </w:r>
      <w:r>
        <w:rPr>
          <w:rFonts w:hint="eastAsia" w:ascii="宋体" w:hAnsi="宋体" w:eastAsia="宋体" w:cs="宋体"/>
          <w:color w:val="000000"/>
          <w:sz w:val="21"/>
          <w:szCs w:val="21"/>
        </w:rPr>
        <w:t>元，未终止确认金额为</w:t>
      </w:r>
      <w:r>
        <w:rPr>
          <w:rFonts w:hint="default" w:ascii="Times New Roman" w:hAnsi="Times New Roman" w:eastAsia="宋体" w:cs="Times New Roman"/>
          <w:color w:val="000000"/>
          <w:sz w:val="21"/>
          <w:szCs w:val="21"/>
        </w:rPr>
        <w:t>45,228,019.45</w:t>
      </w:r>
      <w:r>
        <w:rPr>
          <w:rFonts w:hint="eastAsia" w:ascii="宋体" w:hAnsi="宋体" w:eastAsia="宋体" w:cs="宋体"/>
          <w:color w:val="000000"/>
          <w:sz w:val="21"/>
          <w:szCs w:val="21"/>
        </w:rPr>
        <w:t>元。</w:t>
      </w:r>
    </w:p>
    <w:p>
      <w:pPr>
        <w:pStyle w:val="4"/>
        <w:keepNext w:val="0"/>
        <w:keepLines w:val="0"/>
        <w:widowControl/>
        <w:suppressLineNumbers w:val="0"/>
        <w:spacing w:before="0" w:beforeAutospacing="1" w:after="0" w:afterAutospacing="1"/>
        <w:ind w:left="0" w:right="0"/>
        <w:rPr>
          <w:b w:val="0"/>
          <w:bCs/>
        </w:rPr>
      </w:pPr>
      <w:r>
        <w:rPr>
          <w:rStyle w:val="7"/>
          <w:rFonts w:hint="eastAsia" w:ascii="宋体" w:hAnsi="宋体" w:eastAsia="宋体" w:cs="宋体"/>
          <w:b w:val="0"/>
          <w:bCs/>
          <w:color w:val="000000"/>
          <w:sz w:val="21"/>
          <w:szCs w:val="21"/>
        </w:rPr>
        <w:t>除</w:t>
      </w:r>
      <w:r>
        <w:rPr>
          <w:rStyle w:val="7"/>
          <w:rFonts w:hint="eastAsia" w:ascii="宋体" w:hAnsi="宋体" w:cs="宋体"/>
          <w:b w:val="0"/>
          <w:bCs/>
          <w:color w:val="000000"/>
          <w:sz w:val="21"/>
          <w:szCs w:val="21"/>
          <w:lang w:eastAsia="zh-CN"/>
        </w:rPr>
        <w:t>上</w:t>
      </w:r>
      <w:r>
        <w:rPr>
          <w:rStyle w:val="7"/>
          <w:rFonts w:hint="eastAsia" w:ascii="宋体" w:hAnsi="宋体" w:eastAsia="宋体" w:cs="宋体"/>
          <w:b w:val="0"/>
          <w:bCs/>
          <w:color w:val="000000"/>
          <w:sz w:val="21"/>
          <w:szCs w:val="21"/>
        </w:rPr>
        <w:t>述事项外，公司没有需要披露的重要或有事项</w:t>
      </w:r>
    </w:p>
    <w:p>
      <w:pPr>
        <w:keepNext/>
        <w:keepLines/>
        <w:spacing w:before="300" w:after="300" w:line="280" w:lineRule="exact"/>
        <w:jc w:val="left"/>
        <w:outlineLvl w:val="3"/>
        <w:rPr>
          <w:rFonts w:ascii="宋体" w:hAnsi="宋体" w:eastAsia="宋体" w:cs="宋体"/>
          <w:b/>
          <w:bCs/>
          <w:sz w:val="21"/>
          <w:szCs w:val="21"/>
        </w:rPr>
      </w:pPr>
      <w:bookmarkStart w:id="405" w:name="_Toc989272"/>
      <w:r>
        <w:rPr>
          <w:rFonts w:hint="eastAsia" w:ascii="宋体" w:hAnsi="宋体" w:eastAsia="宋体" w:cs="宋体"/>
          <w:b/>
          <w:bCs/>
          <w:sz w:val="21"/>
          <w:szCs w:val="21"/>
          <w:lang w:val="en-US" w:eastAsia="zh-CN"/>
        </w:rPr>
        <w:t>2.</w:t>
      </w:r>
      <w:r>
        <w:rPr>
          <w:rFonts w:ascii="宋体" w:hAnsi="宋体" w:eastAsia="宋体" w:cs="宋体"/>
          <w:b/>
          <w:bCs/>
          <w:sz w:val="21"/>
          <w:szCs w:val="21"/>
        </w:rPr>
        <w:t>公司没有需要披露的重要或有事项，也应予以说明</w:t>
      </w:r>
      <w:bookmarkEnd w:id="405"/>
    </w:p>
    <w:p>
      <w:pPr>
        <w:spacing w:before="100" w:after="100" w:line="240" w:lineRule="exact"/>
        <w:jc w:val="left"/>
        <w:rPr>
          <w:rStyle w:val="7"/>
          <w:rFonts w:hint="eastAsia" w:ascii="宋体" w:hAnsi="宋体" w:eastAsia="宋体" w:cs="宋体"/>
          <w:b w:val="0"/>
          <w:bCs/>
          <w:color w:val="000000"/>
          <w:kern w:val="0"/>
          <w:sz w:val="21"/>
          <w:szCs w:val="21"/>
          <w:lang w:val="en-US" w:eastAsia="zh-CN" w:bidi="ar"/>
        </w:rPr>
      </w:pPr>
      <w:r>
        <w:rPr>
          <w:rStyle w:val="7"/>
          <w:rFonts w:hint="eastAsia" w:ascii="宋体" w:hAnsi="宋体" w:eastAsia="宋体" w:cs="宋体"/>
          <w:b w:val="0"/>
          <w:bCs/>
          <w:color w:val="000000"/>
          <w:kern w:val="0"/>
          <w:sz w:val="21"/>
          <w:szCs w:val="21"/>
          <w:lang w:val="en-US" w:eastAsia="zh-CN" w:bidi="ar"/>
        </w:rPr>
        <w:t>公司不存在需要披露的重要或有事项。</w:t>
      </w:r>
    </w:p>
    <w:p>
      <w:pPr>
        <w:keepNext/>
        <w:keepLines/>
        <w:spacing w:before="300" w:after="300" w:line="320" w:lineRule="exact"/>
        <w:jc w:val="left"/>
        <w:outlineLvl w:val="1"/>
        <w:rPr>
          <w:rFonts w:ascii="宋体" w:hAnsi="宋体" w:eastAsia="宋体" w:cs="宋体"/>
          <w:b/>
          <w:bCs/>
          <w:sz w:val="24"/>
          <w:szCs w:val="24"/>
        </w:rPr>
      </w:pPr>
      <w:bookmarkStart w:id="406" w:name="_Toc989273"/>
      <w:r>
        <w:rPr>
          <w:rFonts w:ascii="宋体" w:hAnsi="宋体" w:eastAsia="宋体" w:cs="宋体"/>
          <w:b/>
          <w:bCs/>
          <w:sz w:val="24"/>
          <w:szCs w:val="24"/>
        </w:rPr>
        <w:t>十六、资产负债表日后事项</w:t>
      </w:r>
      <w:bookmarkEnd w:id="406"/>
    </w:p>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2"/>
        <w:rPr>
          <w:rFonts w:ascii="宋体" w:hAnsi="宋体" w:eastAsia="宋体" w:cs="宋体"/>
          <w:b/>
          <w:bCs/>
          <w:sz w:val="21"/>
          <w:szCs w:val="21"/>
        </w:rPr>
      </w:pPr>
      <w:r>
        <w:rPr>
          <w:rFonts w:hint="eastAsia" w:ascii="宋体" w:hAnsi="宋体" w:eastAsia="宋体" w:cs="宋体"/>
          <w:b/>
          <w:bCs/>
          <w:sz w:val="21"/>
          <w:szCs w:val="21"/>
          <w:lang w:eastAsia="zh-CN"/>
        </w:rPr>
        <w:t>（一）</w:t>
      </w:r>
      <w:r>
        <w:rPr>
          <w:rFonts w:ascii="宋体" w:hAnsi="宋体" w:eastAsia="宋体" w:cs="宋体"/>
          <w:b/>
          <w:bCs/>
          <w:sz w:val="21"/>
          <w:szCs w:val="21"/>
        </w:rPr>
        <w:t>重要的非调整事项</w:t>
      </w:r>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内容</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对财务状况和经营成果的影响数</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无法估计影响数的原因</w:t>
            </w:r>
          </w:p>
        </w:tc>
      </w:tr>
    </w:tbl>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2"/>
        <w:rPr>
          <w:rFonts w:hint="eastAsia" w:ascii="宋体" w:hAnsi="宋体" w:eastAsia="宋体" w:cs="宋体"/>
          <w:b/>
          <w:bCs/>
          <w:sz w:val="21"/>
          <w:szCs w:val="21"/>
          <w:lang w:eastAsia="zh-CN"/>
        </w:rPr>
      </w:pPr>
      <w:bookmarkStart w:id="407" w:name="_Toc989275"/>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二</w:t>
      </w:r>
      <w:r>
        <w:rPr>
          <w:rFonts w:hint="eastAsia" w:ascii="宋体" w:hAnsi="宋体" w:eastAsia="宋体" w:cs="宋体"/>
          <w:b/>
          <w:bCs/>
          <w:sz w:val="21"/>
          <w:szCs w:val="21"/>
          <w:lang w:eastAsia="zh-CN"/>
        </w:rPr>
        <w:t>）利润分配情况</w:t>
      </w:r>
      <w:bookmarkEnd w:id="407"/>
    </w:p>
    <w:tbl>
      <w:tblPr>
        <w:tblStyle w:val="5"/>
        <w:tblW w:w="964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67"/>
        <w:gridCol w:w="717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6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利润分配方案</w:t>
            </w:r>
          </w:p>
        </w:tc>
        <w:tc>
          <w:tcPr>
            <w:tcW w:w="717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根据公司2025年4月7日召开第</w:t>
            </w:r>
            <w:r>
              <w:rPr>
                <w:rFonts w:hint="eastAsia" w:ascii="宋体" w:hAnsi="宋体" w:eastAsia="宋体" w:cs="宋体"/>
                <w:sz w:val="18"/>
                <w:szCs w:val="18"/>
                <w:lang w:val="en-US" w:eastAsia="zh-CN"/>
              </w:rPr>
              <w:t>七</w:t>
            </w:r>
            <w:r>
              <w:rPr>
                <w:rFonts w:ascii="宋体" w:hAnsi="宋体" w:eastAsia="宋体" w:cs="宋体"/>
                <w:sz w:val="18"/>
                <w:szCs w:val="18"/>
              </w:rPr>
              <w:t>届第</w:t>
            </w:r>
            <w:r>
              <w:rPr>
                <w:rFonts w:hint="eastAsia" w:ascii="宋体" w:hAnsi="宋体" w:eastAsia="宋体" w:cs="宋体"/>
                <w:sz w:val="18"/>
                <w:szCs w:val="18"/>
                <w:lang w:val="en-US" w:eastAsia="zh-CN"/>
              </w:rPr>
              <w:t>十七</w:t>
            </w:r>
            <w:r>
              <w:rPr>
                <w:rFonts w:ascii="宋体" w:hAnsi="宋体" w:eastAsia="宋体" w:cs="宋体"/>
                <w:sz w:val="18"/>
                <w:szCs w:val="18"/>
              </w:rPr>
              <w:t>次</w:t>
            </w:r>
            <w:r>
              <w:rPr>
                <w:rFonts w:hint="eastAsia" w:ascii="宋体" w:hAnsi="宋体" w:eastAsia="宋体" w:cs="宋体"/>
                <w:sz w:val="18"/>
                <w:szCs w:val="18"/>
                <w:lang w:val="en-US" w:eastAsia="zh-CN"/>
              </w:rPr>
              <w:t>董事会</w:t>
            </w:r>
            <w:r>
              <w:rPr>
                <w:rFonts w:ascii="宋体" w:hAnsi="宋体" w:eastAsia="宋体" w:cs="宋体"/>
                <w:sz w:val="18"/>
                <w:szCs w:val="18"/>
              </w:rPr>
              <w:t>决议，审议通过了《湖南博云新材料股份有限公司2024年度利润分配预案》，鉴于公司2024年度可供投资者分配的利润仍亏损，不具备利润分配的基础，因此2024年度利润不分配，也不进行资本公积金转增股本。</w:t>
            </w:r>
          </w:p>
        </w:tc>
      </w:tr>
    </w:tbl>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2"/>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（三）其他资产负债表日后事项说明</w:t>
      </w:r>
    </w:p>
    <w:p>
      <w:pPr>
        <w:keepNext w:val="0"/>
        <w:keepLines w:val="0"/>
        <w:widowControl/>
        <w:numPr>
          <w:ilvl w:val="0"/>
          <w:numId w:val="0"/>
        </w:numPr>
        <w:suppressLineNumbers w:val="0"/>
        <w:spacing w:before="0" w:beforeAutospacing="1" w:after="0" w:afterAutospacing="1"/>
        <w:rPr>
          <w:b w:val="0"/>
          <w:bCs/>
        </w:rPr>
      </w:pPr>
      <w:bookmarkStart w:id="408" w:name="_Toc989277"/>
      <w:r>
        <w:rPr>
          <w:rStyle w:val="7"/>
          <w:rFonts w:hint="eastAsia" w:ascii="宋体" w:hAnsi="宋体" w:eastAsia="宋体" w:cs="宋体"/>
          <w:b w:val="0"/>
          <w:bCs/>
          <w:color w:val="000000"/>
          <w:sz w:val="21"/>
          <w:szCs w:val="21"/>
        </w:rPr>
        <w:t>重要的非调整事项</w:t>
      </w:r>
      <w:r>
        <w:rPr>
          <w:rStyle w:val="7"/>
          <w:rFonts w:ascii="Arial" w:hAnsi="Arial" w:eastAsia="宋体" w:cs="Arial"/>
          <w:b w:val="0"/>
          <w:bCs/>
          <w:color w:val="0000FF"/>
          <w:sz w:val="16"/>
          <w:szCs w:val="16"/>
        </w:rPr>
        <w:t>  </w:t>
      </w:r>
    </w:p>
    <w:p>
      <w:pPr>
        <w:pStyle w:val="4"/>
        <w:keepNext w:val="0"/>
        <w:keepLines w:val="0"/>
        <w:widowControl/>
        <w:suppressLineNumbers w:val="0"/>
        <w:spacing w:before="0" w:beforeAutospacing="1" w:after="0" w:afterAutospacing="1"/>
        <w:ind w:left="0" w:right="0"/>
      </w:pPr>
      <w:r>
        <w:rPr>
          <w:rFonts w:hint="eastAsia" w:ascii="宋体" w:hAnsi="宋体" w:eastAsia="宋体" w:cs="宋体"/>
          <w:color w:val="000000"/>
          <w:sz w:val="21"/>
          <w:szCs w:val="21"/>
        </w:rPr>
        <w:t>截至本财务报表批准报出日，本公司无需要披露的资产负债表日后非调整事项。</w:t>
      </w:r>
    </w:p>
    <w:p>
      <w:pPr>
        <w:keepNext/>
        <w:keepLines/>
        <w:spacing w:before="300" w:after="300" w:line="320" w:lineRule="exact"/>
        <w:jc w:val="left"/>
        <w:outlineLvl w:val="1"/>
        <w:rPr>
          <w:rFonts w:ascii="宋体" w:hAnsi="宋体" w:eastAsia="宋体" w:cs="宋体"/>
          <w:b/>
          <w:bCs/>
          <w:sz w:val="24"/>
          <w:szCs w:val="24"/>
        </w:rPr>
      </w:pPr>
      <w:r>
        <w:rPr>
          <w:rFonts w:ascii="宋体" w:hAnsi="宋体" w:eastAsia="宋体" w:cs="宋体"/>
          <w:b/>
          <w:bCs/>
          <w:sz w:val="24"/>
          <w:szCs w:val="24"/>
        </w:rPr>
        <w:t>十七、资本管理</w:t>
      </w:r>
      <w:bookmarkEnd w:id="408"/>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本公司资本管理的主要目标是确保本公司持续经营的能力，并保持健康的资本比率，以支持业务发展并使股东价值最大化。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本公司管理资本结构并根据经济形势以及相关资产的风险特征的变化对其进行调整。为维持或调整资本结构，本公司可以调整对股东的利润分配、向股东归还资本或发行新股。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本公司不受外部强制性资本要求约束。与上期相比，公司资本管理目标、政策或程序未发生变化。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本公司采用杠杆比率来管理资本，杠杆比率是指净负债和调整后资本加净负债的比率。净负债包括金融负债减去金融资产。资本包括所有者权益减去其他综合收益，公司于资产负债表日的杠杆比率如下：</w:t>
      </w:r>
    </w:p>
    <w:tbl>
      <w:tblPr>
        <w:tblStyle w:val="5"/>
        <w:tblW w:w="4580"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4167"/>
        <w:gridCol w:w="2470"/>
        <w:gridCol w:w="238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60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center"/>
              <w:rPr>
                <w:rFonts w:ascii="Calibri" w:hAnsi="Calibri" w:cs="Calibri"/>
                <w:sz w:val="21"/>
                <w:szCs w:val="21"/>
              </w:rPr>
            </w:pPr>
            <w:r>
              <w:rPr>
                <w:rFonts w:hint="default" w:ascii="Times New Roman" w:hAnsi="Times New Roman" w:cs="Times New Roman"/>
                <w:color w:val="000000"/>
                <w:sz w:val="18"/>
                <w:szCs w:val="18"/>
              </w:rPr>
              <w:t> </w:t>
            </w:r>
          </w:p>
        </w:tc>
        <w:tc>
          <w:tcPr>
            <w:tcW w:w="213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eastAsia" w:ascii="宋体" w:hAnsi="宋体" w:eastAsia="宋体" w:cs="宋体"/>
                <w:color w:val="000000"/>
                <w:sz w:val="18"/>
                <w:szCs w:val="18"/>
              </w:rPr>
              <w:t>期末余额</w:t>
            </w:r>
          </w:p>
        </w:tc>
        <w:tc>
          <w:tcPr>
            <w:tcW w:w="206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eastAsia" w:ascii="宋体" w:hAnsi="宋体" w:eastAsia="宋体" w:cs="宋体"/>
                <w:color w:val="000000"/>
                <w:sz w:val="18"/>
                <w:szCs w:val="18"/>
              </w:rPr>
              <w:t>上年年末余额</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6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left"/>
              <w:rPr>
                <w:rFonts w:hint="default" w:ascii="Calibri" w:hAnsi="Calibri" w:cs="Calibri"/>
                <w:sz w:val="21"/>
                <w:szCs w:val="21"/>
              </w:rPr>
            </w:pPr>
            <w:r>
              <w:rPr>
                <w:rFonts w:hint="eastAsia" w:ascii="宋体" w:hAnsi="宋体" w:eastAsia="宋体" w:cs="宋体"/>
                <w:color w:val="000000"/>
                <w:sz w:val="18"/>
                <w:szCs w:val="18"/>
              </w:rPr>
              <w:t>金融负债</w:t>
            </w:r>
          </w:p>
        </w:tc>
        <w:tc>
          <w:tcPr>
            <w:tcW w:w="21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right"/>
              <w:rPr>
                <w:rFonts w:hint="default" w:ascii="Calibri" w:hAnsi="Calibri" w:cs="Calibri"/>
                <w:sz w:val="21"/>
                <w:szCs w:val="21"/>
              </w:rPr>
            </w:pPr>
            <w:r>
              <w:rPr>
                <w:rFonts w:hint="default" w:ascii="Times New Roman" w:hAnsi="Times New Roman" w:cs="Times New Roman"/>
                <w:color w:val="000000"/>
                <w:sz w:val="18"/>
                <w:szCs w:val="18"/>
              </w:rPr>
              <w:t>701,779,665.65</w:t>
            </w:r>
          </w:p>
        </w:tc>
        <w:tc>
          <w:tcPr>
            <w:tcW w:w="20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right"/>
              <w:rPr>
                <w:rFonts w:hint="default" w:ascii="Calibri" w:hAnsi="Calibri" w:cs="Calibri"/>
                <w:sz w:val="21"/>
                <w:szCs w:val="21"/>
              </w:rPr>
            </w:pPr>
            <w:r>
              <w:rPr>
                <w:rFonts w:hint="default" w:ascii="Times New Roman" w:hAnsi="Times New Roman" w:cs="Times New Roman"/>
                <w:color w:val="000000"/>
                <w:sz w:val="18"/>
                <w:szCs w:val="18"/>
              </w:rPr>
              <w:t>546,129,217.26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6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left"/>
              <w:rPr>
                <w:rFonts w:hint="default" w:ascii="Calibri" w:hAnsi="Calibri" w:cs="Calibri"/>
                <w:sz w:val="21"/>
                <w:szCs w:val="21"/>
              </w:rPr>
            </w:pPr>
            <w:r>
              <w:rPr>
                <w:rFonts w:hint="eastAsia" w:ascii="宋体" w:hAnsi="宋体" w:eastAsia="宋体" w:cs="宋体"/>
                <w:color w:val="000000"/>
                <w:sz w:val="18"/>
                <w:szCs w:val="18"/>
              </w:rPr>
              <w:t>减：金融资产</w:t>
            </w:r>
          </w:p>
        </w:tc>
        <w:tc>
          <w:tcPr>
            <w:tcW w:w="21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right"/>
              <w:rPr>
                <w:rFonts w:hint="default" w:ascii="Calibri" w:hAnsi="Calibri" w:cs="Calibri"/>
                <w:sz w:val="21"/>
                <w:szCs w:val="21"/>
              </w:rPr>
            </w:pPr>
            <w:r>
              <w:rPr>
                <w:rFonts w:hint="default" w:ascii="Times New Roman" w:hAnsi="Times New Roman" w:cs="Times New Roman"/>
                <w:color w:val="000000"/>
                <w:sz w:val="18"/>
                <w:szCs w:val="18"/>
              </w:rPr>
              <w:t>1,033,314,276.35</w:t>
            </w:r>
          </w:p>
        </w:tc>
        <w:tc>
          <w:tcPr>
            <w:tcW w:w="20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right"/>
              <w:rPr>
                <w:rFonts w:hint="default" w:ascii="Calibri" w:hAnsi="Calibri" w:cs="Calibri"/>
                <w:sz w:val="21"/>
                <w:szCs w:val="21"/>
              </w:rPr>
            </w:pPr>
            <w:r>
              <w:rPr>
                <w:rFonts w:hint="default" w:ascii="Times New Roman" w:hAnsi="Times New Roman" w:cs="Times New Roman"/>
                <w:color w:val="000000"/>
                <w:sz w:val="18"/>
                <w:szCs w:val="18"/>
              </w:rPr>
              <w:t>918,394,182.99</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6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left"/>
              <w:rPr>
                <w:rFonts w:hint="default" w:ascii="Calibri" w:hAnsi="Calibri" w:cs="Calibri"/>
                <w:sz w:val="21"/>
                <w:szCs w:val="21"/>
              </w:rPr>
            </w:pPr>
            <w:r>
              <w:rPr>
                <w:rFonts w:hint="eastAsia" w:ascii="宋体" w:hAnsi="宋体" w:eastAsia="宋体" w:cs="宋体"/>
                <w:color w:val="000000"/>
                <w:sz w:val="18"/>
                <w:szCs w:val="18"/>
              </w:rPr>
              <w:t>净负债小计</w:t>
            </w:r>
          </w:p>
        </w:tc>
        <w:tc>
          <w:tcPr>
            <w:tcW w:w="21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right"/>
              <w:rPr>
                <w:rFonts w:hint="default" w:ascii="Calibri" w:hAnsi="Calibri" w:cs="Calibri"/>
                <w:sz w:val="21"/>
                <w:szCs w:val="21"/>
              </w:rPr>
            </w:pPr>
            <w:r>
              <w:rPr>
                <w:rFonts w:hint="default" w:ascii="Times New Roman" w:hAnsi="Times New Roman" w:cs="Times New Roman"/>
                <w:color w:val="000000"/>
                <w:sz w:val="18"/>
                <w:szCs w:val="18"/>
              </w:rPr>
              <w:t>-331,534,610.70</w:t>
            </w:r>
          </w:p>
        </w:tc>
        <w:tc>
          <w:tcPr>
            <w:tcW w:w="20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right"/>
              <w:rPr>
                <w:rFonts w:hint="default" w:ascii="Calibri" w:hAnsi="Calibri" w:cs="Calibri"/>
                <w:sz w:val="21"/>
                <w:szCs w:val="21"/>
              </w:rPr>
            </w:pPr>
            <w:r>
              <w:rPr>
                <w:rFonts w:hint="default" w:ascii="Times New Roman" w:hAnsi="Times New Roman" w:cs="Times New Roman"/>
                <w:color w:val="000000"/>
                <w:sz w:val="18"/>
                <w:szCs w:val="18"/>
              </w:rPr>
              <w:t>-372,264,965.73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6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left"/>
              <w:rPr>
                <w:rFonts w:hint="default" w:ascii="Calibri" w:hAnsi="Calibri" w:cs="Calibri"/>
                <w:sz w:val="21"/>
                <w:szCs w:val="21"/>
              </w:rPr>
            </w:pPr>
            <w:r>
              <w:rPr>
                <w:rFonts w:hint="eastAsia" w:ascii="宋体" w:hAnsi="宋体" w:eastAsia="宋体" w:cs="宋体"/>
                <w:color w:val="000000"/>
                <w:sz w:val="18"/>
                <w:szCs w:val="18"/>
              </w:rPr>
              <w:t>资本</w:t>
            </w:r>
          </w:p>
        </w:tc>
        <w:tc>
          <w:tcPr>
            <w:tcW w:w="21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right"/>
              <w:rPr>
                <w:rFonts w:hint="default" w:ascii="Calibri" w:hAnsi="Calibri" w:cs="Calibri"/>
                <w:sz w:val="21"/>
                <w:szCs w:val="21"/>
              </w:rPr>
            </w:pPr>
            <w:r>
              <w:rPr>
                <w:rFonts w:hint="default" w:ascii="Times New Roman" w:hAnsi="Times New Roman" w:cs="Times New Roman"/>
                <w:color w:val="000000"/>
                <w:sz w:val="18"/>
                <w:szCs w:val="18"/>
              </w:rPr>
              <w:t>2,068,401,374.30</w:t>
            </w:r>
          </w:p>
        </w:tc>
        <w:tc>
          <w:tcPr>
            <w:tcW w:w="20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right"/>
              <w:rPr>
                <w:rFonts w:hint="default" w:ascii="Calibri" w:hAnsi="Calibri" w:cs="Calibri"/>
                <w:sz w:val="21"/>
                <w:szCs w:val="21"/>
              </w:rPr>
            </w:pPr>
            <w:r>
              <w:rPr>
                <w:rFonts w:hint="default" w:ascii="Times New Roman" w:hAnsi="Times New Roman" w:cs="Times New Roman"/>
                <w:color w:val="000000"/>
                <w:sz w:val="18"/>
                <w:szCs w:val="18"/>
              </w:rPr>
              <w:t>2,130,410,596.90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6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left"/>
              <w:rPr>
                <w:rFonts w:hint="default" w:ascii="Calibri" w:hAnsi="Calibri" w:cs="Calibri"/>
                <w:sz w:val="21"/>
                <w:szCs w:val="21"/>
              </w:rPr>
            </w:pPr>
            <w:r>
              <w:rPr>
                <w:rFonts w:hint="eastAsia" w:ascii="宋体" w:hAnsi="宋体" w:eastAsia="宋体" w:cs="宋体"/>
                <w:color w:val="000000"/>
                <w:sz w:val="18"/>
                <w:szCs w:val="18"/>
              </w:rPr>
              <w:t>净负债和资本合计</w:t>
            </w:r>
          </w:p>
        </w:tc>
        <w:tc>
          <w:tcPr>
            <w:tcW w:w="21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right"/>
              <w:rPr>
                <w:rFonts w:hint="default" w:ascii="Calibri" w:hAnsi="Calibri" w:cs="Calibri"/>
                <w:sz w:val="21"/>
                <w:szCs w:val="21"/>
              </w:rPr>
            </w:pPr>
            <w:r>
              <w:rPr>
                <w:rFonts w:hint="default" w:ascii="Times New Roman" w:hAnsi="Times New Roman" w:cs="Times New Roman"/>
                <w:color w:val="000000"/>
                <w:sz w:val="18"/>
                <w:szCs w:val="18"/>
              </w:rPr>
              <w:t>1,736,866,763.60</w:t>
            </w:r>
          </w:p>
        </w:tc>
        <w:tc>
          <w:tcPr>
            <w:tcW w:w="20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right"/>
              <w:rPr>
                <w:rFonts w:hint="default" w:ascii="Calibri" w:hAnsi="Calibri" w:cs="Calibri"/>
                <w:sz w:val="21"/>
                <w:szCs w:val="21"/>
              </w:rPr>
            </w:pPr>
            <w:r>
              <w:rPr>
                <w:rFonts w:hint="default" w:ascii="Times New Roman" w:hAnsi="Times New Roman" w:cs="Times New Roman"/>
                <w:color w:val="000000"/>
                <w:sz w:val="18"/>
                <w:szCs w:val="18"/>
              </w:rPr>
              <w:t>1,758,145,631.18</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6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left"/>
              <w:rPr>
                <w:rFonts w:hint="default" w:ascii="Calibri" w:hAnsi="Calibri" w:cs="Calibri"/>
                <w:sz w:val="21"/>
                <w:szCs w:val="21"/>
              </w:rPr>
            </w:pPr>
            <w:r>
              <w:rPr>
                <w:rFonts w:hint="eastAsia" w:ascii="宋体" w:hAnsi="宋体" w:eastAsia="宋体" w:cs="宋体"/>
                <w:color w:val="000000"/>
                <w:sz w:val="18"/>
                <w:szCs w:val="18"/>
              </w:rPr>
              <w:t>杠杆比率</w:t>
            </w:r>
          </w:p>
        </w:tc>
        <w:tc>
          <w:tcPr>
            <w:tcW w:w="21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right"/>
              <w:rPr>
                <w:rFonts w:hint="default" w:ascii="Calibri" w:hAnsi="Calibri" w:cs="Calibri"/>
                <w:sz w:val="21"/>
                <w:szCs w:val="21"/>
              </w:rPr>
            </w:pPr>
            <w:r>
              <w:rPr>
                <w:rFonts w:hint="default" w:ascii="Times New Roman" w:hAnsi="Times New Roman" w:cs="Times New Roman"/>
                <w:color w:val="000000"/>
                <w:sz w:val="18"/>
                <w:szCs w:val="18"/>
              </w:rPr>
              <w:t>-19.09%</w:t>
            </w:r>
          </w:p>
        </w:tc>
        <w:tc>
          <w:tcPr>
            <w:tcW w:w="20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right"/>
              <w:rPr>
                <w:rFonts w:hint="default" w:ascii="Calibri" w:hAnsi="Calibri" w:cs="Calibri"/>
                <w:sz w:val="21"/>
                <w:szCs w:val="21"/>
              </w:rPr>
            </w:pPr>
            <w:r>
              <w:rPr>
                <w:rFonts w:hint="default" w:ascii="Times New Roman" w:hAnsi="Times New Roman" w:cs="Times New Roman"/>
                <w:color w:val="000000"/>
                <w:sz w:val="18"/>
                <w:szCs w:val="18"/>
              </w:rPr>
              <w:t>-21.17%</w:t>
            </w:r>
          </w:p>
        </w:tc>
      </w:tr>
    </w:tbl>
    <w:p>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400" w:lineRule="atLeast"/>
        <w:ind w:left="0" w:right="0"/>
        <w:textAlignment w:val="auto"/>
        <w:outlineLvl w:val="1"/>
        <w:rPr>
          <w:rFonts w:ascii="宋体" w:hAnsi="宋体" w:eastAsia="宋体" w:cs="宋体"/>
          <w:b/>
          <w:bCs/>
          <w:sz w:val="24"/>
          <w:szCs w:val="24"/>
        </w:rPr>
      </w:pPr>
      <w:r>
        <w:rPr>
          <w:rFonts w:hint="default" w:ascii="Calibri" w:hAnsi="Calibri" w:eastAsia="仿宋" w:cs="Calibri"/>
          <w:sz w:val="21"/>
          <w:szCs w:val="21"/>
        </w:rPr>
        <w:t> </w:t>
      </w:r>
      <w:bookmarkStart w:id="409" w:name="_Toc989278"/>
      <w:r>
        <w:rPr>
          <w:rFonts w:ascii="宋体" w:hAnsi="宋体" w:eastAsia="宋体" w:cs="宋体"/>
          <w:b/>
          <w:bCs/>
          <w:sz w:val="24"/>
          <w:szCs w:val="24"/>
        </w:rPr>
        <w:t>十八、其他重要事项</w:t>
      </w:r>
      <w:bookmarkEnd w:id="409"/>
    </w:p>
    <w:p>
      <w:pPr>
        <w:keepNext/>
        <w:keepLines/>
        <w:spacing w:before="300" w:after="300" w:line="280" w:lineRule="exact"/>
        <w:jc w:val="left"/>
        <w:outlineLvl w:val="2"/>
        <w:rPr>
          <w:rFonts w:ascii="宋体" w:hAnsi="宋体" w:eastAsia="宋体" w:cs="宋体"/>
          <w:b/>
          <w:bCs/>
          <w:sz w:val="21"/>
          <w:szCs w:val="21"/>
        </w:rPr>
      </w:pPr>
      <w:bookmarkStart w:id="410" w:name="_Toc989280"/>
      <w:r>
        <w:rPr>
          <w:rFonts w:hint="eastAsia" w:ascii="宋体" w:hAnsi="宋体" w:eastAsia="宋体" w:cs="宋体"/>
          <w:b/>
          <w:bCs/>
          <w:sz w:val="21"/>
          <w:szCs w:val="21"/>
          <w:lang w:eastAsia="zh-CN"/>
        </w:rPr>
        <w:t>（一）</w:t>
      </w:r>
      <w:r>
        <w:rPr>
          <w:rFonts w:ascii="宋体" w:hAnsi="宋体" w:eastAsia="宋体" w:cs="宋体"/>
          <w:b/>
          <w:bCs/>
          <w:sz w:val="21"/>
          <w:szCs w:val="21"/>
        </w:rPr>
        <w:t>分部信息</w:t>
      </w:r>
    </w:p>
    <w:bookmarkEnd w:id="410"/>
    <w:p>
      <w:pPr>
        <w:keepNext/>
        <w:keepLines/>
        <w:spacing w:before="300" w:after="300" w:line="280" w:lineRule="exact"/>
        <w:jc w:val="left"/>
        <w:outlineLvl w:val="3"/>
        <w:rPr>
          <w:rFonts w:ascii="宋体" w:hAnsi="宋体" w:eastAsia="宋体" w:cs="宋体"/>
          <w:b/>
          <w:bCs/>
          <w:sz w:val="21"/>
          <w:szCs w:val="21"/>
        </w:rPr>
      </w:pPr>
      <w:r>
        <w:rPr>
          <w:rFonts w:hint="eastAsia" w:ascii="宋体" w:hAnsi="宋体" w:eastAsia="宋体" w:cs="宋体"/>
          <w:b/>
          <w:bCs/>
          <w:sz w:val="21"/>
          <w:szCs w:val="21"/>
          <w:lang w:val="en-US" w:eastAsia="zh-CN"/>
        </w:rPr>
        <w:t>1.</w:t>
      </w:r>
      <w:r>
        <w:rPr>
          <w:rFonts w:ascii="宋体" w:hAnsi="宋体" w:eastAsia="宋体" w:cs="宋体"/>
          <w:b/>
          <w:bCs/>
          <w:sz w:val="21"/>
          <w:szCs w:val="21"/>
        </w:rPr>
        <w:t>报告分部的确定依据与会计政策</w:t>
      </w:r>
    </w:p>
    <w:p>
      <w:pPr>
        <w:pStyle w:val="4"/>
        <w:keepNext w:val="0"/>
        <w:keepLines w:val="0"/>
        <w:widowControl/>
        <w:suppressLineNumbers w:val="0"/>
        <w:spacing w:before="0" w:beforeAutospacing="1" w:after="0" w:afterAutospacing="1"/>
        <w:ind w:left="0" w:right="0"/>
      </w:pPr>
      <w:r>
        <w:rPr>
          <w:rFonts w:hint="eastAsia" w:ascii="宋体" w:hAnsi="宋体" w:eastAsia="宋体" w:cs="宋体"/>
          <w:color w:val="000000"/>
          <w:sz w:val="21"/>
          <w:szCs w:val="21"/>
        </w:rPr>
        <w:t>本公司业务分航空航天产品及碳</w:t>
      </w:r>
      <w:r>
        <w:rPr>
          <w:rFonts w:hint="default" w:ascii="Times New Roman" w:hAnsi="Times New Roman" w:eastAsia="宋体" w:cs="Times New Roman"/>
          <w:color w:val="000000"/>
          <w:sz w:val="21"/>
          <w:szCs w:val="21"/>
        </w:rPr>
        <w:t>/</w:t>
      </w:r>
      <w:r>
        <w:rPr>
          <w:rFonts w:hint="eastAsia" w:ascii="宋体" w:hAnsi="宋体" w:eastAsia="宋体" w:cs="宋体"/>
          <w:color w:val="000000"/>
          <w:sz w:val="21"/>
          <w:szCs w:val="21"/>
        </w:rPr>
        <w:t>碳复合材料业务和粉末冶金业务，因这两种业务具有不同的风险及报酬，故本公司将上述两种业务分成两个分部。</w:t>
      </w:r>
    </w:p>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3"/>
        <w:rPr>
          <w:rFonts w:ascii="宋体" w:hAnsi="宋体" w:eastAsia="宋体" w:cs="宋体"/>
          <w:b/>
          <w:bCs/>
          <w:sz w:val="21"/>
          <w:szCs w:val="21"/>
        </w:rPr>
      </w:pPr>
      <w:bookmarkStart w:id="411" w:name="_Toc989281"/>
      <w:r>
        <w:rPr>
          <w:rFonts w:hint="eastAsia" w:ascii="宋体" w:hAnsi="宋体" w:eastAsia="宋体" w:cs="宋体"/>
          <w:b/>
          <w:bCs/>
          <w:sz w:val="21"/>
          <w:szCs w:val="21"/>
          <w:lang w:val="en-US" w:eastAsia="zh-CN"/>
        </w:rPr>
        <w:t>2.</w:t>
      </w:r>
      <w:r>
        <w:rPr>
          <w:rFonts w:ascii="宋体" w:hAnsi="宋体" w:eastAsia="宋体" w:cs="宋体"/>
          <w:b/>
          <w:bCs/>
          <w:sz w:val="21"/>
          <w:szCs w:val="21"/>
        </w:rPr>
        <w:t>报告分部的财务信息</w:t>
      </w:r>
      <w:bookmarkEnd w:id="41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auto"/>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928" w:type="dxa"/>
            <w:tcBorders>
              <w:top w:val="single" w:color="auto" w:sz="2" w:space="0"/>
              <w:left w:val="single" w:color="auto" w:sz="2" w:space="0"/>
              <w:bottom w:val="single" w:color="auto" w:sz="2" w:space="0"/>
              <w:right w:val="single" w:color="auto" w:sz="2" w:space="0"/>
            </w:tcBorders>
            <w:shd w:val="clear" w:color="auto" w:fill="auto"/>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航空航天及碳/碳复合材料业务</w:t>
            </w:r>
          </w:p>
        </w:tc>
        <w:tc>
          <w:tcPr>
            <w:tcW w:w="1928" w:type="dxa"/>
            <w:tcBorders>
              <w:top w:val="single" w:color="auto" w:sz="2" w:space="0"/>
              <w:left w:val="single" w:color="auto" w:sz="2" w:space="0"/>
              <w:bottom w:val="single" w:color="auto" w:sz="2" w:space="0"/>
              <w:right w:val="single" w:color="auto" w:sz="2" w:space="0"/>
            </w:tcBorders>
            <w:shd w:val="clear" w:color="auto" w:fill="auto"/>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粉末冶金业务</w:t>
            </w:r>
          </w:p>
        </w:tc>
        <w:tc>
          <w:tcPr>
            <w:tcW w:w="1928" w:type="dxa"/>
            <w:tcBorders>
              <w:top w:val="single" w:color="auto" w:sz="2" w:space="0"/>
              <w:left w:val="single" w:color="auto" w:sz="2" w:space="0"/>
              <w:bottom w:val="single" w:color="auto" w:sz="2" w:space="0"/>
              <w:right w:val="single" w:color="auto" w:sz="2" w:space="0"/>
            </w:tcBorders>
            <w:shd w:val="clear" w:color="auto" w:fill="auto"/>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分部间抵销</w:t>
            </w:r>
          </w:p>
        </w:tc>
        <w:tc>
          <w:tcPr>
            <w:tcW w:w="1928" w:type="dxa"/>
            <w:tcBorders>
              <w:top w:val="single" w:color="auto" w:sz="2" w:space="0"/>
              <w:left w:val="single" w:color="auto" w:sz="2" w:space="0"/>
              <w:bottom w:val="single" w:color="auto" w:sz="2" w:space="0"/>
              <w:right w:val="single" w:color="auto" w:sz="2" w:space="0"/>
            </w:tcBorders>
            <w:shd w:val="clear" w:color="auto" w:fill="auto"/>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对外交易收入</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274,624,079.43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437,945,307.85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712,569,387.28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分部间交易收入</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对联营和合营企业的投资收益</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-14,893,685.18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-14,893,685.18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信用减值损失</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1,017,591.74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-6,387,565.20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-5,369,973.46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资产减值损失</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-46,155,124.93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-11,499,549.23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-57,654,674.16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折旧费和摊销费</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12,186,510.07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16,670,968.14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28,857,478.21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利润总额（亏损总额）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-15,602,090.49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-60,332,990.86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-75,935,081.35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所得税费用</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4,377,052.12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-11,642,753.30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-7,265,701.18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净利润（净亏损）</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-19,979,142.61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-48,690,237.56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-68,669,380.17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资产总额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1,374,009,550.60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1,585,084,249.80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2,959,093,800.40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负债总额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268,417,437.69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617,313,462.55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885,730,900.24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其他重要的非现金项目</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折旧费和摊销费以外的其他非现金费用</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-69,161.76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903,588.03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834,426.27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对联营和合营企业的长期股权投资</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长期股权投资以外的其他非流动资产增加额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-79,103,222.09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58,512,834.61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-20,590,387.48</w:t>
            </w:r>
          </w:p>
        </w:tc>
      </w:tr>
    </w:tbl>
    <w:p>
      <w:pPr>
        <w:keepNext/>
        <w:keepLines/>
        <w:spacing w:before="300" w:after="300" w:line="280" w:lineRule="exact"/>
        <w:jc w:val="left"/>
        <w:outlineLvl w:val="2"/>
        <w:rPr>
          <w:rFonts w:ascii="宋体" w:hAnsi="宋体" w:eastAsia="宋体" w:cs="宋体"/>
          <w:b/>
          <w:bCs/>
          <w:sz w:val="21"/>
          <w:szCs w:val="21"/>
        </w:rPr>
      </w:pPr>
      <w:r>
        <w:rPr>
          <w:rFonts w:hint="eastAsia" w:ascii="宋体" w:hAnsi="宋体" w:eastAsia="宋体" w:cs="宋体"/>
          <w:b/>
          <w:bCs/>
          <w:sz w:val="21"/>
          <w:szCs w:val="21"/>
          <w:lang w:eastAsia="zh-CN"/>
        </w:rPr>
        <w:t>（二）</w:t>
      </w:r>
      <w:r>
        <w:rPr>
          <w:rFonts w:ascii="宋体" w:hAnsi="宋体" w:eastAsia="宋体" w:cs="宋体"/>
          <w:b/>
          <w:bCs/>
          <w:sz w:val="21"/>
          <w:szCs w:val="21"/>
        </w:rPr>
        <w:t>其他</w:t>
      </w:r>
    </w:p>
    <w:p>
      <w:pPr>
        <w:pStyle w:val="4"/>
        <w:keepNext w:val="0"/>
        <w:keepLines w:val="0"/>
        <w:widowControl/>
        <w:suppressLineNumbers w:val="0"/>
        <w:spacing w:before="0" w:beforeAutospacing="0" w:after="0" w:afterAutospacing="0" w:line="360" w:lineRule="atLeast"/>
        <w:ind w:left="0" w:right="0" w:firstLine="420" w:firstLineChars="200"/>
        <w:jc w:val="left"/>
        <w:rPr>
          <w:rFonts w:hint="default" w:ascii="宋体" w:hAnsi="宋体" w:eastAsia="宋体" w:cs="宋体"/>
          <w:color w:val="000000"/>
          <w:sz w:val="21"/>
          <w:szCs w:val="21"/>
        </w:rPr>
      </w:pPr>
      <w:r>
        <w:rPr>
          <w:rFonts w:hint="eastAsia" w:ascii="宋体" w:hAnsi="宋体" w:eastAsia="宋体" w:cs="宋体"/>
          <w:color w:val="000000"/>
          <w:sz w:val="21"/>
          <w:szCs w:val="21"/>
        </w:rPr>
        <w:t>为子公司湖南博云东方粉末冶金有限公司提供的担保</w:t>
      </w:r>
    </w:p>
    <w:p>
      <w:pPr>
        <w:pStyle w:val="4"/>
        <w:keepNext w:val="0"/>
        <w:keepLines w:val="0"/>
        <w:widowControl/>
        <w:suppressLineNumbers w:val="0"/>
        <w:spacing w:before="0" w:beforeAutospacing="0" w:after="0" w:afterAutospacing="0" w:line="360" w:lineRule="atLeast"/>
        <w:ind w:left="0" w:right="0" w:firstLine="420" w:firstLineChars="200"/>
        <w:jc w:val="left"/>
        <w:rPr>
          <w:rFonts w:hint="eastAsia" w:ascii="宋体" w:hAnsi="宋体" w:eastAsia="宋体" w:cs="宋体"/>
          <w:color w:val="000000"/>
          <w:sz w:val="21"/>
          <w:szCs w:val="21"/>
        </w:rPr>
      </w:pPr>
      <w:r>
        <w:rPr>
          <w:rFonts w:hint="default" w:ascii="宋体" w:hAnsi="宋体" w:eastAsia="宋体" w:cs="宋体"/>
          <w:color w:val="000000"/>
          <w:sz w:val="21"/>
          <w:szCs w:val="21"/>
        </w:rPr>
        <w:t>2020</w:t>
      </w:r>
      <w:r>
        <w:rPr>
          <w:rFonts w:hint="eastAsia" w:ascii="宋体" w:hAnsi="宋体" w:eastAsia="宋体" w:cs="宋体"/>
          <w:color w:val="000000"/>
          <w:sz w:val="21"/>
          <w:szCs w:val="21"/>
        </w:rPr>
        <w:t>年</w:t>
      </w:r>
      <w:r>
        <w:rPr>
          <w:rFonts w:hint="default" w:ascii="宋体" w:hAnsi="宋体" w:eastAsia="宋体" w:cs="宋体"/>
          <w:color w:val="000000"/>
          <w:sz w:val="21"/>
          <w:szCs w:val="21"/>
        </w:rPr>
        <w:t>08</w:t>
      </w:r>
      <w:r>
        <w:rPr>
          <w:rFonts w:hint="eastAsia" w:ascii="宋体" w:hAnsi="宋体" w:eastAsia="宋体" w:cs="宋体"/>
          <w:color w:val="000000"/>
          <w:sz w:val="21"/>
          <w:szCs w:val="21"/>
        </w:rPr>
        <w:t>月</w:t>
      </w:r>
      <w:r>
        <w:rPr>
          <w:rFonts w:hint="default" w:ascii="宋体" w:hAnsi="宋体" w:eastAsia="宋体" w:cs="宋体"/>
          <w:color w:val="000000"/>
          <w:sz w:val="21"/>
          <w:szCs w:val="21"/>
        </w:rPr>
        <w:t>21</w:t>
      </w:r>
      <w:r>
        <w:rPr>
          <w:rFonts w:hint="eastAsia" w:ascii="宋体" w:hAnsi="宋体" w:eastAsia="宋体" w:cs="宋体"/>
          <w:color w:val="000000"/>
          <w:sz w:val="21"/>
          <w:szCs w:val="21"/>
        </w:rPr>
        <w:t>日，本公司与中国建设银行股份有限公司长沙河西支行签订了编号为“</w:t>
      </w:r>
      <w:r>
        <w:rPr>
          <w:rFonts w:hint="default" w:ascii="宋体" w:hAnsi="宋体" w:eastAsia="宋体" w:cs="宋体"/>
          <w:color w:val="000000"/>
          <w:sz w:val="21"/>
          <w:szCs w:val="21"/>
        </w:rPr>
        <w:t>HTC430783700ZGDB202000003</w:t>
      </w:r>
      <w:r>
        <w:rPr>
          <w:rFonts w:hint="eastAsia" w:ascii="宋体" w:hAnsi="宋体" w:eastAsia="宋体" w:cs="宋体"/>
          <w:color w:val="000000"/>
          <w:sz w:val="21"/>
          <w:szCs w:val="21"/>
        </w:rPr>
        <w:t>”最高额保证合同，为中国建设银行股份有限公司长沙河西支行向本公司子公司湖南博云东方粉末冶金有限公司提供的最高额度为</w:t>
      </w:r>
      <w:r>
        <w:rPr>
          <w:rFonts w:hint="default" w:ascii="宋体" w:hAnsi="宋体" w:eastAsia="宋体" w:cs="宋体"/>
          <w:color w:val="000000"/>
          <w:sz w:val="21"/>
          <w:szCs w:val="21"/>
        </w:rPr>
        <w:t>4,000</w:t>
      </w:r>
      <w:r>
        <w:rPr>
          <w:rFonts w:hint="eastAsia" w:ascii="宋体" w:hAnsi="宋体" w:eastAsia="宋体" w:cs="宋体"/>
          <w:color w:val="000000"/>
          <w:sz w:val="21"/>
          <w:szCs w:val="21"/>
        </w:rPr>
        <w:t>万元人民币的授信提供连带责任保证，授信期间为</w:t>
      </w:r>
      <w:r>
        <w:rPr>
          <w:rFonts w:hint="default" w:ascii="宋体" w:hAnsi="宋体" w:eastAsia="宋体" w:cs="宋体"/>
          <w:color w:val="000000"/>
          <w:sz w:val="21"/>
          <w:szCs w:val="21"/>
          <w:lang w:val="en-US" w:eastAsia="zh-CN"/>
        </w:rPr>
        <w:t>2</w:t>
      </w:r>
      <w:r>
        <w:rPr>
          <w:rFonts w:hint="default" w:ascii="宋体" w:hAnsi="宋体" w:eastAsia="宋体" w:cs="宋体"/>
          <w:color w:val="000000"/>
          <w:sz w:val="21"/>
          <w:szCs w:val="21"/>
        </w:rPr>
        <w:t>020</w:t>
      </w:r>
      <w:r>
        <w:rPr>
          <w:rFonts w:hint="eastAsia" w:ascii="宋体" w:hAnsi="宋体" w:eastAsia="宋体" w:cs="宋体"/>
          <w:color w:val="000000"/>
          <w:sz w:val="21"/>
          <w:szCs w:val="21"/>
        </w:rPr>
        <w:t>年</w:t>
      </w:r>
      <w:r>
        <w:rPr>
          <w:rFonts w:hint="default" w:ascii="宋体" w:hAnsi="宋体" w:eastAsia="宋体" w:cs="宋体"/>
          <w:color w:val="000000"/>
          <w:sz w:val="21"/>
          <w:szCs w:val="21"/>
        </w:rPr>
        <w:t>08</w:t>
      </w:r>
      <w:r>
        <w:rPr>
          <w:rFonts w:hint="eastAsia" w:ascii="宋体" w:hAnsi="宋体" w:eastAsia="宋体" w:cs="宋体"/>
          <w:color w:val="000000"/>
          <w:sz w:val="21"/>
          <w:szCs w:val="21"/>
        </w:rPr>
        <w:t>月</w:t>
      </w:r>
      <w:r>
        <w:rPr>
          <w:rFonts w:hint="default" w:ascii="宋体" w:hAnsi="宋体" w:eastAsia="宋体" w:cs="宋体"/>
          <w:color w:val="000000"/>
          <w:sz w:val="21"/>
          <w:szCs w:val="21"/>
        </w:rPr>
        <w:t>21</w:t>
      </w:r>
      <w:r>
        <w:rPr>
          <w:rFonts w:hint="eastAsia" w:ascii="宋体" w:hAnsi="宋体" w:eastAsia="宋体" w:cs="宋体"/>
          <w:color w:val="000000"/>
          <w:sz w:val="21"/>
          <w:szCs w:val="21"/>
        </w:rPr>
        <w:t>日至</w:t>
      </w:r>
      <w:r>
        <w:rPr>
          <w:rFonts w:hint="default" w:ascii="宋体" w:hAnsi="宋体" w:eastAsia="宋体" w:cs="宋体"/>
          <w:color w:val="000000"/>
          <w:sz w:val="21"/>
          <w:szCs w:val="21"/>
        </w:rPr>
        <w:t>2025</w:t>
      </w:r>
      <w:r>
        <w:rPr>
          <w:rFonts w:hint="eastAsia" w:ascii="宋体" w:hAnsi="宋体" w:eastAsia="宋体" w:cs="宋体"/>
          <w:color w:val="000000"/>
          <w:sz w:val="21"/>
          <w:szCs w:val="21"/>
        </w:rPr>
        <w:t>年</w:t>
      </w:r>
      <w:r>
        <w:rPr>
          <w:rFonts w:hint="default" w:ascii="宋体" w:hAnsi="宋体" w:eastAsia="宋体" w:cs="宋体"/>
          <w:color w:val="000000"/>
          <w:sz w:val="21"/>
          <w:szCs w:val="21"/>
        </w:rPr>
        <w:t>08</w:t>
      </w:r>
      <w:r>
        <w:rPr>
          <w:rFonts w:hint="eastAsia" w:ascii="宋体" w:hAnsi="宋体" w:eastAsia="宋体" w:cs="宋体"/>
          <w:color w:val="000000"/>
          <w:sz w:val="21"/>
          <w:szCs w:val="21"/>
        </w:rPr>
        <w:t>月</w:t>
      </w:r>
      <w:r>
        <w:rPr>
          <w:rFonts w:hint="default" w:ascii="宋体" w:hAnsi="宋体" w:eastAsia="宋体" w:cs="宋体"/>
          <w:color w:val="000000"/>
          <w:sz w:val="21"/>
          <w:szCs w:val="21"/>
        </w:rPr>
        <w:t>21</w:t>
      </w:r>
      <w:r>
        <w:rPr>
          <w:rFonts w:hint="eastAsia" w:ascii="宋体" w:hAnsi="宋体" w:eastAsia="宋体" w:cs="宋体"/>
          <w:color w:val="000000"/>
          <w:sz w:val="21"/>
          <w:szCs w:val="21"/>
        </w:rPr>
        <w:t>日。该保证合同已于2024年6月20日随子公司博云东方末笔担保贷款结清而终止。</w:t>
      </w:r>
    </w:p>
    <w:p>
      <w:pPr>
        <w:pStyle w:val="4"/>
        <w:keepNext w:val="0"/>
        <w:keepLines w:val="0"/>
        <w:widowControl/>
        <w:suppressLineNumbers w:val="0"/>
        <w:spacing w:before="0" w:beforeAutospacing="0" w:after="0" w:afterAutospacing="0" w:line="360" w:lineRule="atLeast"/>
        <w:ind w:left="0" w:right="0"/>
        <w:jc w:val="left"/>
        <w:rPr>
          <w:rFonts w:hint="eastAsia" w:ascii="宋体" w:hAnsi="宋体" w:eastAsia="宋体" w:cs="宋体"/>
          <w:color w:val="000000"/>
          <w:sz w:val="21"/>
          <w:szCs w:val="21"/>
        </w:rPr>
      </w:pPr>
      <w:r>
        <w:rPr>
          <w:rFonts w:hint="eastAsia" w:ascii="宋体" w:hAnsi="宋体" w:eastAsia="宋体" w:cs="宋体"/>
          <w:color w:val="000000"/>
          <w:sz w:val="21"/>
          <w:szCs w:val="21"/>
        </w:rPr>
        <w:t>  截至</w:t>
      </w:r>
      <w:r>
        <w:rPr>
          <w:rFonts w:hint="default" w:ascii="Times New Roman" w:hAnsi="Times New Roman" w:eastAsia="宋体" w:cs="Times New Roman"/>
          <w:color w:val="000000"/>
          <w:sz w:val="21"/>
          <w:szCs w:val="21"/>
        </w:rPr>
        <w:t>2024</w:t>
      </w:r>
      <w:r>
        <w:rPr>
          <w:rFonts w:hint="eastAsia" w:ascii="宋体" w:hAnsi="宋体" w:eastAsia="宋体" w:cs="宋体"/>
          <w:color w:val="000000"/>
          <w:sz w:val="21"/>
          <w:szCs w:val="21"/>
        </w:rPr>
        <w:t>年</w:t>
      </w:r>
      <w:r>
        <w:rPr>
          <w:rFonts w:hint="default" w:ascii="Times New Roman" w:hAnsi="Times New Roman" w:eastAsia="宋体" w:cs="Times New Roman"/>
          <w:color w:val="000000"/>
          <w:sz w:val="21"/>
          <w:szCs w:val="21"/>
        </w:rPr>
        <w:t>12</w:t>
      </w:r>
      <w:r>
        <w:rPr>
          <w:rFonts w:hint="eastAsia" w:ascii="宋体" w:hAnsi="宋体" w:eastAsia="宋体" w:cs="宋体"/>
          <w:color w:val="000000"/>
          <w:sz w:val="21"/>
          <w:szCs w:val="21"/>
        </w:rPr>
        <w:t>月</w:t>
      </w:r>
      <w:r>
        <w:rPr>
          <w:rFonts w:hint="default" w:ascii="Times New Roman" w:hAnsi="Times New Roman" w:eastAsia="宋体" w:cs="Times New Roman"/>
          <w:color w:val="000000"/>
          <w:sz w:val="21"/>
          <w:szCs w:val="21"/>
        </w:rPr>
        <w:t>31</w:t>
      </w:r>
      <w:r>
        <w:rPr>
          <w:rFonts w:hint="eastAsia" w:ascii="宋体" w:hAnsi="宋体" w:eastAsia="宋体" w:cs="宋体"/>
          <w:color w:val="000000"/>
          <w:sz w:val="21"/>
          <w:szCs w:val="21"/>
        </w:rPr>
        <w:t>日，本公司为子公司湖南博云东方粉末冶金有限公司在该行担保的借款余额为0元。</w:t>
      </w:r>
      <w:bookmarkStart w:id="412" w:name="_Toc989283"/>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157" w:beforeLines="50" w:beforeAutospacing="0" w:after="157" w:afterLines="50" w:afterAutospacing="0" w:line="360" w:lineRule="atLeast"/>
        <w:ind w:right="0" w:rightChars="0"/>
        <w:jc w:val="left"/>
        <w:textAlignment w:val="auto"/>
        <w:outlineLvl w:val="1"/>
        <w:rPr>
          <w:rFonts w:ascii="宋体" w:hAnsi="宋体" w:eastAsia="宋体" w:cs="宋体"/>
          <w:b/>
          <w:bCs/>
          <w:sz w:val="24"/>
          <w:szCs w:val="24"/>
        </w:rPr>
      </w:pPr>
      <w:r>
        <w:rPr>
          <w:rFonts w:hint="eastAsia" w:ascii="宋体" w:hAnsi="宋体" w:cs="宋体"/>
          <w:b/>
          <w:bCs/>
          <w:sz w:val="24"/>
          <w:szCs w:val="24"/>
          <w:lang w:val="en-US" w:eastAsia="zh-CN"/>
        </w:rPr>
        <w:t>十九、</w:t>
      </w:r>
      <w:r>
        <w:rPr>
          <w:rFonts w:ascii="宋体" w:hAnsi="宋体" w:eastAsia="宋体" w:cs="宋体"/>
          <w:b/>
          <w:bCs/>
          <w:sz w:val="24"/>
          <w:szCs w:val="24"/>
        </w:rPr>
        <w:t>母公司财务报表主要项目注释</w:t>
      </w:r>
      <w:bookmarkEnd w:id="412"/>
      <w:bookmarkStart w:id="413" w:name="OLE_LINK6"/>
      <w:bookmarkStart w:id="414" w:name="_Toc989284"/>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157" w:beforeLines="50" w:beforeAutospacing="0" w:after="157" w:afterLines="50" w:afterAutospacing="0" w:line="360" w:lineRule="atLeast"/>
        <w:ind w:right="0" w:rightChars="0"/>
        <w:jc w:val="left"/>
        <w:textAlignment w:val="auto"/>
        <w:outlineLvl w:val="2"/>
        <w:rPr>
          <w:rFonts w:ascii="宋体" w:hAnsi="宋体" w:eastAsia="宋体" w:cs="宋体"/>
          <w:b/>
          <w:bCs/>
          <w:sz w:val="21"/>
          <w:szCs w:val="21"/>
        </w:rPr>
      </w:pPr>
      <w:r>
        <w:rPr>
          <w:rFonts w:hint="eastAsia" w:ascii="宋体" w:hAnsi="宋体" w:eastAsia="宋体" w:cs="宋体"/>
          <w:b/>
          <w:bCs/>
          <w:sz w:val="21"/>
          <w:szCs w:val="21"/>
          <w:lang w:eastAsia="zh-CN"/>
        </w:rPr>
        <w:t>（一）</w:t>
      </w:r>
      <w:bookmarkEnd w:id="413"/>
      <w:r>
        <w:rPr>
          <w:rFonts w:ascii="宋体" w:hAnsi="宋体" w:eastAsia="宋体" w:cs="宋体"/>
          <w:b/>
          <w:bCs/>
          <w:sz w:val="21"/>
          <w:szCs w:val="21"/>
        </w:rPr>
        <w:t>应收账款</w:t>
      </w:r>
      <w:bookmarkEnd w:id="414"/>
    </w:p>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3"/>
        <w:rPr>
          <w:rFonts w:ascii="宋体" w:hAnsi="宋体" w:eastAsia="宋体" w:cs="宋体"/>
          <w:b/>
          <w:bCs/>
          <w:sz w:val="21"/>
          <w:szCs w:val="21"/>
        </w:rPr>
      </w:pPr>
      <w:bookmarkStart w:id="415" w:name="_Toc989285"/>
      <w:r>
        <w:rPr>
          <w:rFonts w:hint="eastAsia" w:ascii="宋体" w:hAnsi="宋体" w:eastAsia="宋体" w:cs="宋体"/>
          <w:b/>
          <w:bCs/>
          <w:sz w:val="21"/>
          <w:szCs w:val="21"/>
          <w:lang w:val="en-US" w:eastAsia="zh-CN"/>
        </w:rPr>
        <w:t>1.</w:t>
      </w:r>
      <w:r>
        <w:rPr>
          <w:rFonts w:ascii="宋体" w:hAnsi="宋体" w:eastAsia="宋体" w:cs="宋体"/>
          <w:b/>
          <w:bCs/>
          <w:sz w:val="21"/>
          <w:szCs w:val="21"/>
        </w:rPr>
        <w:t>按账龄披露</w:t>
      </w:r>
      <w:bookmarkEnd w:id="41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账龄</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期末账面余额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期初账面余额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1年以内（含1年）</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88,933,046.46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136,749,706.27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1至2年</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59,079,509.87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34,813,443.38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2至3年</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22,618,388.75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45,769,227.04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3年以上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90,757,289.66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68,406,426.42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3至4年</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42,207,199.96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22,466,336.72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4至5年</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2,780,000.00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5年以上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45,770,089.70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45,770,089.70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261,388,234.74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285,738,803.11</w:t>
            </w:r>
          </w:p>
        </w:tc>
      </w:tr>
    </w:tbl>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3"/>
        <w:rPr>
          <w:rFonts w:hint="eastAsia" w:ascii="宋体" w:hAnsi="宋体" w:eastAsia="宋体" w:cs="宋体"/>
          <w:b/>
          <w:bCs/>
          <w:sz w:val="21"/>
          <w:szCs w:val="21"/>
          <w:lang w:val="en-US" w:eastAsia="zh-CN"/>
        </w:rPr>
      </w:pPr>
      <w:bookmarkStart w:id="416" w:name="_Toc989286"/>
      <w:r>
        <w:rPr>
          <w:rFonts w:hint="eastAsia" w:ascii="宋体" w:hAnsi="宋体" w:eastAsia="宋体" w:cs="宋体"/>
          <w:b/>
          <w:bCs/>
          <w:sz w:val="21"/>
          <w:szCs w:val="21"/>
          <w:lang w:val="en-US" w:eastAsia="zh-CN"/>
        </w:rPr>
        <w:t>2.按坏账计提方法分类披露</w:t>
      </w:r>
      <w:bookmarkEnd w:id="416"/>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76"/>
        <w:gridCol w:w="876"/>
        <w:gridCol w:w="876"/>
        <w:gridCol w:w="876"/>
        <w:gridCol w:w="876"/>
        <w:gridCol w:w="876"/>
        <w:gridCol w:w="876"/>
        <w:gridCol w:w="876"/>
        <w:gridCol w:w="876"/>
        <w:gridCol w:w="876"/>
        <w:gridCol w:w="8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类别</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按单项计提坏账准备的应收账款</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46,214,927.09</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17.68%</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46,214,927.09</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45,770,089.70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16.02%</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45,770,089.70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按组合计提坏账准备的应收账款</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215,173,307.65</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82.32%</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28,841,473.57</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13.40%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186,331,834.08</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239,968,713.41</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83.98%</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26,297,576.09</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10.96%</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213,671,137.32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261,388,234.74</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75,056,400.66</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186,331,834.08</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285,738,803.11</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72,067,665.79</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213,671,137.32</w:t>
            </w:r>
          </w:p>
        </w:tc>
      </w:tr>
    </w:tbl>
    <w:p>
      <w:pPr>
        <w:keepNext w:val="0"/>
        <w:keepLines w:val="0"/>
        <w:pageBreakBefore w:val="0"/>
        <w:widowControl w:val="0"/>
        <w:kinsoku/>
        <w:wordWrap/>
        <w:overflowPunct/>
        <w:topLinePunct w:val="0"/>
        <w:autoSpaceDE/>
        <w:autoSpaceDN/>
        <w:bidi w:val="0"/>
        <w:adjustRightInd/>
        <w:snapToGrid/>
        <w:spacing w:before="313" w:beforeLines="100" w:after="0" w:line="240" w:lineRule="exact"/>
        <w:jc w:val="left"/>
        <w:textAlignment w:val="auto"/>
        <w:rPr>
          <w:rFonts w:ascii="宋体" w:hAnsi="宋体" w:eastAsia="宋体" w:cs="宋体"/>
          <w:sz w:val="18"/>
          <w:szCs w:val="18"/>
        </w:rPr>
      </w:pPr>
      <w:r>
        <w:rPr>
          <w:rFonts w:ascii="宋体" w:hAnsi="宋体" w:eastAsia="宋体" w:cs="宋体"/>
          <w:sz w:val="18"/>
          <w:szCs w:val="18"/>
        </w:rPr>
        <w:t>按单项计提坏账准备：46,214,927.09元</w:t>
      </w:r>
      <w:r>
        <w:rPr>
          <w:rFonts w:hint="eastAsia" w:ascii="宋体" w:hAnsi="宋体" w:cs="宋体"/>
          <w:sz w:val="18"/>
          <w:szCs w:val="18"/>
          <w:lang w:val="en-US" w:eastAsia="zh-CN"/>
        </w:rPr>
        <w:t xml:space="preserve">                                                           </w:t>
      </w: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名称</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5508"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计提理由</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亚洲硅业（青海）有限公司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9,856,000.00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9,856,000.00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9,856,000.00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9,856,000.00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预计无法收回</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厦门航空公司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5,660,592.00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5,660,592.00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5,660,592.00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5,660,592.00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预计无法收回</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小额难以收回应收账款合计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30,253,497.70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30,253,497.70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30,698,335.09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30,698,335.09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预计无法收回</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45,770,089.70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45,770,089.70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46,214,927.09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46,214,927.09</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0" w:after="0" w:line="240" w:lineRule="exact"/>
        <w:jc w:val="left"/>
        <w:rPr>
          <w:rFonts w:ascii="宋体" w:hAnsi="宋体" w:eastAsia="宋体" w:cs="宋体"/>
          <w:sz w:val="18"/>
          <w:szCs w:val="18"/>
        </w:rPr>
      </w:pPr>
    </w:p>
    <w:p>
      <w:pPr>
        <w:spacing w:before="0" w:after="0" w:line="240" w:lineRule="exact"/>
        <w:jc w:val="left"/>
        <w:rPr>
          <w:rFonts w:ascii="宋体" w:hAnsi="宋体" w:eastAsia="宋体" w:cs="宋体"/>
          <w:sz w:val="18"/>
          <w:szCs w:val="18"/>
        </w:rPr>
      </w:pPr>
      <w:r>
        <w:rPr>
          <w:rFonts w:ascii="宋体" w:hAnsi="宋体" w:eastAsia="宋体" w:cs="宋体"/>
          <w:sz w:val="18"/>
          <w:szCs w:val="18"/>
        </w:rPr>
        <w:t>按组合计提坏账准备：28,841,473.57元</w:t>
      </w:r>
      <w:r>
        <w:rPr>
          <w:rFonts w:hint="eastAsia" w:ascii="宋体" w:hAnsi="宋体" w:cs="宋体"/>
          <w:sz w:val="18"/>
          <w:szCs w:val="18"/>
          <w:lang w:val="en-US" w:eastAsia="zh-CN"/>
        </w:rPr>
        <w:t xml:space="preserve">                                                            </w:t>
      </w: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名称</w:t>
            </w:r>
          </w:p>
        </w:tc>
        <w:tc>
          <w:tcPr>
            <w:tcW w:w="7229"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一年以内</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88,933,046.46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4,446,652.32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一至二年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59,079,509.87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5,907,950.99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二至三年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22,173,551.36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4,434,710.27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三至四年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42,207,199.96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12,662,159.99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四至五年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2,780,000.00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1,390,000.00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五年以上</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215,173,307.65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28,841,473.57</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确定该组合依据的说明：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如是按照预期信用损失一般模型计提应收账款坏账准备：</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3"/>
        <w:rPr>
          <w:rFonts w:hint="eastAsia" w:ascii="宋体" w:hAnsi="宋体" w:eastAsia="宋体" w:cs="宋体"/>
          <w:b/>
          <w:bCs/>
          <w:sz w:val="21"/>
          <w:szCs w:val="21"/>
          <w:lang w:val="en-US" w:eastAsia="zh-CN"/>
        </w:rPr>
      </w:pPr>
      <w:bookmarkStart w:id="417" w:name="_Toc989287"/>
      <w:r>
        <w:rPr>
          <w:rFonts w:hint="eastAsia" w:ascii="宋体" w:hAnsi="宋体" w:eastAsia="宋体" w:cs="宋体"/>
          <w:b/>
          <w:bCs/>
          <w:sz w:val="21"/>
          <w:szCs w:val="21"/>
          <w:lang w:val="en-US" w:eastAsia="zh-CN"/>
        </w:rPr>
        <w:t>3.本期计提、收回或转回的坏账准备情况</w:t>
      </w:r>
      <w:bookmarkEnd w:id="417"/>
    </w:p>
    <w:p>
      <w:pPr>
        <w:keepNext w:val="0"/>
        <w:keepLines w:val="0"/>
        <w:pageBreakBefore w:val="0"/>
        <w:widowControl w:val="0"/>
        <w:kinsoku/>
        <w:wordWrap/>
        <w:overflowPunct/>
        <w:topLinePunct w:val="0"/>
        <w:autoSpaceDE/>
        <w:autoSpaceDN/>
        <w:bidi w:val="0"/>
        <w:adjustRightInd/>
        <w:snapToGrid/>
        <w:spacing w:before="100" w:line="240" w:lineRule="exact"/>
        <w:jc w:val="left"/>
        <w:textAlignment w:val="auto"/>
        <w:rPr>
          <w:rFonts w:ascii="宋体" w:hAnsi="宋体" w:eastAsia="宋体" w:cs="宋体"/>
          <w:sz w:val="18"/>
          <w:szCs w:val="18"/>
        </w:rPr>
      </w:pPr>
      <w:r>
        <w:rPr>
          <w:rFonts w:ascii="宋体" w:hAnsi="宋体" w:eastAsia="宋体" w:cs="宋体"/>
          <w:sz w:val="18"/>
          <w:szCs w:val="18"/>
        </w:rPr>
        <w:t>本期计提坏账准备情况：</w:t>
      </w:r>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类别</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5508"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本期变动金额</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收回或转回</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按单项计提坏账准备</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45,770,089.70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444,837.39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46,214,927.09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按信用风险特征组合计提坏账准备</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26,297,576.09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2,543,897.48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28,841,473.57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72,067,665.79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2,988,734.87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75,056,400.66</w:t>
            </w:r>
          </w:p>
        </w:tc>
      </w:tr>
    </w:tbl>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3"/>
        <w:rPr>
          <w:rFonts w:ascii="宋体" w:hAnsi="宋体" w:eastAsia="宋体" w:cs="宋体"/>
          <w:b/>
          <w:bCs/>
          <w:sz w:val="21"/>
          <w:szCs w:val="21"/>
        </w:rPr>
      </w:pPr>
      <w:bookmarkStart w:id="418" w:name="_Toc989288"/>
      <w:r>
        <w:rPr>
          <w:rFonts w:hint="eastAsia" w:ascii="宋体" w:hAnsi="宋体" w:eastAsia="宋体" w:cs="宋体"/>
          <w:b/>
          <w:bCs/>
          <w:sz w:val="21"/>
          <w:szCs w:val="21"/>
          <w:lang w:val="en-US" w:eastAsia="zh-CN"/>
        </w:rPr>
        <w:t>4.</w:t>
      </w:r>
      <w:r>
        <w:rPr>
          <w:rFonts w:ascii="宋体" w:hAnsi="宋体" w:eastAsia="宋体" w:cs="宋体"/>
          <w:b/>
          <w:bCs/>
          <w:sz w:val="21"/>
          <w:szCs w:val="21"/>
        </w:rPr>
        <w:t>按欠款方归集的期末余额前五名的应收账款和合同资产情况</w:t>
      </w:r>
      <w:bookmarkEnd w:id="418"/>
    </w:p>
    <w:p>
      <w:pPr>
        <w:pStyle w:val="9"/>
        <w:keepNext w:val="0"/>
        <w:keepLines w:val="0"/>
        <w:pageBreakBefore w:val="0"/>
        <w:widowControl w:val="0"/>
        <w:kinsoku/>
        <w:wordWrap/>
        <w:overflowPunct/>
        <w:topLinePunct w:val="0"/>
        <w:autoSpaceDE/>
        <w:autoSpaceDN/>
        <w:bidi w:val="0"/>
        <w:adjustRightInd w:val="0"/>
        <w:snapToGrid w:val="0"/>
        <w:spacing w:before="157" w:beforeLines="50"/>
        <w:ind w:left="0" w:leftChars="0" w:firstLine="420" w:firstLineChars="200"/>
        <w:textAlignment w:val="auto"/>
        <w:rPr>
          <w:rFonts w:hint="eastAsia" w:ascii="宋体" w:hAnsi="宋体" w:eastAsia="宋体" w:cs="宋体"/>
          <w:b/>
          <w:bCs/>
          <w:sz w:val="21"/>
          <w:szCs w:val="21"/>
          <w:highlight w:val="none"/>
          <w:lang w:eastAsia="zh-CN"/>
        </w:rPr>
      </w:pPr>
      <w:r>
        <w:rPr>
          <w:rFonts w:eastAsiaTheme="minorEastAsia"/>
          <w:highlight w:val="none"/>
        </w:rPr>
        <w:t>按欠款方归集的期末余额前五名应收账款</w:t>
      </w:r>
      <w:r>
        <w:rPr>
          <w:rFonts w:hint="eastAsia" w:eastAsiaTheme="minorEastAsia"/>
          <w:highlight w:val="none"/>
        </w:rPr>
        <w:t>和合同资产</w:t>
      </w:r>
      <w:r>
        <w:rPr>
          <w:rFonts w:eastAsiaTheme="minorEastAsia"/>
          <w:highlight w:val="none"/>
        </w:rPr>
        <w:t>汇总金额195,583,293.65元，占应收账款</w:t>
      </w:r>
      <w:r>
        <w:rPr>
          <w:rFonts w:hint="eastAsia" w:eastAsiaTheme="minorEastAsia"/>
          <w:highlight w:val="none"/>
        </w:rPr>
        <w:t>和合同资产</w:t>
      </w:r>
      <w:r>
        <w:rPr>
          <w:rFonts w:eastAsiaTheme="minorEastAsia"/>
          <w:highlight w:val="none"/>
        </w:rPr>
        <w:t>期末余额合计数的比例</w:t>
      </w:r>
      <w:r>
        <w:rPr>
          <w:rFonts w:hint="eastAsia" w:eastAsiaTheme="minorEastAsia"/>
          <w:highlight w:val="none"/>
        </w:rPr>
        <w:t>74.83</w:t>
      </w:r>
      <w:r>
        <w:rPr>
          <w:rFonts w:eastAsiaTheme="minorEastAsia"/>
          <w:highlight w:val="none"/>
        </w:rPr>
        <w:t>%，相应计提的坏账准备期末余额汇总金额35,788,495.35元。</w:t>
      </w:r>
    </w:p>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2"/>
        <w:rPr>
          <w:rFonts w:ascii="宋体" w:hAnsi="宋体" w:eastAsia="宋体" w:cs="宋体"/>
          <w:b/>
          <w:bCs/>
          <w:sz w:val="21"/>
          <w:szCs w:val="21"/>
        </w:rPr>
      </w:pPr>
      <w:r>
        <w:rPr>
          <w:rFonts w:hint="eastAsia" w:ascii="宋体" w:hAnsi="宋体" w:eastAsia="宋体" w:cs="宋体"/>
          <w:b/>
          <w:bCs/>
          <w:sz w:val="21"/>
          <w:szCs w:val="21"/>
          <w:lang w:eastAsia="zh-CN"/>
        </w:rPr>
        <w:t>（二）</w:t>
      </w:r>
      <w:r>
        <w:rPr>
          <w:rFonts w:ascii="宋体" w:hAnsi="宋体" w:eastAsia="宋体" w:cs="宋体"/>
          <w:b/>
          <w:bCs/>
          <w:sz w:val="21"/>
          <w:szCs w:val="21"/>
        </w:rPr>
        <w:t>其他应收款</w:t>
      </w:r>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其他应收款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352,548.63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115,041.28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352,548.63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115,041.28</w:t>
            </w:r>
          </w:p>
        </w:tc>
      </w:tr>
    </w:tbl>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3"/>
        <w:rPr>
          <w:rFonts w:hint="eastAsia" w:ascii="宋体" w:hAnsi="宋体" w:eastAsia="宋体" w:cs="宋体"/>
          <w:b/>
          <w:bCs/>
          <w:sz w:val="21"/>
          <w:szCs w:val="21"/>
          <w:lang w:val="en-US" w:eastAsia="zh-CN"/>
        </w:rPr>
      </w:pPr>
      <w:bookmarkStart w:id="419" w:name="_Toc989291"/>
      <w:r>
        <w:rPr>
          <w:rFonts w:hint="eastAsia" w:ascii="宋体" w:hAnsi="宋体" w:eastAsia="宋体" w:cs="宋体"/>
          <w:b/>
          <w:bCs/>
          <w:sz w:val="21"/>
          <w:szCs w:val="21"/>
          <w:lang w:val="en-US" w:eastAsia="zh-CN"/>
        </w:rPr>
        <w:t>1.其他应收款按款项性质分类情况</w:t>
      </w:r>
      <w:bookmarkEnd w:id="41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款项性质</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期末账面余额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期初账面余额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往来款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2,333,598.81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2,169,180.16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备用金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101,830.00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2,659.00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2,435,428.81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2,171,839.16</w:t>
            </w:r>
          </w:p>
        </w:tc>
      </w:tr>
    </w:tbl>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3"/>
        <w:rPr>
          <w:rFonts w:hint="eastAsia" w:ascii="宋体" w:hAnsi="宋体" w:eastAsia="宋体" w:cs="宋体"/>
          <w:b/>
          <w:bCs/>
          <w:sz w:val="21"/>
          <w:szCs w:val="21"/>
          <w:lang w:val="en-US" w:eastAsia="zh-CN"/>
        </w:rPr>
      </w:pPr>
      <w:bookmarkStart w:id="420" w:name="_Toc989292"/>
      <w:r>
        <w:rPr>
          <w:rFonts w:hint="eastAsia" w:ascii="宋体" w:hAnsi="宋体" w:eastAsia="宋体" w:cs="宋体"/>
          <w:b/>
          <w:bCs/>
          <w:sz w:val="21"/>
          <w:szCs w:val="21"/>
          <w:lang w:val="en-US" w:eastAsia="zh-CN"/>
        </w:rPr>
        <w:t>2.按账龄披露</w:t>
      </w:r>
      <w:bookmarkEnd w:id="420"/>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账龄</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期末账面余额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期初账面余额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1年以内（含1年）</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369,862.82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105,297.92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1至2年</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975.25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3年以上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2,065,565.99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2,065,565.99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3至4年</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2,357.90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4至5年</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2,357.90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24,960.00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5年以上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2,063,208.09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2,038,248.09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2,435,428.81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2,171,839.16</w:t>
            </w:r>
          </w:p>
        </w:tc>
      </w:tr>
    </w:tbl>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3"/>
        <w:rPr>
          <w:rFonts w:hint="eastAsia" w:ascii="宋体" w:hAnsi="宋体" w:eastAsia="宋体" w:cs="宋体"/>
          <w:b/>
          <w:bCs/>
          <w:sz w:val="21"/>
          <w:szCs w:val="21"/>
          <w:lang w:val="en-US" w:eastAsia="zh-CN"/>
        </w:rPr>
      </w:pPr>
      <w:bookmarkStart w:id="421" w:name="_Toc989293"/>
      <w:r>
        <w:rPr>
          <w:rFonts w:hint="eastAsia" w:ascii="宋体" w:hAnsi="宋体" w:eastAsia="宋体" w:cs="宋体"/>
          <w:b/>
          <w:bCs/>
          <w:sz w:val="21"/>
          <w:szCs w:val="21"/>
          <w:lang w:val="en-US" w:eastAsia="zh-CN"/>
        </w:rPr>
        <w:t>3.按坏账计提方法分类披露</w:t>
      </w:r>
      <w:bookmarkEnd w:id="42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76"/>
        <w:gridCol w:w="876"/>
        <w:gridCol w:w="876"/>
        <w:gridCol w:w="876"/>
        <w:gridCol w:w="876"/>
        <w:gridCol w:w="876"/>
        <w:gridCol w:w="876"/>
        <w:gridCol w:w="876"/>
        <w:gridCol w:w="876"/>
        <w:gridCol w:w="876"/>
        <w:gridCol w:w="8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类别</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按单项计提坏账准备</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676,934.59</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27.80%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676,934.59</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676,934.59</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31.17%</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676,934.59</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按组合计提坏账准备</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1,758,494.22</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72.20%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1,405,945.59</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79.95%</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352,548.63</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1,494,904.57</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68.83%</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1,379,863.29</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92.30%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115,041.28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2,435,428.81</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2,082,880.18</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352,548.63</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2,171,839.16</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2,056,797.88</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115,041.28</w:t>
            </w:r>
          </w:p>
        </w:tc>
      </w:tr>
    </w:tbl>
    <w:p>
      <w:pPr>
        <w:spacing w:before="0" w:after="0" w:line="240" w:lineRule="exact"/>
        <w:jc w:val="left"/>
        <w:rPr>
          <w:rFonts w:ascii="宋体" w:hAnsi="宋体" w:eastAsia="宋体" w:cs="宋体"/>
          <w:sz w:val="18"/>
          <w:szCs w:val="18"/>
        </w:rPr>
      </w:pPr>
    </w:p>
    <w:p>
      <w:pPr>
        <w:spacing w:before="0" w:after="0" w:line="240" w:lineRule="exact"/>
        <w:jc w:val="left"/>
        <w:rPr>
          <w:rFonts w:ascii="宋体" w:hAnsi="宋体" w:eastAsia="宋体" w:cs="宋体"/>
          <w:sz w:val="18"/>
          <w:szCs w:val="18"/>
        </w:rPr>
      </w:pPr>
      <w:r>
        <w:rPr>
          <w:rFonts w:ascii="宋体" w:hAnsi="宋体" w:eastAsia="宋体" w:cs="宋体"/>
          <w:sz w:val="18"/>
          <w:szCs w:val="18"/>
        </w:rPr>
        <w:t>按单项计提坏账准备：676,934.59元</w:t>
      </w:r>
      <w:r>
        <w:rPr>
          <w:rFonts w:hint="eastAsia" w:ascii="宋体" w:hAnsi="宋体" w:cs="宋体"/>
          <w:sz w:val="18"/>
          <w:szCs w:val="18"/>
          <w:lang w:val="en-US" w:eastAsia="zh-CN"/>
        </w:rPr>
        <w:t xml:space="preserve">                                                               </w:t>
      </w: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名称</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5508"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计提理由</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小额难以收回其他应收款合计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676,934.59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676,934.59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676,934.59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676,934.59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预计无法收回</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676,934.59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676,934.59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676,934.59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676,934.59</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0" w:after="0" w:line="240" w:lineRule="exact"/>
        <w:jc w:val="left"/>
        <w:rPr>
          <w:rFonts w:ascii="宋体" w:hAnsi="宋体" w:eastAsia="宋体" w:cs="宋体"/>
          <w:sz w:val="18"/>
          <w:szCs w:val="18"/>
        </w:rPr>
      </w:pPr>
    </w:p>
    <w:p>
      <w:pPr>
        <w:spacing w:before="0" w:after="0" w:line="240" w:lineRule="exact"/>
        <w:jc w:val="left"/>
        <w:rPr>
          <w:rFonts w:ascii="宋体" w:hAnsi="宋体" w:eastAsia="宋体" w:cs="宋体"/>
          <w:sz w:val="18"/>
          <w:szCs w:val="18"/>
        </w:rPr>
      </w:pPr>
      <w:r>
        <w:rPr>
          <w:rFonts w:ascii="宋体" w:hAnsi="宋体" w:eastAsia="宋体" w:cs="宋体"/>
          <w:sz w:val="18"/>
          <w:szCs w:val="18"/>
        </w:rPr>
        <w:t>按组合计提坏账准备： 1,405,945.59 元</w:t>
      </w:r>
      <w:r>
        <w:rPr>
          <w:rFonts w:hint="eastAsia" w:ascii="宋体" w:hAnsi="宋体" w:cs="宋体"/>
          <w:sz w:val="18"/>
          <w:szCs w:val="18"/>
          <w:lang w:val="en-US" w:eastAsia="zh-CN"/>
        </w:rPr>
        <w:t xml:space="preserve">                                                           </w:t>
      </w: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名称</w:t>
            </w:r>
          </w:p>
        </w:tc>
        <w:tc>
          <w:tcPr>
            <w:tcW w:w="7229"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一年以内</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369,862.82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18,493.14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一至二年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二至三年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三至四年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四至五年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2,357.90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1,178.95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五年以上</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1,386,273.50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1,386,273.50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1,758,494.22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1,405,945.59</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100" w:after="100" w:line="240" w:lineRule="exact"/>
        <w:jc w:val="left"/>
        <w:rPr>
          <w:rFonts w:ascii="宋体" w:hAnsi="宋体" w:eastAsia="宋体" w:cs="宋体"/>
          <w:sz w:val="18"/>
          <w:szCs w:val="18"/>
        </w:rPr>
      </w:pPr>
    </w:p>
    <w:p>
      <w:pPr>
        <w:spacing w:before="100" w:after="100" w:line="240" w:lineRule="exact"/>
        <w:jc w:val="left"/>
        <w:rPr>
          <w:rFonts w:ascii="宋体" w:hAnsi="宋体" w:eastAsia="宋体" w:cs="宋体"/>
          <w:sz w:val="18"/>
          <w:szCs w:val="18"/>
        </w:rPr>
      </w:pPr>
      <w:r>
        <w:rPr>
          <w:rFonts w:ascii="宋体" w:hAnsi="宋体" w:eastAsia="宋体" w:cs="宋体"/>
          <w:sz w:val="18"/>
          <w:szCs w:val="18"/>
        </w:rPr>
        <w:t>按预期信用损失一般模型计提坏账准备：</w:t>
      </w:r>
      <w:r>
        <w:rPr>
          <w:rFonts w:hint="eastAsia" w:ascii="宋体" w:hAnsi="宋体" w:cs="宋体"/>
          <w:sz w:val="18"/>
          <w:szCs w:val="18"/>
          <w:lang w:val="en-US" w:eastAsia="zh-CN"/>
        </w:rPr>
        <w:t xml:space="preserve">                                                           </w:t>
      </w: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第一阶段</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第二阶段</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第三阶段</w:t>
            </w:r>
          </w:p>
        </w:tc>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未来12个月预期信用损失</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整个存续期预期信用损失（未发生信用减值）</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整个存续期预期信用损失（已发生信用减值）</w:t>
            </w:r>
          </w:p>
        </w:tc>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2024年1月1日余额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63,326.89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1,993,470.99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2,056,797.88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2024年1月1日余额在本期</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本期计提</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26,082.30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26,082.30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2024年12月31日余额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89,409.19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1,993,470.99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2,082,880.18</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各阶段划分依据和坏账准备计提比例</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损失准备本期变动金额重大的账面余额变动情况</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3"/>
        <w:rPr>
          <w:rFonts w:hint="eastAsia" w:ascii="宋体" w:hAnsi="宋体" w:eastAsia="宋体" w:cs="宋体"/>
          <w:b/>
          <w:bCs/>
          <w:sz w:val="21"/>
          <w:szCs w:val="21"/>
          <w:lang w:val="en-US" w:eastAsia="zh-CN"/>
        </w:rPr>
      </w:pPr>
      <w:bookmarkStart w:id="422" w:name="_Toc989294"/>
      <w:r>
        <w:rPr>
          <w:rFonts w:hint="eastAsia" w:ascii="宋体" w:hAnsi="宋体" w:eastAsia="宋体" w:cs="宋体"/>
          <w:b/>
          <w:bCs/>
          <w:sz w:val="21"/>
          <w:szCs w:val="21"/>
          <w:lang w:val="en-US" w:eastAsia="zh-CN"/>
        </w:rPr>
        <w:t>4.本期计提、收回或转回的坏账准备情况</w:t>
      </w:r>
      <w:bookmarkEnd w:id="422"/>
    </w:p>
    <w:p>
      <w:pPr>
        <w:keepNext w:val="0"/>
        <w:keepLines w:val="0"/>
        <w:pageBreakBefore w:val="0"/>
        <w:widowControl w:val="0"/>
        <w:kinsoku/>
        <w:wordWrap/>
        <w:overflowPunct/>
        <w:topLinePunct w:val="0"/>
        <w:autoSpaceDE/>
        <w:autoSpaceDN/>
        <w:bidi w:val="0"/>
        <w:adjustRightInd/>
        <w:snapToGrid/>
        <w:spacing w:before="220" w:line="240" w:lineRule="exact"/>
        <w:jc w:val="left"/>
        <w:textAlignment w:val="auto"/>
        <w:rPr>
          <w:rFonts w:ascii="宋体" w:hAnsi="宋体" w:eastAsia="宋体" w:cs="宋体"/>
          <w:sz w:val="18"/>
          <w:szCs w:val="18"/>
        </w:rPr>
      </w:pPr>
      <w:r>
        <w:rPr>
          <w:rFonts w:ascii="宋体" w:hAnsi="宋体" w:eastAsia="宋体" w:cs="宋体"/>
          <w:sz w:val="18"/>
          <w:szCs w:val="18"/>
        </w:rPr>
        <w:t>本期计提坏账准备情况：</w:t>
      </w:r>
      <w:r>
        <w:rPr>
          <w:rFonts w:hint="eastAsia" w:ascii="宋体" w:hAnsi="宋体" w:cs="宋体"/>
          <w:sz w:val="18"/>
          <w:szCs w:val="18"/>
          <w:lang w:val="en-US" w:eastAsia="zh-CN"/>
        </w:rPr>
        <w:t xml:space="preserve">                                                                         </w:t>
      </w: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类别</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5508"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本期变动金额</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收回或转回</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转销或核销</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按单项计提坏账准备</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676,934.59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676,934.59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按信用风险特征组合计提坏账准备</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1,379,863.29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26,082.30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1,405,945.59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2,056,797.88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26,082.30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2,082,880.18</w:t>
            </w:r>
          </w:p>
        </w:tc>
      </w:tr>
    </w:tbl>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3"/>
        <w:rPr>
          <w:rFonts w:hint="eastAsia" w:ascii="宋体" w:hAnsi="宋体" w:eastAsia="宋体" w:cs="宋体"/>
          <w:b/>
          <w:bCs/>
          <w:sz w:val="21"/>
          <w:szCs w:val="21"/>
          <w:lang w:val="en-US" w:eastAsia="zh-CN"/>
        </w:rPr>
      </w:pPr>
      <w:bookmarkStart w:id="423" w:name="_Toc989295"/>
      <w:r>
        <w:rPr>
          <w:rFonts w:hint="eastAsia" w:ascii="宋体" w:hAnsi="宋体" w:eastAsia="宋体" w:cs="宋体"/>
          <w:b/>
          <w:bCs/>
          <w:sz w:val="21"/>
          <w:szCs w:val="21"/>
          <w:lang w:val="en-US" w:eastAsia="zh-CN"/>
        </w:rPr>
        <w:t>5.按欠款方归集的期末余额前五名的其他应收款情况</w:t>
      </w:r>
      <w:bookmarkEnd w:id="423"/>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款项的性质</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账龄</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占其他应收款期末余额合计数的比例</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上海雍丰国际贸易有限公司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往来款</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843,000.00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5年以上</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34.61%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843,000.00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长沙怡和有色新金属有限公司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往来款</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473,536.40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5年以上</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19.44%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473,536.40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宝鸡市天河钛业有限公司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往来款</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448,534.00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5年以上</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18.42%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448,534.00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吴志远</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往来款</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99,710.00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1年以内</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4,985.50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湖南博科瑞新材料有限责任公司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往来款</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50,971.29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1年以内</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2,548.56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1,915,751.69</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78.65%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1,772,604.46</w:t>
            </w:r>
          </w:p>
        </w:tc>
      </w:tr>
    </w:tbl>
    <w:p>
      <w:pPr>
        <w:spacing w:before="100" w:after="100" w:line="0" w:lineRule="exact"/>
        <w:jc w:val="left"/>
      </w:pPr>
    </w:p>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2"/>
        <w:rPr>
          <w:rFonts w:ascii="宋体" w:hAnsi="宋体" w:eastAsia="宋体" w:cs="宋体"/>
          <w:b/>
          <w:bCs/>
          <w:sz w:val="21"/>
          <w:szCs w:val="21"/>
        </w:rPr>
      </w:pPr>
      <w:r>
        <w:rPr>
          <w:rFonts w:hint="eastAsia" w:ascii="宋体" w:hAnsi="宋体" w:eastAsia="宋体" w:cs="宋体"/>
          <w:b/>
          <w:bCs/>
          <w:sz w:val="21"/>
          <w:szCs w:val="21"/>
          <w:lang w:eastAsia="zh-CN"/>
        </w:rPr>
        <w:t>（三）</w:t>
      </w:r>
      <w:r>
        <w:rPr>
          <w:rFonts w:ascii="宋体" w:hAnsi="宋体" w:eastAsia="宋体" w:cs="宋体"/>
          <w:b/>
          <w:bCs/>
          <w:sz w:val="21"/>
          <w:szCs w:val="21"/>
        </w:rPr>
        <w:t>长期股权投资</w:t>
      </w:r>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对子公司投资</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1,356,016,702.37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151,248,196.38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1,204,768,505.99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1,356,016,702.37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151,248,196.38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1,204,768,505.99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对联营、合营企业投资</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14,910,414.73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14,910,414.73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1,356,016,702.37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151,248,196.38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1,204,768,505.99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1,370,927,117.10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151,248,196.38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1,219,678,920.72</w:t>
            </w:r>
          </w:p>
        </w:tc>
      </w:tr>
    </w:tbl>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3"/>
        <w:rPr>
          <w:rFonts w:ascii="宋体" w:hAnsi="宋体" w:eastAsia="宋体" w:cs="宋体"/>
          <w:b/>
          <w:bCs/>
          <w:sz w:val="21"/>
          <w:szCs w:val="21"/>
        </w:rPr>
      </w:pPr>
      <w:bookmarkStart w:id="424" w:name="_Toc989297"/>
      <w:r>
        <w:rPr>
          <w:rFonts w:hint="eastAsia" w:ascii="宋体" w:hAnsi="宋体" w:eastAsia="宋体" w:cs="宋体"/>
          <w:b/>
          <w:bCs/>
          <w:sz w:val="21"/>
          <w:szCs w:val="21"/>
          <w:lang w:val="en-US" w:eastAsia="zh-CN"/>
        </w:rPr>
        <w:t>1.</w:t>
      </w:r>
      <w:r>
        <w:rPr>
          <w:rFonts w:ascii="宋体" w:hAnsi="宋体" w:eastAsia="宋体" w:cs="宋体"/>
          <w:b/>
          <w:bCs/>
          <w:sz w:val="21"/>
          <w:szCs w:val="21"/>
        </w:rPr>
        <w:t>对子公司投资</w:t>
      </w:r>
      <w:bookmarkEnd w:id="424"/>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被投资单位</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期初余额（账面价值）</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减值准备期初余额</w:t>
            </w:r>
          </w:p>
        </w:tc>
        <w:tc>
          <w:tcPr>
            <w:tcW w:w="4284"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本期增减变动</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期末余额（账面价值）</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vMerge w:val="continue"/>
            <w:tcBorders>
              <w:top w:val="single" w:color="auto" w:sz="2" w:space="0"/>
              <w:left w:val="single" w:color="auto" w:sz="2" w:space="0"/>
              <w:bottom w:val="single" w:color="auto" w:sz="2" w:space="0"/>
              <w:right w:val="single" w:color="auto" w:sz="2" w:space="0"/>
            </w:tcBorders>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追加投资</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减少投资</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计提减值准备</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湖南博云东方粉末冶金有限公司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635,317,977.02</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635,317,977.02</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长沙鑫航机轮刹车有限公司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365,546,273.46</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365,546,273.46</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长沙伟徽高科技新材料股份有限公司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203,904,255.51</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151,248,196.38</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203,904,255.51</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151,248,196.38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1,204,768,505.99</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151,248,196.38</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1,204,768,505.99</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151,248,196.38</w:t>
            </w:r>
          </w:p>
        </w:tc>
      </w:tr>
    </w:tbl>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3"/>
        <w:rPr>
          <w:rFonts w:hint="eastAsia" w:ascii="宋体" w:hAnsi="宋体" w:eastAsia="宋体" w:cs="宋体"/>
          <w:b/>
          <w:bCs/>
          <w:sz w:val="21"/>
          <w:szCs w:val="21"/>
          <w:lang w:val="en-US" w:eastAsia="zh-CN"/>
        </w:rPr>
      </w:pPr>
      <w:bookmarkStart w:id="425" w:name="_Toc989298"/>
      <w:r>
        <w:rPr>
          <w:rFonts w:hint="eastAsia" w:ascii="宋体" w:hAnsi="宋体" w:eastAsia="宋体" w:cs="宋体"/>
          <w:b/>
          <w:bCs/>
          <w:sz w:val="21"/>
          <w:szCs w:val="21"/>
          <w:lang w:val="en-US" w:eastAsia="zh-CN"/>
        </w:rPr>
        <w:t>2.对联营、合营企业投资</w:t>
      </w:r>
      <w:bookmarkEnd w:id="42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41"/>
        <w:gridCol w:w="741"/>
        <w:gridCol w:w="741"/>
        <w:gridCol w:w="741"/>
        <w:gridCol w:w="741"/>
        <w:gridCol w:w="741"/>
        <w:gridCol w:w="741"/>
        <w:gridCol w:w="741"/>
        <w:gridCol w:w="741"/>
        <w:gridCol w:w="741"/>
        <w:gridCol w:w="741"/>
        <w:gridCol w:w="741"/>
        <w:gridCol w:w="74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被投资单位</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期初余额（账面价值）</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减值准备期初余额</w:t>
            </w:r>
          </w:p>
        </w:tc>
        <w:tc>
          <w:tcPr>
            <w:tcW w:w="5932" w:type="dxa"/>
            <w:gridSpan w:val="8"/>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本期增减变动</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期末余额（账面价值）</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41" w:type="dxa"/>
            <w:vMerge w:val="continue"/>
            <w:tcBorders>
              <w:top w:val="single" w:color="auto" w:sz="2" w:space="0"/>
              <w:left w:val="single" w:color="auto" w:sz="2" w:space="0"/>
              <w:bottom w:val="single" w:color="auto" w:sz="2" w:space="0"/>
              <w:right w:val="single" w:color="auto" w:sz="2" w:space="0"/>
            </w:tcBorders>
            <w:vAlign w:val="center"/>
          </w:tc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追加投资</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减少投资</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权益法下确认的投资损益</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其他综合收益调整</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其他权益变动</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宣告发放现金股利或利润</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计提减值准备</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一、合营企业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二、联营企业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霍尼韦尔博云航空系统（湖南）有限公司</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14,910,414.73</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-14,910,414.73</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小计</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14,910,414.73</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-14,910,414.73</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14,910,414.73</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-14,910,414.73</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可收回金额按公允价值减去处置费用后的净额确定</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可收回金额按预计未来现金流量的现值确定</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numPr>
          <w:ilvl w:val="0"/>
          <w:numId w:val="2"/>
        </w:numPr>
        <w:spacing w:before="300" w:after="300" w:line="280" w:lineRule="exact"/>
        <w:jc w:val="left"/>
        <w:outlineLvl w:val="3"/>
        <w:rPr>
          <w:rFonts w:ascii="宋体" w:hAnsi="宋体" w:eastAsia="宋体" w:cs="宋体"/>
          <w:b/>
          <w:bCs/>
          <w:sz w:val="21"/>
          <w:szCs w:val="21"/>
        </w:rPr>
      </w:pPr>
      <w:bookmarkStart w:id="426" w:name="_Toc989299"/>
      <w:r>
        <w:rPr>
          <w:rFonts w:ascii="宋体" w:hAnsi="宋体" w:eastAsia="宋体" w:cs="宋体"/>
          <w:b/>
          <w:bCs/>
          <w:sz w:val="21"/>
          <w:szCs w:val="21"/>
        </w:rPr>
        <w:t>其他说明</w:t>
      </w:r>
      <w:bookmarkEnd w:id="426"/>
    </w:p>
    <w:p>
      <w:pPr>
        <w:pStyle w:val="2"/>
        <w:pageBreakBefore w:val="0"/>
        <w:widowControl w:val="0"/>
        <w:numPr>
          <w:ilvl w:val="0"/>
          <w:numId w:val="0"/>
        </w:numPr>
        <w:kinsoku/>
        <w:wordWrap/>
        <w:overflowPunct/>
        <w:topLinePunct w:val="0"/>
        <w:autoSpaceDE/>
        <w:autoSpaceDN/>
        <w:bidi w:val="0"/>
        <w:adjustRightInd/>
        <w:snapToGrid/>
        <w:spacing w:before="157" w:beforeLines="50" w:line="240" w:lineRule="auto"/>
        <w:ind w:firstLine="360" w:firstLineChars="200"/>
        <w:textAlignment w:val="auto"/>
      </w:pPr>
      <w:r>
        <w:rPr>
          <w:rFonts w:hint="eastAsia" w:ascii="宋体" w:hAnsi="宋体" w:eastAsia="宋体" w:cs="宋体"/>
          <w:sz w:val="18"/>
          <w:szCs w:val="18"/>
          <w:lang w:eastAsia="zh-CN"/>
        </w:rPr>
        <w:t>无。</w:t>
      </w:r>
    </w:p>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2"/>
        <w:rPr>
          <w:rFonts w:ascii="宋体" w:hAnsi="宋体" w:eastAsia="宋体" w:cs="宋体"/>
          <w:b/>
          <w:bCs/>
          <w:sz w:val="21"/>
          <w:szCs w:val="21"/>
        </w:rPr>
      </w:pPr>
      <w:bookmarkStart w:id="427" w:name="_Toc989300"/>
      <w:r>
        <w:rPr>
          <w:rFonts w:hint="eastAsia" w:ascii="宋体" w:hAnsi="宋体" w:eastAsia="宋体" w:cs="宋体"/>
          <w:b/>
          <w:bCs/>
          <w:sz w:val="21"/>
          <w:szCs w:val="21"/>
          <w:lang w:eastAsia="zh-CN"/>
        </w:rPr>
        <w:t>（四）</w:t>
      </w:r>
      <w:r>
        <w:rPr>
          <w:rFonts w:ascii="宋体" w:hAnsi="宋体" w:eastAsia="宋体" w:cs="宋体"/>
          <w:b/>
          <w:bCs/>
          <w:sz w:val="21"/>
          <w:szCs w:val="21"/>
        </w:rPr>
        <w:t>营业收入和营业成本</w:t>
      </w:r>
      <w:bookmarkEnd w:id="427"/>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收入</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成本</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收入</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成本</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主营业务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199,178,782.90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88,374,414.39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200,332,998.98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99,969,661.50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其他业务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3,652,915.87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1,246,245.09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6,389,513.68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1,526,774.02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202,831,698.77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89,620,659.48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206,722,512.66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101,496,435.52</w:t>
            </w:r>
          </w:p>
        </w:tc>
      </w:tr>
    </w:tbl>
    <w:p>
      <w:pPr>
        <w:spacing w:before="100" w:after="100" w:line="240" w:lineRule="exact"/>
        <w:jc w:val="left"/>
        <w:rPr>
          <w:rFonts w:ascii="宋体" w:hAnsi="宋体" w:eastAsia="宋体" w:cs="宋体"/>
          <w:sz w:val="18"/>
          <w:szCs w:val="18"/>
        </w:rPr>
      </w:pPr>
    </w:p>
    <w:p>
      <w:pPr>
        <w:spacing w:before="100" w:after="100" w:line="240" w:lineRule="exact"/>
        <w:jc w:val="left"/>
        <w:rPr>
          <w:rFonts w:ascii="宋体" w:hAnsi="宋体" w:eastAsia="宋体" w:cs="宋体"/>
          <w:sz w:val="18"/>
          <w:szCs w:val="18"/>
        </w:rPr>
      </w:pPr>
      <w:r>
        <w:rPr>
          <w:rFonts w:ascii="宋体" w:hAnsi="宋体" w:eastAsia="宋体" w:cs="宋体"/>
          <w:sz w:val="18"/>
          <w:szCs w:val="18"/>
        </w:rPr>
        <w:t>营业收入、营业成本的分解信息：</w:t>
      </w:r>
      <w:r>
        <w:rPr>
          <w:rFonts w:hint="eastAsia" w:ascii="宋体" w:hAnsi="宋体" w:cs="宋体"/>
          <w:sz w:val="18"/>
          <w:szCs w:val="18"/>
          <w:lang w:val="en-US" w:eastAsia="zh-CN"/>
        </w:rPr>
        <w:t xml:space="preserve">                                                                   </w:t>
      </w: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合同分类</w:t>
            </w:r>
          </w:p>
        </w:tc>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分部1</w:t>
            </w:r>
          </w:p>
        </w:tc>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分部2</w:t>
            </w:r>
          </w:p>
        </w:tc>
        <w:tc>
          <w:tcPr>
            <w:tcW w:w="2142"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营业收入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营业成本</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营业收入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营业成本</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营业收入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营业成本</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营业收入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营业成本</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业务类型</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　其中：</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航空航天及民用碳/碳复合材料</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199,178,782.90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88,374,414.39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合计</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199,178,782.90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88,374,414.39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按经营地区分类</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　其中：</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国内</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189,261,036.93</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81,690,738.23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国外</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9,917,745.97</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6,683,676.16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合计</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199,178,782.90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88,374,414.39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市场或客户类型</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　其中：</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航空航天及民用碳/碳复合材料</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199,178,782.90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88,374,414.39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合计</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199,178,782.90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88,374,414.39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合同类型</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　其中：</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主营商品买卖</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199,178,782.90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88,374,414.39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合计</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199,178,782.90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88,374,414.39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按商品转让的时间分类</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　其中：</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在某一时点确认</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199,178,782.90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88,374,414.39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在某一时段内确认</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合计</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199,178,782.90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88,374,414.39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按合同期限分类</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　其中：</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按销售渠道分类</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　其中：</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与分摊至剩余履约义务的交易价格相关的信息：</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本报告期末已签订合同、但尚未履行或尚未履行完毕的履约义务所对应的收入金额为96,358,481.32元，其中，79,957,487.52元预计将于2025年度确认收入，10,326,657.52元预计将于2026年度确认收入，6,074,336.28元预计将于2027年度确认收入。</w:t>
      </w:r>
    </w:p>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2"/>
        <w:rPr>
          <w:rFonts w:ascii="宋体" w:hAnsi="宋体" w:eastAsia="宋体" w:cs="宋体"/>
          <w:b/>
          <w:bCs/>
          <w:sz w:val="21"/>
          <w:szCs w:val="21"/>
        </w:rPr>
      </w:pPr>
      <w:bookmarkStart w:id="428" w:name="_Toc989301"/>
      <w:r>
        <w:rPr>
          <w:rFonts w:hint="eastAsia" w:ascii="宋体" w:hAnsi="宋体" w:eastAsia="宋体" w:cs="宋体"/>
          <w:b/>
          <w:bCs/>
          <w:sz w:val="21"/>
          <w:szCs w:val="21"/>
          <w:lang w:eastAsia="zh-CN"/>
        </w:rPr>
        <w:t>（五）</w:t>
      </w:r>
      <w:r>
        <w:rPr>
          <w:rFonts w:ascii="宋体" w:hAnsi="宋体" w:eastAsia="宋体" w:cs="宋体"/>
          <w:b/>
          <w:bCs/>
          <w:sz w:val="21"/>
          <w:szCs w:val="21"/>
        </w:rPr>
        <w:t>投资收益</w:t>
      </w:r>
      <w:bookmarkEnd w:id="428"/>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权益法核算的长期股权投资收益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-14,910,414.73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-18,293,410.48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其他权益工具投资在持有期间取得的股利收入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1,828,492.00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1,680,697.00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-13,081,922.73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-16,612,713.48</w:t>
            </w:r>
          </w:p>
        </w:tc>
      </w:tr>
    </w:tbl>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2"/>
        <w:rPr>
          <w:rFonts w:ascii="宋体" w:hAnsi="宋体" w:eastAsia="宋体" w:cs="宋体"/>
          <w:b/>
          <w:bCs/>
          <w:sz w:val="21"/>
          <w:szCs w:val="21"/>
        </w:rPr>
      </w:pPr>
      <w:bookmarkStart w:id="429" w:name="_Toc989302"/>
      <w:r>
        <w:rPr>
          <w:rFonts w:hint="eastAsia" w:ascii="宋体" w:hAnsi="宋体" w:eastAsia="宋体" w:cs="宋体"/>
          <w:b/>
          <w:bCs/>
          <w:sz w:val="21"/>
          <w:szCs w:val="21"/>
          <w:lang w:eastAsia="zh-CN"/>
        </w:rPr>
        <w:t>（六）</w:t>
      </w:r>
      <w:r>
        <w:rPr>
          <w:rFonts w:ascii="宋体" w:hAnsi="宋体" w:eastAsia="宋体" w:cs="宋体"/>
          <w:b/>
          <w:bCs/>
          <w:sz w:val="21"/>
          <w:szCs w:val="21"/>
        </w:rPr>
        <w:t>其他</w:t>
      </w:r>
      <w:bookmarkEnd w:id="429"/>
    </w:p>
    <w:p>
      <w:pPr>
        <w:pStyle w:val="4"/>
        <w:keepNext w:val="0"/>
        <w:keepLines w:val="0"/>
        <w:widowControl/>
        <w:suppressLineNumbers w:val="0"/>
        <w:ind w:firstLine="210" w:firstLineChars="100"/>
        <w:rPr>
          <w:sz w:val="21"/>
          <w:szCs w:val="21"/>
        </w:rPr>
      </w:pPr>
      <w:r>
        <w:rPr>
          <w:rFonts w:hint="eastAsia" w:ascii="宋体" w:hAnsi="宋体" w:eastAsia="宋体" w:cs="宋体"/>
          <w:sz w:val="21"/>
          <w:szCs w:val="21"/>
        </w:rPr>
        <w:t>无。</w:t>
      </w:r>
    </w:p>
    <w:p>
      <w:pPr>
        <w:keepNext/>
        <w:keepLines/>
        <w:spacing w:before="300" w:after="300" w:line="320" w:lineRule="exact"/>
        <w:jc w:val="left"/>
        <w:outlineLvl w:val="1"/>
        <w:rPr>
          <w:rFonts w:ascii="宋体" w:hAnsi="宋体" w:eastAsia="宋体" w:cs="宋体"/>
          <w:b/>
          <w:bCs/>
          <w:sz w:val="24"/>
          <w:szCs w:val="24"/>
        </w:rPr>
      </w:pPr>
      <w:bookmarkStart w:id="430" w:name="_Toc989303"/>
      <w:r>
        <w:rPr>
          <w:rFonts w:ascii="宋体" w:hAnsi="宋体" w:eastAsia="宋体" w:cs="宋体"/>
          <w:b/>
          <w:bCs/>
          <w:sz w:val="24"/>
          <w:szCs w:val="24"/>
        </w:rPr>
        <w:t>二十、补充资料</w:t>
      </w:r>
      <w:bookmarkEnd w:id="430"/>
    </w:p>
    <w:p>
      <w:pPr>
        <w:keepNext/>
        <w:keepLines/>
        <w:spacing w:before="300" w:after="300" w:line="280" w:lineRule="exact"/>
        <w:jc w:val="left"/>
        <w:outlineLvl w:val="2"/>
        <w:rPr>
          <w:rFonts w:ascii="宋体" w:hAnsi="宋体" w:eastAsia="宋体" w:cs="宋体"/>
          <w:b/>
          <w:bCs/>
          <w:sz w:val="21"/>
          <w:szCs w:val="21"/>
        </w:rPr>
      </w:pPr>
      <w:bookmarkStart w:id="431" w:name="_Toc989304"/>
      <w:r>
        <w:rPr>
          <w:rFonts w:hint="eastAsia" w:ascii="宋体" w:hAnsi="宋体" w:eastAsia="宋体" w:cs="宋体"/>
          <w:b/>
          <w:bCs/>
          <w:sz w:val="21"/>
          <w:szCs w:val="21"/>
          <w:lang w:eastAsia="zh-CN"/>
        </w:rPr>
        <w:t>（一）</w:t>
      </w:r>
      <w:r>
        <w:rPr>
          <w:rFonts w:ascii="宋体" w:hAnsi="宋体" w:eastAsia="宋体" w:cs="宋体"/>
          <w:b/>
          <w:bCs/>
          <w:sz w:val="21"/>
          <w:szCs w:val="21"/>
        </w:rPr>
        <w:t>当期非经常性损益明细表</w:t>
      </w:r>
      <w:bookmarkEnd w:id="431"/>
    </w:p>
    <w:p>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687"/>
        <w:gridCol w:w="2940"/>
        <w:gridCol w:w="301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68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294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301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68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非流动性资产处置损益</w:t>
            </w:r>
          </w:p>
        </w:tc>
        <w:tc>
          <w:tcPr>
            <w:tcW w:w="29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-5,074,350.66</w:t>
            </w:r>
          </w:p>
        </w:tc>
        <w:tc>
          <w:tcPr>
            <w:tcW w:w="301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68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计入当期损益的政府补助（与公司正常经营业务密切相关，符合国家政策规定、按照确定的标准享有、对公司损益产生持续影响的政府补助除外）</w:t>
            </w:r>
          </w:p>
        </w:tc>
        <w:tc>
          <w:tcPr>
            <w:tcW w:w="29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18,289,267.36</w:t>
            </w:r>
          </w:p>
        </w:tc>
        <w:tc>
          <w:tcPr>
            <w:tcW w:w="301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68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单独进行减值测试的应收款项减值准备转回</w:t>
            </w:r>
          </w:p>
        </w:tc>
        <w:tc>
          <w:tcPr>
            <w:tcW w:w="29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20,000.00</w:t>
            </w:r>
          </w:p>
        </w:tc>
        <w:tc>
          <w:tcPr>
            <w:tcW w:w="301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68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除上述各项之外的其他营业外收入和支出</w:t>
            </w:r>
          </w:p>
        </w:tc>
        <w:tc>
          <w:tcPr>
            <w:tcW w:w="29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-12,052,914.80</w:t>
            </w:r>
          </w:p>
        </w:tc>
        <w:tc>
          <w:tcPr>
            <w:tcW w:w="301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68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其他符合非经常性损益定义的损益项目</w:t>
            </w:r>
          </w:p>
        </w:tc>
        <w:tc>
          <w:tcPr>
            <w:tcW w:w="29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30,207,636.60</w:t>
            </w:r>
          </w:p>
        </w:tc>
        <w:tc>
          <w:tcPr>
            <w:tcW w:w="301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68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减：所得税影响额</w:t>
            </w:r>
          </w:p>
        </w:tc>
        <w:tc>
          <w:tcPr>
            <w:tcW w:w="29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3,663,006.55</w:t>
            </w:r>
          </w:p>
        </w:tc>
        <w:tc>
          <w:tcPr>
            <w:tcW w:w="301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68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少数股东权益影响额（税后）</w:t>
            </w:r>
          </w:p>
        </w:tc>
        <w:tc>
          <w:tcPr>
            <w:tcW w:w="29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190,158.40</w:t>
            </w:r>
          </w:p>
        </w:tc>
        <w:tc>
          <w:tcPr>
            <w:tcW w:w="301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68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29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27,536,473.55</w:t>
            </w:r>
          </w:p>
        </w:tc>
        <w:tc>
          <w:tcPr>
            <w:tcW w:w="301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其他符合非经常性损益定义的损益项目的具体情况：</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公司不存在其他符合非经常性损益定义的损益项目的具体情况。</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将《公开发行证券的公司信息披露解释性公告第1号——非经常性损益》中列举的非经常性损益项目界定为经常性损益项目的情况说明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2"/>
        <w:rPr>
          <w:rFonts w:ascii="宋体" w:hAnsi="宋体" w:eastAsia="宋体" w:cs="宋体"/>
          <w:b/>
          <w:bCs/>
          <w:sz w:val="21"/>
          <w:szCs w:val="21"/>
        </w:rPr>
      </w:pPr>
      <w:bookmarkStart w:id="432" w:name="_Toc989305"/>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二</w:t>
      </w:r>
      <w:r>
        <w:rPr>
          <w:rFonts w:hint="eastAsia" w:ascii="宋体" w:hAnsi="宋体" w:eastAsia="宋体" w:cs="宋体"/>
          <w:b/>
          <w:bCs/>
          <w:sz w:val="21"/>
          <w:szCs w:val="21"/>
          <w:lang w:eastAsia="zh-CN"/>
        </w:rPr>
        <w:t>）</w:t>
      </w:r>
      <w:r>
        <w:rPr>
          <w:rFonts w:ascii="宋体" w:hAnsi="宋体" w:eastAsia="宋体" w:cs="宋体"/>
          <w:b/>
          <w:bCs/>
          <w:sz w:val="21"/>
          <w:szCs w:val="21"/>
        </w:rPr>
        <w:t>净资产收益率及每股收益</w:t>
      </w:r>
      <w:bookmarkEnd w:id="432"/>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报告期利润</w:t>
            </w:r>
          </w:p>
        </w:tc>
        <w:tc>
          <w:tcPr>
            <w:tcW w:w="241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加权平均净资产收益率</w:t>
            </w:r>
          </w:p>
        </w:tc>
        <w:tc>
          <w:tcPr>
            <w:tcW w:w="4820"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每股收益</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基本每股收益（元/股）</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稀释每股收益（元/股）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归属于公司普通股股东的净利润</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-0.1173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-0.1173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扣除非经常性损益后归属于公司普通股股东的净利润</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-0.1654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-0.1654</w:t>
            </w:r>
          </w:p>
        </w:tc>
      </w:tr>
    </w:tbl>
    <w:p>
      <w:pPr>
        <w:keepNext/>
        <w:keepLines/>
        <w:spacing w:before="300" w:after="300" w:line="280" w:lineRule="exact"/>
        <w:jc w:val="left"/>
        <w:outlineLvl w:val="2"/>
        <w:rPr>
          <w:rFonts w:ascii="宋体" w:hAnsi="宋体" w:eastAsia="宋体" w:cs="宋体"/>
          <w:b/>
          <w:bCs/>
          <w:sz w:val="21"/>
          <w:szCs w:val="21"/>
        </w:rPr>
      </w:pPr>
      <w:bookmarkStart w:id="433" w:name="_Toc989306"/>
      <w:r>
        <w:rPr>
          <w:rFonts w:hint="eastAsia" w:ascii="宋体" w:hAnsi="宋体" w:eastAsia="宋体" w:cs="宋体"/>
          <w:b/>
          <w:bCs/>
          <w:sz w:val="21"/>
          <w:szCs w:val="21"/>
          <w:lang w:eastAsia="zh-CN"/>
        </w:rPr>
        <w:t>（三）</w:t>
      </w:r>
      <w:r>
        <w:rPr>
          <w:rFonts w:ascii="宋体" w:hAnsi="宋体" w:eastAsia="宋体" w:cs="宋体"/>
          <w:b/>
          <w:bCs/>
          <w:sz w:val="21"/>
          <w:szCs w:val="21"/>
        </w:rPr>
        <w:t>境内外会计准则下会计数据差异</w:t>
      </w:r>
      <w:bookmarkEnd w:id="433"/>
    </w:p>
    <w:p>
      <w:pPr>
        <w:keepNext/>
        <w:keepLines/>
        <w:spacing w:before="300" w:after="300" w:line="280" w:lineRule="exact"/>
        <w:jc w:val="left"/>
        <w:outlineLvl w:val="3"/>
        <w:rPr>
          <w:rFonts w:ascii="宋体" w:hAnsi="宋体" w:eastAsia="宋体" w:cs="宋体"/>
          <w:b/>
          <w:bCs/>
          <w:sz w:val="21"/>
          <w:szCs w:val="21"/>
        </w:rPr>
      </w:pPr>
      <w:bookmarkStart w:id="434" w:name="_Toc989307"/>
      <w:r>
        <w:rPr>
          <w:rFonts w:hint="eastAsia" w:ascii="宋体" w:hAnsi="宋体" w:eastAsia="宋体" w:cs="宋体"/>
          <w:b/>
          <w:bCs/>
          <w:sz w:val="21"/>
          <w:szCs w:val="21"/>
          <w:lang w:val="en-US" w:eastAsia="zh-CN"/>
        </w:rPr>
        <w:t>1.</w:t>
      </w:r>
      <w:r>
        <w:rPr>
          <w:rFonts w:ascii="宋体" w:hAnsi="宋体" w:eastAsia="宋体" w:cs="宋体"/>
          <w:b/>
          <w:bCs/>
          <w:sz w:val="21"/>
          <w:szCs w:val="21"/>
        </w:rPr>
        <w:t>同时按照国际会计准则与按中国会计准则披露的财务报告中净利润和净资产差异情况</w:t>
      </w:r>
      <w:bookmarkEnd w:id="434"/>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3"/>
        <w:rPr>
          <w:rFonts w:ascii="宋体" w:hAnsi="宋体" w:eastAsia="宋体" w:cs="宋体"/>
          <w:b/>
          <w:bCs/>
          <w:sz w:val="21"/>
          <w:szCs w:val="21"/>
        </w:rPr>
      </w:pPr>
      <w:bookmarkStart w:id="435" w:name="_Toc989308"/>
      <w:r>
        <w:rPr>
          <w:rFonts w:hint="eastAsia" w:ascii="宋体" w:hAnsi="宋体" w:eastAsia="宋体" w:cs="宋体"/>
          <w:b/>
          <w:bCs/>
          <w:sz w:val="21"/>
          <w:szCs w:val="21"/>
          <w:lang w:val="en-US" w:eastAsia="zh-CN"/>
        </w:rPr>
        <w:t>2.</w:t>
      </w:r>
      <w:r>
        <w:rPr>
          <w:rFonts w:ascii="宋体" w:hAnsi="宋体" w:eastAsia="宋体" w:cs="宋体"/>
          <w:b/>
          <w:bCs/>
          <w:sz w:val="21"/>
          <w:szCs w:val="21"/>
        </w:rPr>
        <w:t>同时按照境外会计准则与按中国会计准则披露的财务报告中净利润和净资产差异情况</w:t>
      </w:r>
      <w:bookmarkEnd w:id="435"/>
    </w:p>
    <w:p>
      <w:pPr>
        <w:spacing w:before="0" w:after="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ind w:left="210" w:hanging="210" w:hangingChars="100"/>
        <w:jc w:val="left"/>
        <w:outlineLvl w:val="3"/>
        <w:rPr>
          <w:rFonts w:ascii="宋体" w:hAnsi="宋体" w:eastAsia="宋体" w:cs="宋体"/>
          <w:b/>
          <w:bCs/>
          <w:sz w:val="21"/>
          <w:szCs w:val="21"/>
        </w:rPr>
      </w:pPr>
      <w:bookmarkStart w:id="436" w:name="_Toc989309"/>
      <w:bookmarkStart w:id="437" w:name="OLE_LINK13"/>
      <w:r>
        <w:rPr>
          <w:rFonts w:hint="eastAsia" w:ascii="宋体" w:hAnsi="宋体" w:eastAsia="宋体" w:cs="宋体"/>
          <w:b/>
          <w:bCs/>
          <w:sz w:val="21"/>
          <w:szCs w:val="21"/>
          <w:lang w:val="en-US" w:eastAsia="zh-CN"/>
        </w:rPr>
        <w:t>3.</w:t>
      </w:r>
      <w:r>
        <w:rPr>
          <w:rFonts w:ascii="宋体" w:hAnsi="宋体" w:eastAsia="宋体" w:cs="宋体"/>
          <w:b/>
          <w:bCs/>
          <w:sz w:val="21"/>
          <w:szCs w:val="21"/>
        </w:rPr>
        <w:t>境内外会计准则下会计数据差异原因说明，对已经境外审计机构审计的数据进行差异调节的，应注明该境外机构的名称</w:t>
      </w:r>
      <w:bookmarkEnd w:id="436"/>
    </w:p>
    <w:p>
      <w:pPr>
        <w:keepNext/>
        <w:keepLines/>
        <w:spacing w:before="300" w:after="300" w:line="280" w:lineRule="exact"/>
        <w:jc w:val="left"/>
        <w:outlineLvl w:val="2"/>
        <w:rPr>
          <w:rFonts w:ascii="宋体" w:hAnsi="宋体" w:eastAsia="宋体" w:cs="宋体"/>
          <w:b/>
          <w:bCs/>
          <w:sz w:val="21"/>
          <w:szCs w:val="21"/>
        </w:rPr>
      </w:pPr>
      <w:bookmarkStart w:id="438" w:name="_Toc989310"/>
      <w:r>
        <w:rPr>
          <w:rFonts w:hint="eastAsia" w:ascii="宋体" w:hAnsi="宋体" w:eastAsia="宋体" w:cs="宋体"/>
          <w:b/>
          <w:bCs/>
          <w:sz w:val="21"/>
          <w:szCs w:val="21"/>
          <w:lang w:eastAsia="zh-CN"/>
        </w:rPr>
        <w:t>（四）</w:t>
      </w:r>
      <w:r>
        <w:rPr>
          <w:rFonts w:ascii="宋体" w:hAnsi="宋体" w:eastAsia="宋体" w:cs="宋体"/>
          <w:b/>
          <w:bCs/>
          <w:sz w:val="21"/>
          <w:szCs w:val="21"/>
        </w:rPr>
        <w:t>其他</w:t>
      </w:r>
      <w:bookmarkEnd w:id="438"/>
    </w:p>
    <w:p>
      <w:pPr>
        <w:pStyle w:val="4"/>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0"/>
        <w:ind w:left="0" w:right="0"/>
        <w:textAlignment w:val="auto"/>
      </w:pPr>
      <w:r>
        <w:rPr>
          <w:rFonts w:hint="eastAsia" w:ascii="宋体" w:hAnsi="宋体" w:eastAsia="宋体" w:cs="宋体"/>
          <w:color w:val="000000"/>
          <w:sz w:val="21"/>
          <w:szCs w:val="21"/>
        </w:rPr>
        <w:t>其他符合非经常性损益定义的损益项目的说明：</w:t>
      </w:r>
    </w:p>
    <w:tbl>
      <w:tblPr>
        <w:tblStyle w:val="5"/>
        <w:tblW w:w="4580"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3403"/>
        <w:gridCol w:w="2463"/>
        <w:gridCol w:w="315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94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center"/>
              <w:rPr>
                <w:rFonts w:ascii="Calibri" w:hAnsi="Calibri" w:cs="Calibri"/>
                <w:sz w:val="21"/>
                <w:szCs w:val="21"/>
              </w:rPr>
            </w:pPr>
            <w:r>
              <w:rPr>
                <w:rFonts w:hint="eastAsia" w:ascii="宋体" w:hAnsi="宋体" w:eastAsia="宋体" w:cs="宋体"/>
                <w:color w:val="000000"/>
                <w:sz w:val="18"/>
                <w:szCs w:val="18"/>
              </w:rPr>
              <w:t>项目</w:t>
            </w:r>
          </w:p>
        </w:tc>
        <w:tc>
          <w:tcPr>
            <w:tcW w:w="213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eastAsia" w:ascii="宋体" w:hAnsi="宋体" w:eastAsia="宋体" w:cs="宋体"/>
                <w:color w:val="000000"/>
                <w:sz w:val="18"/>
                <w:szCs w:val="18"/>
              </w:rPr>
              <w:t>涉及金额</w:t>
            </w:r>
          </w:p>
        </w:tc>
        <w:tc>
          <w:tcPr>
            <w:tcW w:w="273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eastAsia" w:ascii="宋体" w:hAnsi="宋体" w:eastAsia="宋体" w:cs="宋体"/>
                <w:color w:val="000000"/>
                <w:sz w:val="18"/>
                <w:szCs w:val="18"/>
              </w:rPr>
              <w:t>原因</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294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left"/>
              <w:rPr>
                <w:rFonts w:hint="default" w:ascii="Calibri" w:hAnsi="Calibri" w:cs="Calibri"/>
                <w:sz w:val="21"/>
                <w:szCs w:val="21"/>
              </w:rPr>
            </w:pPr>
            <w:r>
              <w:rPr>
                <w:rFonts w:hint="eastAsia" w:ascii="宋体" w:hAnsi="宋体" w:cs="宋体"/>
                <w:color w:val="000000"/>
                <w:sz w:val="18"/>
                <w:szCs w:val="18"/>
                <w:lang w:eastAsia="zh-CN"/>
              </w:rPr>
              <w:t>产</w:t>
            </w:r>
            <w:r>
              <w:rPr>
                <w:rFonts w:hint="eastAsia" w:ascii="宋体" w:hAnsi="宋体" w:eastAsia="宋体" w:cs="宋体"/>
                <w:color w:val="000000"/>
                <w:sz w:val="18"/>
                <w:szCs w:val="18"/>
              </w:rPr>
              <w:t>品退税收入</w:t>
            </w:r>
          </w:p>
        </w:tc>
        <w:tc>
          <w:tcPr>
            <w:tcW w:w="213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default" w:ascii="Times New Roman" w:hAnsi="Times New Roman" w:cs="Times New Roman"/>
                <w:color w:val="000000"/>
                <w:sz w:val="18"/>
                <w:szCs w:val="18"/>
              </w:rPr>
              <w:t>19,490,468.52</w:t>
            </w:r>
          </w:p>
        </w:tc>
        <w:tc>
          <w:tcPr>
            <w:tcW w:w="27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eastAsia" w:ascii="宋体" w:hAnsi="宋体" w:eastAsia="宋体" w:cs="宋体"/>
                <w:color w:val="000000"/>
                <w:sz w:val="18"/>
                <w:szCs w:val="18"/>
              </w:rPr>
              <w:t>非经常性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294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left"/>
              <w:rPr>
                <w:rFonts w:hint="default" w:ascii="Calibri" w:hAnsi="Calibri" w:cs="Calibri"/>
                <w:sz w:val="21"/>
                <w:szCs w:val="21"/>
              </w:rPr>
            </w:pPr>
            <w:r>
              <w:rPr>
                <w:rFonts w:hint="eastAsia" w:ascii="宋体" w:hAnsi="宋体" w:cs="宋体"/>
                <w:color w:val="000000"/>
                <w:sz w:val="18"/>
                <w:szCs w:val="18"/>
                <w:lang w:eastAsia="zh-CN"/>
              </w:rPr>
              <w:t>产</w:t>
            </w:r>
            <w:r>
              <w:rPr>
                <w:rFonts w:hint="eastAsia" w:ascii="宋体" w:hAnsi="宋体" w:eastAsia="宋体" w:cs="宋体"/>
                <w:color w:val="000000"/>
                <w:sz w:val="18"/>
                <w:szCs w:val="18"/>
              </w:rPr>
              <w:t>品</w:t>
            </w:r>
            <w:r>
              <w:rPr>
                <w:rFonts w:hint="eastAsia" w:ascii="宋体" w:hAnsi="宋体" w:cs="宋体"/>
                <w:color w:val="000000"/>
                <w:sz w:val="18"/>
                <w:szCs w:val="18"/>
                <w:lang w:eastAsia="zh-CN"/>
              </w:rPr>
              <w:t>补</w:t>
            </w:r>
            <w:r>
              <w:rPr>
                <w:rFonts w:hint="eastAsia" w:ascii="宋体" w:hAnsi="宋体" w:eastAsia="宋体" w:cs="宋体"/>
                <w:color w:val="000000"/>
                <w:sz w:val="18"/>
                <w:szCs w:val="18"/>
              </w:rPr>
              <w:t>价</w:t>
            </w:r>
            <w:r>
              <w:rPr>
                <w:rFonts w:hint="eastAsia" w:ascii="宋体" w:hAnsi="宋体" w:cs="宋体"/>
                <w:color w:val="000000"/>
                <w:sz w:val="18"/>
                <w:szCs w:val="18"/>
                <w:lang w:eastAsia="zh-CN"/>
              </w:rPr>
              <w:t>差</w:t>
            </w:r>
            <w:r>
              <w:rPr>
                <w:rFonts w:hint="eastAsia" w:ascii="宋体" w:hAnsi="宋体" w:eastAsia="宋体" w:cs="宋体"/>
                <w:color w:val="000000"/>
                <w:sz w:val="18"/>
                <w:szCs w:val="18"/>
              </w:rPr>
              <w:t>收入</w:t>
            </w:r>
          </w:p>
        </w:tc>
        <w:tc>
          <w:tcPr>
            <w:tcW w:w="213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default" w:ascii="Times New Roman" w:hAnsi="Times New Roman" w:cs="Times New Roman"/>
                <w:color w:val="000000"/>
                <w:sz w:val="18"/>
                <w:szCs w:val="18"/>
              </w:rPr>
              <w:t>10,717,168.08</w:t>
            </w:r>
          </w:p>
        </w:tc>
        <w:tc>
          <w:tcPr>
            <w:tcW w:w="27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eastAsia" w:ascii="宋体" w:hAnsi="宋体" w:eastAsia="宋体" w:cs="宋体"/>
                <w:color w:val="000000"/>
                <w:sz w:val="18"/>
                <w:szCs w:val="18"/>
              </w:rPr>
              <w:t>非经常性</w:t>
            </w:r>
          </w:p>
        </w:tc>
      </w:tr>
      <w:bookmarkEnd w:id="437"/>
    </w:tbl>
    <w:p>
      <w:pPr>
        <w:spacing w:before="100" w:after="100" w:line="0" w:lineRule="exact"/>
        <w:jc w:val="left"/>
      </w:pPr>
    </w:p>
    <w:sectPr>
      <w:pgSz w:w="11905" w:h="16840"/>
      <w:pgMar w:top="1440" w:right="1134" w:bottom="1440" w:left="1134" w:header="850"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 w:name="TimesNewRomanPSMT">
    <w:altName w:val="Times New Roman"/>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rPr>
        <w:rFonts w:ascii="宋体" w:eastAsia="宋体"/>
        <w:sz w:val="18"/>
        <w:szCs w:val="18"/>
      </w:rPr>
      <w:fldChar w:fldCharType="begin"/>
    </w:r>
    <w:r>
      <w:rPr>
        <w:rFonts w:ascii="宋体" w:eastAsia="宋体"/>
        <w:sz w:val="18"/>
        <w:szCs w:val="18"/>
      </w:rPr>
      <w:instrText xml:space="preserve">PAGE   \* MERGEFORMAT</w:instrText>
    </w:r>
    <w:r>
      <w:rPr>
        <w:rFonts w:ascii="宋体" w:eastAsia="宋体"/>
        <w:sz w:val="18"/>
        <w:szCs w:val="18"/>
      </w:rPr>
      <w:fldChar w:fldCharType="separate"/>
    </w:r>
    <w:r>
      <w:rPr>
        <w:rFonts w:ascii="宋体" w:eastAsia="宋体"/>
        <w:sz w:val="18"/>
        <w:szCs w:val="18"/>
      </w:rPr>
      <w:t>1</w:t>
    </w:r>
    <w:r>
      <w:rPr>
        <w:rFonts w:ascii="宋体" w:eastAsia="宋体"/>
        <w:sz w:val="18"/>
        <w:szCs w:val="1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jc w:val="right"/>
    </w:pPr>
    <w:bookmarkStart w:id="439" w:name="OLE_LINK14"/>
    <w:r>
      <w:rPr>
        <w:rFonts w:ascii="宋体" w:eastAsia="宋体"/>
        <w:sz w:val="18"/>
        <w:szCs w:val="18"/>
      </w:rPr>
      <w:t>湖南博云新材料股份有限公司2024年年度报告全文</w:t>
    </w:r>
    <w:bookmarkEnd w:id="439"/>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C159B4"/>
    <w:multiLevelType w:val="singleLevel"/>
    <w:tmpl w:val="34C159B4"/>
    <w:lvl w:ilvl="0" w:tentative="0">
      <w:start w:val="3"/>
      <w:numFmt w:val="decimal"/>
      <w:lvlText w:val="%1."/>
      <w:lvlJc w:val="left"/>
      <w:pPr>
        <w:tabs>
          <w:tab w:val="left" w:pos="312"/>
        </w:tabs>
      </w:pPr>
    </w:lvl>
  </w:abstractNum>
  <w:abstractNum w:abstractNumId="1">
    <w:nsid w:val="4116767A"/>
    <w:multiLevelType w:val="singleLevel"/>
    <w:tmpl w:val="4116767A"/>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ompat>
    <w:doNotExpandShiftReturn/>
    <w:useFELayout/>
    <w:compatSetting w:name="compatibilityMode" w:uri="http://schemas.microsoft.com/office/word" w:val="14"/>
  </w:compat>
  <w:docVars>
    <w:docVar w:name="commondata" w:val="eyJoZGlkIjoiYzlhZDM3OWM2NmRhMzBiMDYxYjgzYzJiMWE5MTRlNzAifQ=="/>
    <w:docVar w:name="KSO_WPS_MARK_KEY" w:val="004733e0-7da1-4b06-9b11-bd9a3ed8e1ee"/>
  </w:docVars>
  <w:rsids>
    <w:rsidRoot w:val="00000000"/>
    <w:rsid w:val="002410F1"/>
    <w:rsid w:val="00661709"/>
    <w:rsid w:val="007756C4"/>
    <w:rsid w:val="00FC5DD2"/>
    <w:rsid w:val="00FE5DE6"/>
    <w:rsid w:val="01D46133"/>
    <w:rsid w:val="026A0C1B"/>
    <w:rsid w:val="02C72207"/>
    <w:rsid w:val="036A20D5"/>
    <w:rsid w:val="0455262A"/>
    <w:rsid w:val="05534ACE"/>
    <w:rsid w:val="06B00DED"/>
    <w:rsid w:val="06BA27AF"/>
    <w:rsid w:val="070C28DE"/>
    <w:rsid w:val="088D1173"/>
    <w:rsid w:val="09D749CF"/>
    <w:rsid w:val="0A2A7C4B"/>
    <w:rsid w:val="0BDA11FD"/>
    <w:rsid w:val="0C8C24F7"/>
    <w:rsid w:val="0D662D48"/>
    <w:rsid w:val="0E043F62"/>
    <w:rsid w:val="0E364E11"/>
    <w:rsid w:val="0F0230C5"/>
    <w:rsid w:val="0F29227F"/>
    <w:rsid w:val="0F5117D6"/>
    <w:rsid w:val="10D235AA"/>
    <w:rsid w:val="1117515A"/>
    <w:rsid w:val="113B5798"/>
    <w:rsid w:val="115517BE"/>
    <w:rsid w:val="11CE5360"/>
    <w:rsid w:val="11EC514B"/>
    <w:rsid w:val="1255782F"/>
    <w:rsid w:val="126857B5"/>
    <w:rsid w:val="129B7938"/>
    <w:rsid w:val="12BB55BA"/>
    <w:rsid w:val="137956DF"/>
    <w:rsid w:val="142612D6"/>
    <w:rsid w:val="14A55D96"/>
    <w:rsid w:val="14E135FC"/>
    <w:rsid w:val="14F06FC3"/>
    <w:rsid w:val="1522269D"/>
    <w:rsid w:val="15C114FF"/>
    <w:rsid w:val="160C6659"/>
    <w:rsid w:val="162E6D25"/>
    <w:rsid w:val="167B2861"/>
    <w:rsid w:val="16946B78"/>
    <w:rsid w:val="16E64EFA"/>
    <w:rsid w:val="17B22575"/>
    <w:rsid w:val="18512847"/>
    <w:rsid w:val="18DF01AC"/>
    <w:rsid w:val="18E65685"/>
    <w:rsid w:val="19AF1F1B"/>
    <w:rsid w:val="19FF59D0"/>
    <w:rsid w:val="1A895970"/>
    <w:rsid w:val="1B6875F7"/>
    <w:rsid w:val="1BD143CB"/>
    <w:rsid w:val="1C6A2129"/>
    <w:rsid w:val="1CAC0F7F"/>
    <w:rsid w:val="1CD76DC4"/>
    <w:rsid w:val="1CFD4D4B"/>
    <w:rsid w:val="1D8316F5"/>
    <w:rsid w:val="1E832A83"/>
    <w:rsid w:val="1E890F8D"/>
    <w:rsid w:val="203D202F"/>
    <w:rsid w:val="207D242B"/>
    <w:rsid w:val="20B70C5B"/>
    <w:rsid w:val="20F34BD2"/>
    <w:rsid w:val="20F86D8D"/>
    <w:rsid w:val="213C22E6"/>
    <w:rsid w:val="21807129"/>
    <w:rsid w:val="219B25D5"/>
    <w:rsid w:val="227C6AFC"/>
    <w:rsid w:val="24BE3012"/>
    <w:rsid w:val="25205A7B"/>
    <w:rsid w:val="25290DD3"/>
    <w:rsid w:val="26155BA9"/>
    <w:rsid w:val="27DD7C53"/>
    <w:rsid w:val="28235FAE"/>
    <w:rsid w:val="28A70FCA"/>
    <w:rsid w:val="28B5472C"/>
    <w:rsid w:val="28B766F6"/>
    <w:rsid w:val="2927387C"/>
    <w:rsid w:val="2980775C"/>
    <w:rsid w:val="29FD282F"/>
    <w:rsid w:val="2A1D4C7F"/>
    <w:rsid w:val="2A936DFF"/>
    <w:rsid w:val="2AFA72B8"/>
    <w:rsid w:val="2C1C52A4"/>
    <w:rsid w:val="2D0004A4"/>
    <w:rsid w:val="2D480265"/>
    <w:rsid w:val="2D745869"/>
    <w:rsid w:val="2D816536"/>
    <w:rsid w:val="2E807AA7"/>
    <w:rsid w:val="2F8A06C1"/>
    <w:rsid w:val="300941A4"/>
    <w:rsid w:val="30136908"/>
    <w:rsid w:val="301A685A"/>
    <w:rsid w:val="307B75C9"/>
    <w:rsid w:val="31277A6D"/>
    <w:rsid w:val="31342FDA"/>
    <w:rsid w:val="315C42DF"/>
    <w:rsid w:val="325356E2"/>
    <w:rsid w:val="325B5ABC"/>
    <w:rsid w:val="326A2A2B"/>
    <w:rsid w:val="34164C19"/>
    <w:rsid w:val="344D51E1"/>
    <w:rsid w:val="34784F8C"/>
    <w:rsid w:val="348E3C29"/>
    <w:rsid w:val="351C625F"/>
    <w:rsid w:val="35242876"/>
    <w:rsid w:val="359027A9"/>
    <w:rsid w:val="35E23668"/>
    <w:rsid w:val="35F51171"/>
    <w:rsid w:val="36914A2B"/>
    <w:rsid w:val="369C6C33"/>
    <w:rsid w:val="36A078FD"/>
    <w:rsid w:val="36BB5604"/>
    <w:rsid w:val="3727776A"/>
    <w:rsid w:val="37A662B4"/>
    <w:rsid w:val="37EE5D3C"/>
    <w:rsid w:val="38C84008"/>
    <w:rsid w:val="3A267238"/>
    <w:rsid w:val="3B4B2220"/>
    <w:rsid w:val="3BB90DDF"/>
    <w:rsid w:val="3C0356A1"/>
    <w:rsid w:val="3C1F2BD6"/>
    <w:rsid w:val="3C2B6D87"/>
    <w:rsid w:val="3C301FE7"/>
    <w:rsid w:val="3CF041DB"/>
    <w:rsid w:val="3D4E0F7F"/>
    <w:rsid w:val="3D9A44A2"/>
    <w:rsid w:val="3DB35286"/>
    <w:rsid w:val="3DE26A23"/>
    <w:rsid w:val="3F5B5BD6"/>
    <w:rsid w:val="3F892743"/>
    <w:rsid w:val="3FDC381F"/>
    <w:rsid w:val="402D7572"/>
    <w:rsid w:val="403F2E01"/>
    <w:rsid w:val="40771A0C"/>
    <w:rsid w:val="424B1F31"/>
    <w:rsid w:val="42C27D1A"/>
    <w:rsid w:val="433707B4"/>
    <w:rsid w:val="43635BCB"/>
    <w:rsid w:val="436E0CB2"/>
    <w:rsid w:val="43853221"/>
    <w:rsid w:val="446E2158"/>
    <w:rsid w:val="44935E12"/>
    <w:rsid w:val="44AB6A12"/>
    <w:rsid w:val="44D6677C"/>
    <w:rsid w:val="451E392D"/>
    <w:rsid w:val="453D4083"/>
    <w:rsid w:val="45A831F7"/>
    <w:rsid w:val="477E0BCB"/>
    <w:rsid w:val="47A345BE"/>
    <w:rsid w:val="47A3636C"/>
    <w:rsid w:val="48191895"/>
    <w:rsid w:val="49004645"/>
    <w:rsid w:val="493279A7"/>
    <w:rsid w:val="49333F38"/>
    <w:rsid w:val="49FA5FEB"/>
    <w:rsid w:val="4A5E2A1E"/>
    <w:rsid w:val="4A722025"/>
    <w:rsid w:val="4A7D2EA4"/>
    <w:rsid w:val="4C217C9A"/>
    <w:rsid w:val="4D2D77B9"/>
    <w:rsid w:val="4D302450"/>
    <w:rsid w:val="4DF355E7"/>
    <w:rsid w:val="4E4D2A0C"/>
    <w:rsid w:val="4EFB083B"/>
    <w:rsid w:val="4F92254E"/>
    <w:rsid w:val="50827466"/>
    <w:rsid w:val="508C2093"/>
    <w:rsid w:val="50F25AA9"/>
    <w:rsid w:val="520E3785"/>
    <w:rsid w:val="52D62C91"/>
    <w:rsid w:val="53281E1B"/>
    <w:rsid w:val="536041AF"/>
    <w:rsid w:val="53927806"/>
    <w:rsid w:val="540C7047"/>
    <w:rsid w:val="54452047"/>
    <w:rsid w:val="54515D42"/>
    <w:rsid w:val="56050DCE"/>
    <w:rsid w:val="566D6AEE"/>
    <w:rsid w:val="570504C5"/>
    <w:rsid w:val="571C57F3"/>
    <w:rsid w:val="57781DF4"/>
    <w:rsid w:val="57887929"/>
    <w:rsid w:val="57AD1E38"/>
    <w:rsid w:val="57BD0D84"/>
    <w:rsid w:val="588751FD"/>
    <w:rsid w:val="58EF7663"/>
    <w:rsid w:val="59411F8B"/>
    <w:rsid w:val="5946289B"/>
    <w:rsid w:val="595B4CF8"/>
    <w:rsid w:val="59A71CEC"/>
    <w:rsid w:val="59C7413C"/>
    <w:rsid w:val="5A2A46CB"/>
    <w:rsid w:val="5B7D391F"/>
    <w:rsid w:val="5BCF3E52"/>
    <w:rsid w:val="5C661F28"/>
    <w:rsid w:val="5CBB1D29"/>
    <w:rsid w:val="5CD67F23"/>
    <w:rsid w:val="5E3F687B"/>
    <w:rsid w:val="5F217E4A"/>
    <w:rsid w:val="5F5374A8"/>
    <w:rsid w:val="5FB00820"/>
    <w:rsid w:val="5FDA1282"/>
    <w:rsid w:val="5FFF5CB2"/>
    <w:rsid w:val="60533DCB"/>
    <w:rsid w:val="606B3AEB"/>
    <w:rsid w:val="61905EB4"/>
    <w:rsid w:val="619A3EE4"/>
    <w:rsid w:val="61F62B25"/>
    <w:rsid w:val="628B3945"/>
    <w:rsid w:val="62B64D4D"/>
    <w:rsid w:val="630F7A6E"/>
    <w:rsid w:val="63D86F45"/>
    <w:rsid w:val="64C77C67"/>
    <w:rsid w:val="66415276"/>
    <w:rsid w:val="67512F25"/>
    <w:rsid w:val="67C47F0C"/>
    <w:rsid w:val="68292342"/>
    <w:rsid w:val="689F5992"/>
    <w:rsid w:val="69DB153D"/>
    <w:rsid w:val="6A294057"/>
    <w:rsid w:val="6A9E67F3"/>
    <w:rsid w:val="6B4D78E6"/>
    <w:rsid w:val="6BCA1046"/>
    <w:rsid w:val="6BCF3EFC"/>
    <w:rsid w:val="6C855F98"/>
    <w:rsid w:val="6D5F56DF"/>
    <w:rsid w:val="6E5A7566"/>
    <w:rsid w:val="6E751F61"/>
    <w:rsid w:val="6F045092"/>
    <w:rsid w:val="6F3E041D"/>
    <w:rsid w:val="6F837DBC"/>
    <w:rsid w:val="70AC2FC8"/>
    <w:rsid w:val="711772FF"/>
    <w:rsid w:val="712B3410"/>
    <w:rsid w:val="71CC633B"/>
    <w:rsid w:val="71EB7C1C"/>
    <w:rsid w:val="727B3D97"/>
    <w:rsid w:val="72F13408"/>
    <w:rsid w:val="73223D39"/>
    <w:rsid w:val="741B41F2"/>
    <w:rsid w:val="74A17519"/>
    <w:rsid w:val="75C01B3F"/>
    <w:rsid w:val="760F008B"/>
    <w:rsid w:val="770657E6"/>
    <w:rsid w:val="775B73CD"/>
    <w:rsid w:val="77EA053D"/>
    <w:rsid w:val="7A1331F3"/>
    <w:rsid w:val="7A545120"/>
    <w:rsid w:val="7A733D16"/>
    <w:rsid w:val="7A822C99"/>
    <w:rsid w:val="7B056E6E"/>
    <w:rsid w:val="7B362890"/>
    <w:rsid w:val="7C3A0345"/>
    <w:rsid w:val="7CA6043D"/>
    <w:rsid w:val="7CA81753"/>
    <w:rsid w:val="7CAA1726"/>
    <w:rsid w:val="7CB41EA6"/>
    <w:rsid w:val="7CF229CE"/>
    <w:rsid w:val="7D052701"/>
    <w:rsid w:val="7D183C66"/>
    <w:rsid w:val="7ED34721"/>
    <w:rsid w:val="7FD744B2"/>
    <w:rsid w:val="7FDB599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szCs w:val="2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1"/>
    <w:pPr>
      <w:spacing w:line="560" w:lineRule="exact"/>
    </w:pPr>
    <w:rPr>
      <w:rFonts w:ascii="仿宋_GB2312" w:eastAsia="仿宋_GB2312"/>
      <w:sz w:val="32"/>
    </w:rPr>
  </w:style>
  <w:style w:type="paragraph" w:customStyle="1" w:styleId="3">
    <w:name w:val="Body Text 21"/>
    <w:basedOn w:val="1"/>
    <w:qFormat/>
    <w:uiPriority w:val="0"/>
    <w:pPr>
      <w:spacing w:line="480" w:lineRule="auto"/>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table" w:customStyle="1" w:styleId="8">
    <w:name w:val="立信年报表格 [2级]"/>
    <w:basedOn w:val="5"/>
    <w:qFormat/>
    <w:uiPriority w:val="0"/>
    <w:pPr>
      <w:jc w:val="both"/>
    </w:pPr>
    <w:rPr>
      <w:rFonts w:ascii="Times New Roman" w:hAnsi="Times New Roman" w:eastAsia="宋体" w:cs="Times New Roman"/>
      <w:color w:val="000000"/>
      <w:sz w:val="18"/>
    </w:rPr>
    <w:tblPr>
      <w:tblBorders>
        <w:top w:val="single" w:color="auto" w:sz="12" w:space="0"/>
        <w:bottom w:val="single" w:color="auto" w:sz="12" w:space="0"/>
        <w:insideH w:val="dotted" w:color="auto" w:sz="4" w:space="0"/>
        <w:insideV w:val="dotted" w:color="auto" w:sz="4" w:space="0"/>
      </w:tblBorders>
    </w:tblPr>
    <w:tcPr>
      <w:shd w:val="clear" w:color="auto" w:fill="auto"/>
    </w:tcPr>
  </w:style>
  <w:style w:type="paragraph" w:customStyle="1" w:styleId="9">
    <w:name w:val="立信附注正文 [3级]"/>
    <w:qFormat/>
    <w:uiPriority w:val="0"/>
    <w:pPr>
      <w:widowControl w:val="0"/>
      <w:tabs>
        <w:tab w:val="left" w:pos="0"/>
      </w:tabs>
      <w:adjustRightInd w:val="0"/>
      <w:snapToGrid w:val="0"/>
      <w:spacing w:line="400" w:lineRule="atLeast"/>
      <w:ind w:left="1276"/>
      <w:jc w:val="both"/>
    </w:pPr>
    <w:rPr>
      <w:rFonts w:ascii="Times New Roman" w:hAnsi="Times New Roman" w:eastAsia="宋体" w:cs="Times New Roman"/>
      <w:color w:val="000000"/>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163</Pages>
  <Words>99019</Words>
  <Characters>134408</Characters>
  <TotalTime>110</TotalTime>
  <ScaleCrop>false</ScaleCrop>
  <LinksUpToDate>false</LinksUpToDate>
  <CharactersWithSpaces>137036</CharactersWithSpaces>
  <Application>WPS Office_11.1.0.13703_F1E327BC-269C-435d-A152-05C5408002CA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2025-04-01T12:47:00Z</dcterms:created>
  <dc:creator>zhang</dc:creator>
  <cp:lastModifiedBy>张爱丽</cp:lastModifiedBy>
  <dcterms:modified xsi:type="dcterms:W3CDTF">2025-07-24T01:06:39Z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680C64D6E24A4ADE97D995BCEA09D158_12</vt:lpwstr>
  </property>
</Properties>
</file>