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after="0" w:line="773" w:lineRule="exact"/>
        <w:jc w:val="center"/>
        <w:rPr>
          <w:rFonts w:ascii="宋体" w:hAnsi="宋体" w:eastAsia="宋体" w:cs="宋体"/>
          <w:b/>
          <w:bCs/>
          <w:sz w:val="36"/>
          <w:szCs w:val="36"/>
        </w:rPr>
      </w:pPr>
      <w:r>
        <w:rPr>
          <w:rFonts w:ascii="宋体" w:hAnsi="宋体" w:eastAsia="宋体" w:cs="宋体"/>
          <w:b/>
          <w:bCs/>
          <w:sz w:val="36"/>
          <w:szCs w:val="36"/>
        </w:rPr>
        <w:t>湖南博云新材料股份有限公司</w:t>
      </w:r>
    </w:p>
    <w:p>
      <w:pPr>
        <w:spacing w:before="1000" w:after="0" w:line="320" w:lineRule="exact"/>
        <w:jc w:val="center"/>
        <w:rPr>
          <w:rFonts w:ascii="宋体" w:hAnsi="宋体" w:eastAsia="宋体" w:cs="宋体"/>
          <w:b/>
          <w:bCs/>
          <w:sz w:val="32"/>
          <w:szCs w:val="32"/>
        </w:rPr>
      </w:pPr>
      <w:r>
        <w:rPr>
          <w:rFonts w:ascii="宋体" w:hAnsi="宋体" w:eastAsia="宋体" w:cs="宋体"/>
          <w:b/>
          <w:bCs/>
          <w:sz w:val="32"/>
          <w:szCs w:val="32"/>
        </w:rPr>
        <w:t>2024年半年度报告</w:t>
      </w:r>
    </w:p>
    <w:p>
      <w:pPr>
        <w:spacing w:before="1000" w:after="0" w:line="240" w:lineRule="exact"/>
        <w:jc w:val="center"/>
        <w:rPr>
          <w:rFonts w:ascii="宋体" w:hAnsi="宋体" w:eastAsia="宋体" w:cs="宋体"/>
          <w:b/>
          <w:bCs/>
          <w:sz w:val="21"/>
          <w:szCs w:val="21"/>
        </w:rPr>
      </w:pPr>
    </w:p>
    <w:p>
      <w:pPr>
        <w:spacing w:before="1000" w:after="0" w:line="240" w:lineRule="exact"/>
        <w:jc w:val="center"/>
        <w:rPr>
          <w:rFonts w:ascii="宋体" w:hAnsi="宋体" w:eastAsia="宋体" w:cs="宋体"/>
          <w:b/>
          <w:bCs/>
          <w:sz w:val="21"/>
          <w:szCs w:val="21"/>
        </w:rPr>
      </w:pPr>
      <w:r>
        <w:drawing>
          <wp:anchor distT="0" distB="0" distL="114300" distR="114300" simplePos="0" relativeHeight="251659264" behindDoc="0" locked="0" layoutInCell="1" allowOverlap="1">
            <wp:simplePos x="0" y="0"/>
            <wp:positionH relativeFrom="column">
              <wp:posOffset>1800225</wp:posOffset>
            </wp:positionH>
            <wp:positionV relativeFrom="paragraph">
              <wp:posOffset>388620</wp:posOffset>
            </wp:positionV>
            <wp:extent cx="2400300" cy="19335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400300" cy="1933575"/>
                    </a:xfrm>
                    <a:prstGeom prst="rect">
                      <a:avLst/>
                    </a:prstGeom>
                    <a:noFill/>
                    <a:ln>
                      <a:noFill/>
                    </a:ln>
                  </pic:spPr>
                </pic:pic>
              </a:graphicData>
            </a:graphic>
          </wp:anchor>
        </w:drawing>
      </w:r>
    </w:p>
    <w:p>
      <w:pPr>
        <w:spacing w:before="1000" w:after="0" w:line="240" w:lineRule="exact"/>
        <w:jc w:val="center"/>
        <w:rPr>
          <w:rFonts w:ascii="宋体" w:hAnsi="宋体" w:eastAsia="宋体" w:cs="宋体"/>
          <w:b/>
          <w:bCs/>
          <w:sz w:val="21"/>
          <w:szCs w:val="21"/>
        </w:rPr>
      </w:pPr>
    </w:p>
    <w:p>
      <w:pPr>
        <w:spacing w:before="1000" w:after="0" w:line="240" w:lineRule="exact"/>
        <w:jc w:val="both"/>
        <w:rPr>
          <w:rFonts w:ascii="宋体" w:hAnsi="宋体" w:eastAsia="宋体" w:cs="宋体"/>
          <w:b/>
          <w:bCs/>
          <w:sz w:val="21"/>
          <w:szCs w:val="21"/>
        </w:rPr>
      </w:pPr>
    </w:p>
    <w:p>
      <w:pPr>
        <w:spacing w:before="1000" w:after="1000" w:line="0" w:lineRule="exact"/>
        <w:jc w:val="center"/>
        <w:rPr>
          <w:rFonts w:ascii="Times New Roman" w:hAnsi="Times New Roman" w:eastAsia="宋体" w:cs="Times New Roman"/>
        </w:rPr>
      </w:pPr>
    </w:p>
    <w:p>
      <w:pPr>
        <w:spacing w:before="400" w:after="0" w:line="320" w:lineRule="exact"/>
        <w:jc w:val="center"/>
        <w:rPr>
          <w:rFonts w:ascii="宋体" w:hAnsi="宋体" w:eastAsia="宋体" w:cs="宋体"/>
          <w:b/>
          <w:bCs/>
          <w:sz w:val="32"/>
          <w:szCs w:val="32"/>
        </w:rPr>
      </w:pPr>
      <w:r>
        <w:rPr>
          <w:rFonts w:ascii="宋体" w:hAnsi="宋体" w:eastAsia="宋体" w:cs="宋体"/>
          <w:b/>
          <w:bCs/>
          <w:sz w:val="32"/>
          <w:szCs w:val="32"/>
        </w:rPr>
        <w:t>【</w:t>
      </w:r>
      <w:r>
        <w:rPr>
          <w:rFonts w:hint="eastAsia" w:ascii="宋体" w:hAnsi="宋体" w:eastAsia="宋体" w:cs="宋体"/>
          <w:b/>
          <w:bCs/>
          <w:sz w:val="32"/>
          <w:szCs w:val="32"/>
          <w:lang w:val="en-US" w:eastAsia="zh-CN"/>
        </w:rPr>
        <w:t>2024年8月</w:t>
      </w:r>
      <w:r>
        <w:rPr>
          <w:rFonts w:ascii="宋体" w:hAnsi="宋体" w:eastAsia="宋体" w:cs="宋体"/>
          <w:b/>
          <w:bCs/>
          <w:sz w:val="32"/>
          <w:szCs w:val="32"/>
        </w:rPr>
        <w:t>】</w:t>
      </w:r>
    </w:p>
    <w:p>
      <w:r>
        <w:br w:type="page"/>
      </w:r>
    </w:p>
    <w:p>
      <w:pPr>
        <w:keepNext/>
        <w:keepLines/>
        <w:spacing w:before="340" w:after="330" w:line="773" w:lineRule="exact"/>
        <w:jc w:val="center"/>
        <w:outlineLvl w:val="0"/>
        <w:rPr>
          <w:rFonts w:ascii="宋体" w:hAnsi="宋体" w:eastAsia="宋体" w:cs="宋体"/>
          <w:b/>
          <w:bCs/>
          <w:sz w:val="32"/>
          <w:szCs w:val="32"/>
        </w:rPr>
      </w:pPr>
      <w:bookmarkStart w:id="0" w:name="_Toc988889"/>
      <w:r>
        <w:rPr>
          <w:rFonts w:ascii="宋体" w:hAnsi="宋体" w:eastAsia="宋体" w:cs="宋体"/>
          <w:b/>
          <w:bCs/>
          <w:sz w:val="32"/>
          <w:szCs w:val="32"/>
        </w:rPr>
        <w:t>第一节 重要提示、目录和释义</w:t>
      </w:r>
      <w:bookmarkEnd w:id="0"/>
    </w:p>
    <w:p>
      <w:pPr>
        <w:spacing w:before="40" w:after="4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公司董事会、监事会及董事、监事、高级管理人员保证半年度报告内容的真实、准确、完整，不存在虚假记载、误导性陈述或者重大遗漏，并承担个别和连带的法律责任。</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公司负责人贺柳、主管会计工作负责人严琦及会计机构负责人(会计主管人员)黄筱明声明：保证本半年度报告中财务报告的真实、准确、完整。</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所有董事均已出席了审议本次半年报的董事会会议。</w:t>
      </w:r>
    </w:p>
    <w:p>
      <w:pPr>
        <w:pStyle w:val="2"/>
        <w:keepNext w:val="0"/>
        <w:keepLines w:val="0"/>
        <w:widowControl/>
        <w:suppressLineNumbers w:val="0"/>
        <w:spacing w:line="560" w:lineRule="atLeast"/>
        <w:ind w:left="0" w:firstLine="420"/>
        <w:rPr>
          <w:rFonts w:hint="eastAsia" w:ascii="宋体" w:hAnsi="宋体" w:eastAsia="宋体" w:cs="宋体"/>
          <w:b/>
          <w:bCs/>
          <w:sz w:val="28"/>
          <w:szCs w:val="28"/>
        </w:rPr>
      </w:pPr>
      <w:r>
        <w:rPr>
          <w:rFonts w:hint="eastAsia" w:ascii="宋体" w:hAnsi="宋体" w:eastAsia="宋体" w:cs="宋体"/>
          <w:b/>
          <w:bCs/>
          <w:sz w:val="28"/>
          <w:szCs w:val="28"/>
        </w:rPr>
        <w:t>公司在本报告第三节“管理层讨论与分析”之“十、公司面临的风险和应对措施”部分描述了公司未来经营中可能面临的风险，敬请广大投资者注意查阅。</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公司计划不派发现金红利，不送红股，不以公积金转增股本。</w:t>
      </w:r>
    </w:p>
    <w:p>
      <w:r>
        <w:br w:type="page"/>
      </w:r>
    </w:p>
    <w:p>
      <w:pPr>
        <w:spacing w:before="0" w:after="0" w:line="720" w:lineRule="exact"/>
        <w:jc w:val="center"/>
        <w:rPr>
          <w:rFonts w:ascii="宋体" w:hAnsi="宋体" w:eastAsia="宋体" w:cs="宋体"/>
          <w:b/>
          <w:bCs/>
          <w:sz w:val="36"/>
          <w:szCs w:val="36"/>
        </w:rPr>
      </w:pPr>
      <w:r>
        <w:rPr>
          <w:rFonts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ascii="宋体" w:hAnsi="宋体" w:eastAsia="宋体" w:cs="宋体"/>
          <w:b/>
          <w:bCs/>
          <w:sz w:val="36"/>
          <w:szCs w:val="36"/>
        </w:rPr>
        <w:t>录</w:t>
      </w:r>
    </w:p>
    <w:p>
      <w:pPr>
        <w:spacing w:before="0" w:after="0" w:line="720" w:lineRule="exact"/>
        <w:jc w:val="center"/>
        <w:rPr>
          <w:rFonts w:ascii="宋体" w:hAnsi="宋体" w:eastAsia="宋体" w:cs="宋体"/>
          <w:b/>
          <w:bCs/>
          <w:sz w:val="36"/>
          <w:szCs w:val="36"/>
        </w:rPr>
      </w:pP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w:instrText>
      </w:r>
      <w:r>
        <w:rPr>
          <w:rFonts w:hint="eastAsia" w:ascii="Times New Roman" w:hAnsi="Times New Roman" w:eastAsia="宋体" w:cs="Times New Roman"/>
          <w:b w:val="0"/>
          <w:bCs w:val="0"/>
          <w:sz w:val="24"/>
          <w:szCs w:val="24"/>
        </w:rPr>
        <w:instrText xml:space="preserve">TOC \o "1-2" \h \z \u</w:instrText>
      </w:r>
      <w:r>
        <w:rPr>
          <w:rFonts w:ascii="Times New Roman" w:hAnsi="Times New Roman" w:eastAsia="宋体" w:cs="Times New Roman"/>
          <w:b w:val="0"/>
          <w:bCs w:val="0"/>
          <w:sz w:val="24"/>
          <w:szCs w:val="24"/>
        </w:rPr>
        <w:instrText xml:space="preserve"> </w:instrText>
      </w:r>
      <w:r>
        <w:rPr>
          <w:rFonts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"_Toc988889"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第一节 重要提示、目录和释义</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_Toc988889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2</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"_Toc988890"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第二节 公司简介和主要财务指标</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_Toc988890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6</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"_Toc988902"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第三节 管理层讨论与分析</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_Toc988902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9</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"_Toc988930"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第四节 公司治理</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_Toc988930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20</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"_Toc988937"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第五节 环境和社会责任</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_Toc988937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21</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"_Toc988940"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第六节 重要事项</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_Toc988940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22</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"_Toc988969"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第七节 股份变动及股东情况</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_Toc988969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27</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"_Toc988977"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第八节 优先股相关情况</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_Toc988977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30</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"_Toc988978"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第九节 债券相关情况</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_Toc988978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31</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"_Toc988979"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第十节 财务报告</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_Toc988979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32</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br w:type="page"/>
      </w:r>
    </w:p>
    <w:p>
      <w:pPr>
        <w:spacing w:before="0" w:after="0" w:line="640" w:lineRule="exact"/>
        <w:jc w:val="center"/>
        <w:rPr>
          <w:rFonts w:ascii="宋体" w:hAnsi="宋体" w:eastAsia="宋体" w:cs="宋体"/>
          <w:b/>
          <w:bCs/>
          <w:sz w:val="32"/>
          <w:szCs w:val="32"/>
        </w:rPr>
      </w:pPr>
      <w:r>
        <w:rPr>
          <w:rFonts w:ascii="宋体" w:hAnsi="宋体" w:eastAsia="宋体" w:cs="宋体"/>
          <w:b/>
          <w:bCs/>
          <w:sz w:val="32"/>
          <w:szCs w:val="32"/>
        </w:rPr>
        <w:t>备查文件目录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1"/>
          <w:szCs w:val="2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一、载有董事长签名的2024年半年度报告原件；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二、载有法定代表人、主管会计工作负责人、会计机构负责人签名并盖章的财务报表；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三、报告期内在中国证监会指定报纸上公开披露过的所有公司文件的正本及公告的原稿；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四、其他有关资料。</w:t>
      </w:r>
    </w:p>
    <w:p>
      <w:r>
        <w:br w:type="page"/>
      </w:r>
    </w:p>
    <w:p>
      <w:pPr>
        <w:spacing w:before="40" w:after="40" w:line="640" w:lineRule="exact"/>
        <w:jc w:val="center"/>
        <w:rPr>
          <w:rFonts w:ascii="宋体" w:hAnsi="宋体" w:eastAsia="宋体" w:cs="宋体"/>
          <w:b/>
          <w:bCs/>
          <w:sz w:val="32"/>
          <w:szCs w:val="32"/>
        </w:rPr>
      </w:pPr>
      <w:r>
        <w:rPr>
          <w:rFonts w:ascii="宋体" w:hAnsi="宋体" w:eastAsia="宋体" w:cs="宋体"/>
          <w:b/>
          <w:bCs/>
          <w:sz w:val="32"/>
          <w:szCs w:val="32"/>
        </w:rPr>
        <w:t>释</w:t>
      </w:r>
      <w:r>
        <w:rPr>
          <w:rFonts w:hint="eastAsia" w:ascii="宋体" w:hAnsi="宋体" w:eastAsia="宋体" w:cs="宋体"/>
          <w:b/>
          <w:bCs/>
          <w:sz w:val="32"/>
          <w:szCs w:val="32"/>
          <w:lang w:val="en-US" w:eastAsia="zh-CN"/>
        </w:rPr>
        <w:t xml:space="preserve">   </w:t>
      </w:r>
      <w:r>
        <w:rPr>
          <w:rFonts w:ascii="宋体" w:hAnsi="宋体" w:eastAsia="宋体" w:cs="宋体"/>
          <w:b/>
          <w:bCs/>
          <w:sz w:val="32"/>
          <w:szCs w:val="32"/>
        </w:rPr>
        <w:t>义</w:t>
      </w:r>
    </w:p>
    <w:p>
      <w:pPr>
        <w:spacing w:before="40" w:after="40" w:line="640" w:lineRule="exact"/>
        <w:jc w:val="center"/>
        <w:rPr>
          <w:rFonts w:ascii="宋体" w:hAnsi="宋体" w:eastAsia="宋体" w:cs="宋体"/>
          <w:b/>
          <w:bCs/>
          <w:sz w:val="32"/>
          <w:szCs w:val="32"/>
        </w:rPr>
      </w:pP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320"/>
        <w:gridCol w:w="1000"/>
        <w:gridCol w:w="43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释义项</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公司、本公司、博云新材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湖南博云新材料股份有限公司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粉冶中心</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兴湘集团</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伟徽新材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霍尼韦尔（中国）有限公司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霍尼韦尔博云、合资公司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沃尔博</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PMA</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民用航空器零部件制造人批准书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中国商飞自主设计的国产大型客机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中国证监会</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深交所</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湖南证监局</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中国证券监督管理委员会湖南监管局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湖南省国资委</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湖南省人民政府国有资产监督管理委员会</w:t>
            </w:r>
          </w:p>
        </w:tc>
      </w:tr>
    </w:tbl>
    <w:p>
      <w:r>
        <w:br w:type="page"/>
      </w:r>
    </w:p>
    <w:p>
      <w:pPr>
        <w:keepNext/>
        <w:keepLines/>
        <w:spacing w:before="340" w:after="330" w:line="773" w:lineRule="exact"/>
        <w:jc w:val="center"/>
        <w:outlineLvl w:val="0"/>
        <w:rPr>
          <w:rFonts w:ascii="宋体" w:hAnsi="宋体" w:eastAsia="宋体" w:cs="宋体"/>
          <w:b/>
          <w:bCs/>
          <w:sz w:val="32"/>
          <w:szCs w:val="32"/>
        </w:rPr>
      </w:pPr>
      <w:bookmarkStart w:id="1" w:name="_Toc988890"/>
      <w:r>
        <w:rPr>
          <w:rFonts w:ascii="宋体" w:hAnsi="宋体" w:eastAsia="宋体" w:cs="宋体"/>
          <w:b/>
          <w:bCs/>
          <w:sz w:val="32"/>
          <w:szCs w:val="32"/>
        </w:rPr>
        <w:t>第二节 公司简介和主要财务指标</w:t>
      </w:r>
      <w:bookmarkEnd w:id="1"/>
    </w:p>
    <w:p>
      <w:pPr>
        <w:keepNext/>
        <w:keepLines/>
        <w:spacing w:before="300" w:after="300" w:line="320" w:lineRule="exact"/>
        <w:jc w:val="left"/>
        <w:outlineLvl w:val="1"/>
        <w:rPr>
          <w:rFonts w:ascii="宋体" w:hAnsi="宋体" w:eastAsia="宋体" w:cs="宋体"/>
          <w:b/>
          <w:bCs/>
          <w:sz w:val="24"/>
          <w:szCs w:val="24"/>
        </w:rPr>
      </w:pPr>
      <w:bookmarkStart w:id="2" w:name="_Toc988891"/>
      <w:r>
        <w:rPr>
          <w:rFonts w:ascii="宋体" w:hAnsi="宋体" w:eastAsia="宋体" w:cs="宋体"/>
          <w:b/>
          <w:bCs/>
          <w:sz w:val="24"/>
          <w:szCs w:val="24"/>
        </w:rPr>
        <w:t>一、公司简介</w:t>
      </w:r>
      <w:bookmarkEnd w:id="2"/>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博云新材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002297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湖南博云新材料股份有限公司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公司的中文简称（如有）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博云新材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HUNAN BOYUN NEW  MATERIALS CO.,LTD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BOYUN NEW MATERIALS</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贺柳</w:t>
            </w:r>
          </w:p>
        </w:tc>
      </w:tr>
    </w:tbl>
    <w:p>
      <w:pPr>
        <w:keepNext/>
        <w:keepLines/>
        <w:spacing w:before="300" w:after="300" w:line="320" w:lineRule="exact"/>
        <w:jc w:val="left"/>
        <w:outlineLvl w:val="1"/>
        <w:rPr>
          <w:rFonts w:ascii="宋体" w:hAnsi="宋体" w:eastAsia="宋体" w:cs="宋体"/>
          <w:b/>
          <w:bCs/>
          <w:sz w:val="24"/>
          <w:szCs w:val="24"/>
        </w:rPr>
      </w:pPr>
      <w:bookmarkStart w:id="3" w:name="_Toc988892"/>
      <w:r>
        <w:rPr>
          <w:rFonts w:ascii="宋体" w:hAnsi="宋体" w:eastAsia="宋体" w:cs="宋体"/>
          <w:b/>
          <w:bCs/>
          <w:sz w:val="24"/>
          <w:szCs w:val="24"/>
        </w:rPr>
        <w:t>二、联系人和联系方式</w:t>
      </w:r>
      <w:bookmarkEnd w:id="3"/>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曾光辉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张爱丽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湖南省长沙市岳麓区雷锋大道346号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湖南省长沙市岳麓区雷锋大道346号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0731-85302297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0731-85302297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0731-88122777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0731-88122777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r>
    </w:tbl>
    <w:p>
      <w:pPr>
        <w:keepNext/>
        <w:keepLines/>
        <w:spacing w:before="300" w:after="300" w:line="320" w:lineRule="exact"/>
        <w:jc w:val="left"/>
        <w:outlineLvl w:val="1"/>
        <w:rPr>
          <w:rFonts w:ascii="宋体" w:hAnsi="宋体" w:eastAsia="宋体" w:cs="宋体"/>
          <w:b/>
          <w:bCs/>
          <w:sz w:val="24"/>
          <w:szCs w:val="24"/>
        </w:rPr>
      </w:pPr>
      <w:bookmarkStart w:id="4" w:name="_Toc988893"/>
      <w:r>
        <w:rPr>
          <w:rFonts w:ascii="宋体" w:hAnsi="宋体" w:eastAsia="宋体" w:cs="宋体"/>
          <w:b/>
          <w:bCs/>
          <w:sz w:val="24"/>
          <w:szCs w:val="24"/>
        </w:rPr>
        <w:t>三、其他情况</w:t>
      </w:r>
      <w:bookmarkEnd w:id="4"/>
    </w:p>
    <w:p>
      <w:pPr>
        <w:keepNext/>
        <w:keepLines/>
        <w:spacing w:before="300" w:after="300" w:line="280" w:lineRule="exact"/>
        <w:jc w:val="left"/>
        <w:outlineLvl w:val="2"/>
        <w:rPr>
          <w:rFonts w:ascii="宋体" w:hAnsi="宋体" w:eastAsia="宋体" w:cs="宋体"/>
          <w:b/>
          <w:bCs/>
          <w:sz w:val="21"/>
          <w:szCs w:val="21"/>
        </w:rPr>
      </w:pPr>
      <w:bookmarkStart w:id="5" w:name="_Toc988894"/>
      <w:r>
        <w:rPr>
          <w:rFonts w:ascii="宋体" w:hAnsi="宋体" w:eastAsia="宋体" w:cs="宋体"/>
          <w:b/>
          <w:bCs/>
          <w:sz w:val="21"/>
          <w:szCs w:val="21"/>
        </w:rPr>
        <w:t>1、公司联系方式</w:t>
      </w:r>
      <w:bookmarkEnd w:id="5"/>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公司注册地址、公司办公地址及其邮政编码、公司网址、电子信箱等在报告期是否变化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公司注册地址、公司办公地址及其邮政编码、公司网址、电子信箱等在报告期无变化，具体可参见2023年年报。</w:t>
      </w:r>
    </w:p>
    <w:p>
      <w:pPr>
        <w:keepNext/>
        <w:keepLines/>
        <w:spacing w:before="300" w:after="300" w:line="280" w:lineRule="exact"/>
        <w:jc w:val="left"/>
        <w:outlineLvl w:val="2"/>
        <w:rPr>
          <w:rFonts w:ascii="宋体" w:hAnsi="宋体" w:eastAsia="宋体" w:cs="宋体"/>
          <w:b/>
          <w:bCs/>
          <w:sz w:val="21"/>
          <w:szCs w:val="21"/>
        </w:rPr>
      </w:pPr>
      <w:bookmarkStart w:id="6" w:name="_Toc988895"/>
      <w:r>
        <w:rPr>
          <w:rFonts w:ascii="宋体" w:hAnsi="宋体" w:eastAsia="宋体" w:cs="宋体"/>
          <w:b/>
          <w:bCs/>
          <w:sz w:val="21"/>
          <w:szCs w:val="21"/>
        </w:rPr>
        <w:t>2、信息披露及备置地点</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信息披露及备置地点在报告期是否变化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公司披露半年度报告的证券交易所网站和媒体名称及网址，公司半年度报告备置地在报告期无变化，具体可参见2023年年报。</w:t>
      </w:r>
    </w:p>
    <w:p>
      <w:pPr>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3、其他有关资料</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其他有关资料在报告期是否变更情况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 w:name="_Toc988897"/>
      <w:r>
        <w:rPr>
          <w:rFonts w:ascii="宋体" w:hAnsi="宋体" w:eastAsia="宋体" w:cs="宋体"/>
          <w:b/>
          <w:bCs/>
          <w:sz w:val="24"/>
          <w:szCs w:val="24"/>
        </w:rPr>
        <w:t>四、主要会计数据和财务指标</w:t>
      </w:r>
      <w:bookmarkEnd w:id="8"/>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302,034,653.13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292,593,271.47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-7,668,423.33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1,815,162.34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28,197,981.82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-67,784,762.58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2,832,081,568.24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2,858,765,260.94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2,124,019,892.77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w:t>
            </w:r>
          </w:p>
        </w:tc>
      </w:tr>
    </w:tbl>
    <w:p>
      <w:pPr>
        <w:keepNext/>
        <w:keepLines/>
        <w:spacing w:before="300" w:after="300" w:line="320" w:lineRule="exact"/>
        <w:jc w:val="left"/>
        <w:outlineLvl w:val="1"/>
        <w:rPr>
          <w:rFonts w:ascii="宋体" w:hAnsi="宋体" w:eastAsia="宋体" w:cs="宋体"/>
          <w:b/>
          <w:bCs/>
          <w:sz w:val="24"/>
          <w:szCs w:val="24"/>
        </w:rPr>
      </w:pPr>
      <w:bookmarkStart w:id="9" w:name="_Toc988898"/>
      <w:r>
        <w:rPr>
          <w:rFonts w:ascii="宋体" w:hAnsi="宋体" w:eastAsia="宋体" w:cs="宋体"/>
          <w:b/>
          <w:bCs/>
          <w:sz w:val="24"/>
          <w:szCs w:val="24"/>
        </w:rPr>
        <w:t>五、境内外会计准则下会计数据差异</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1、同时按照国际会计准则与按照中国会计准则披露的财务报告中净利润和净资产差异情况</w:t>
      </w:r>
      <w:bookmarkEnd w:id="1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公司报告期不存在按照国际会计准则与按照中国会计准则披露的财务报告中净利润和净资产差异情况。</w:t>
      </w:r>
    </w:p>
    <w:p>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2、同时按照境外会计准则与按照中国会计准则披露的财务报告中净利润和净资产差异情况</w:t>
      </w:r>
      <w:bookmarkEnd w:id="1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公司报告期不存在按照境外会计准则与按照中国会计准则披露的财务报告中净利润和净资产差异情况。</w:t>
      </w:r>
    </w:p>
    <w:p>
      <w:pPr>
        <w:keepNext/>
        <w:keepLines/>
        <w:spacing w:before="300" w:after="300" w:line="320" w:lineRule="exact"/>
        <w:jc w:val="left"/>
        <w:outlineLvl w:val="1"/>
        <w:rPr>
          <w:rFonts w:ascii="宋体" w:hAnsi="宋体" w:eastAsia="宋体" w:cs="宋体"/>
          <w:b/>
          <w:bCs/>
          <w:sz w:val="24"/>
          <w:szCs w:val="24"/>
        </w:rPr>
      </w:pPr>
      <w:bookmarkStart w:id="12" w:name="_Toc988901"/>
      <w:r>
        <w:rPr>
          <w:rFonts w:ascii="宋体" w:hAnsi="宋体" w:eastAsia="宋体" w:cs="宋体"/>
          <w:b/>
          <w:bCs/>
          <w:sz w:val="24"/>
          <w:szCs w:val="24"/>
        </w:rPr>
        <w:t>六、非经常性损益项目及金额</w:t>
      </w:r>
      <w:bookmarkEnd w:id="1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非流动性资产处置损益（包括已计提资产减值准备的冲销部分）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-87,299.19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7,169,360.21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6,748,280.84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3,729,452.64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122,834.48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9,978,054.74</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r>
        <w:br w:type="page"/>
      </w:r>
    </w:p>
    <w:p>
      <w:pPr>
        <w:keepNext/>
        <w:keepLines/>
        <w:spacing w:before="340" w:after="330" w:line="773" w:lineRule="exact"/>
        <w:jc w:val="center"/>
        <w:outlineLvl w:val="0"/>
        <w:rPr>
          <w:rFonts w:ascii="宋体" w:hAnsi="宋体" w:eastAsia="宋体" w:cs="宋体"/>
          <w:b/>
          <w:bCs/>
          <w:sz w:val="32"/>
          <w:szCs w:val="32"/>
        </w:rPr>
      </w:pPr>
      <w:bookmarkStart w:id="13" w:name="_Toc988902"/>
      <w:r>
        <w:rPr>
          <w:rFonts w:ascii="宋体" w:hAnsi="宋体" w:eastAsia="宋体" w:cs="宋体"/>
          <w:b/>
          <w:bCs/>
          <w:sz w:val="32"/>
          <w:szCs w:val="32"/>
        </w:rPr>
        <w:t>第三节 管理层讨论与分析</w:t>
      </w:r>
      <w:bookmarkEnd w:id="13"/>
    </w:p>
    <w:p>
      <w:pPr>
        <w:keepNext/>
        <w:keepLines/>
        <w:spacing w:before="300" w:after="300" w:line="320" w:lineRule="exact"/>
        <w:jc w:val="left"/>
        <w:outlineLvl w:val="1"/>
        <w:rPr>
          <w:rFonts w:ascii="宋体" w:hAnsi="宋体" w:eastAsia="宋体" w:cs="宋体"/>
          <w:b/>
          <w:bCs/>
          <w:sz w:val="24"/>
          <w:szCs w:val="24"/>
        </w:rPr>
      </w:pPr>
      <w:bookmarkStart w:id="14" w:name="_Toc988903"/>
      <w:r>
        <w:rPr>
          <w:rFonts w:ascii="宋体" w:hAnsi="宋体" w:eastAsia="宋体" w:cs="宋体"/>
          <w:b/>
          <w:bCs/>
          <w:sz w:val="24"/>
          <w:szCs w:val="24"/>
        </w:rPr>
        <w:t>一、报告期内公司从事的主要业务</w:t>
      </w:r>
      <w:bookmarkEnd w:id="14"/>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主要从事航空机轮刹车系统及刹车材料、航天用碳/碳复合材料、高性能硬质合金和稀有金属粉体材料等产品的研发、生产与销售，产品主要涉及航空、航天和民用工业等领域。公司建有“国家炭/炭复合材料工程技术研究中心”。</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b w:val="0"/>
          <w:bCs w:val="0"/>
          <w:sz w:val="21"/>
          <w:szCs w:val="21"/>
        </w:rPr>
        <w:t>1、航空航天领域</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（1）飞机机轮刹车系统</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飞机机轮刹车系统是飞机上一个具有独立功能的重要系统。该系统主要由机轮（刹车机轮和无刹车机轮）和刹车装置（含刹车盘）、电子防滑刹车系统（简称刹车系统）三大部分组成。主要作用是承受飞机在地面的静、动态冲击载荷、吸收刹车能量，并对飞机的起飞、着陆、滑行、转弯进行有效的制动和控制。公司全资子公司长沙鑫航目前主要业务为航空机轮和电子防滑刹车系统及附件，包括机轮、刹车装置、控制盒、刹车系统及系统集成等研发、生产、销售、维修和服务。2023年7月，长沙鑫航被认定为国家级专精特新“小巨人”企业。</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（2）航空用飞机刹车材料</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碳/碳复合材料是一种以碳纤维增强碳基体的先进复合材料，具有密度低、摩擦特性优良、耐高温、使用寿命长等一系列优异性能。公司先后研发了一系列具有自主知识产权的碳/碳复合材料制备技术和工艺装备。</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在航空用碳/碳刹车产品方面，公司已取得波音757、空客320系列、ERJ190系列、MA60等机型PMA证书，同时形成了包括国外客户委托开发碳刹车产品及若干个军机型号碳刹车产品在内的批产能力，目前正在持续开展多个型号的碳刹车产品研制。2023年5月，应用公司碳刹车产品技术的中国自主研发大型客机C919成功完成首次商业载客飞行，中国商飞第一时间给公司发来感谢信，再次肯定了公司在C919项目研发、制造、试飞等方面付出的艰辛努力及作出的重要贡献。</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在粉末冶金材料刹车产品方面，高性能粉末冶金摩擦材料具有制动平稳、耐高温、耐磨损等优良性能。公司先后开发出三叉戟、波音737系列等多种粉末冶金航空刹车副。公司所研制的粉末冶金飞机刹车副技术水平完全满足使用要求。同时为适应市场需求，公司开发了多款无人机粉末冶金刹车副。</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（3）航天用碳/碳复合材料</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在航天用碳/碳复合材料方面，公司与航天系统内多家单位建立了长期的合作关系，历年来从研制阶段即开始提供多个型号航天发动机用碳/碳复合材料产品。目前有二十多个型号碳/碳复合材料产品已定型并批量生产，另有三十多个新型号航天发动机用碳/碳复合材料产品处在研制阶段。商用航天领域，公司通过自主创新，所研发的碳/碳喉衬材料已成功应用于我国的“快舟系列” 商业航天固体运载火箭上。</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拥有先进、高效的研发能力和完善的基础设施，充分发挥技术能力优势，精准把握客户需求，是国内固体火箭发动机用碳/碳复合材料的重要研制、生产基地，为多家航天企业提供碳/碳喉衬产品配套。公司不断推进航天用碳/碳复合材料科研生产能力建设，通过产能的提升和技术的迭代等手段，积极应对未来航天产业十四五后半程需求可能放量的良好形势。</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b w:val="0"/>
          <w:bCs w:val="0"/>
          <w:sz w:val="21"/>
          <w:szCs w:val="21"/>
        </w:rPr>
        <w:t>2、硬质合金领域</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（1）高性能硬质合金材料</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控股子公司博云东方是国家第三批专精特新“小巨人”企业，拥有具有自主知识产权的“高性能纳米/超细晶硬质合金制备技术”、“高性能特粗晶硬质合金制备技术”等核心技术，专业从事高性能硬质合金产品的研发、生产和销售。博云东方主要产品为高性能超细/纳米硬质合金棒材、高性能硬质合金模具材料、高性能特粗晶工程与矿用硬质合金、精深加工硬质合金成品（零/部件）等，应用于航空航天、汽车、国防建设、冶金、隧道等掘进工程和采矿、3C等工业领域。</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（2）稀有金属粉体材料</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全资子公司伟徽新材是专业从事稀有金属粉体新材料的研发、生产、销售的高新技术企业，伟徽新材主要产品分为碳化钽、碳化铬、碳化钒、碳化钛等一元碳化物，以及钨钛固溶体、钽铌固溶体、钨钛钽固溶体等多元复式碳化物。稀有金属碳化物粉末产品为硬质合金的重要添加剂和热喷涂材料的原料之一，并被最终应用于航空航天、汽车制造、国防军工、钢铁冶金、机械加工、电子通讯、矿山能源、建筑工程和海洋工程等各种领域。伟徽新材经过持续不断的技术创新，自主研发了高温真空碳化技术、低温裂解技术、高效节能碳化技术、碳化温度梯度控制技术、超细粉体粉碎技术等行业领先水平的稀有金属碳化物制备新技术。开发的金属碳化物微细粉末、超细碳化钽粉末、碳化钨钛铌锆固溶体粉末、碳化钨钛钽钼固溶体粉末、五元硬质合金用固溶体等新产品，填补了国内空白，满足硬质合金行业发展对碳化物的纯度、粒度和颗粒形貌不断提升的要求，推动稀有金属碳化物行业向高纯度化、高端化方向升级发展。2024年4月，伟徽新材被认定为湖南省专精特新中小企业。</w:t>
      </w:r>
    </w:p>
    <w:p>
      <w:pPr>
        <w:keepNext/>
        <w:keepLines/>
        <w:spacing w:before="300" w:after="300" w:line="320" w:lineRule="exact"/>
        <w:jc w:val="left"/>
        <w:outlineLvl w:val="1"/>
        <w:rPr>
          <w:rFonts w:ascii="宋体" w:hAnsi="宋体" w:eastAsia="宋体" w:cs="宋体"/>
          <w:b/>
          <w:bCs/>
          <w:sz w:val="24"/>
          <w:szCs w:val="24"/>
        </w:rPr>
      </w:pPr>
      <w:bookmarkStart w:id="15" w:name="_Toc988904"/>
      <w:r>
        <w:rPr>
          <w:rFonts w:ascii="宋体" w:hAnsi="宋体" w:eastAsia="宋体" w:cs="宋体"/>
          <w:b/>
          <w:bCs/>
          <w:sz w:val="24"/>
          <w:szCs w:val="24"/>
        </w:rPr>
        <w:t>二、核心竞争力分析</w:t>
      </w:r>
      <w:bookmarkEnd w:id="15"/>
    </w:p>
    <w:p>
      <w:pPr>
        <w:pStyle w:val="2"/>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4"/>
          <w:szCs w:val="24"/>
        </w:rPr>
      </w:pPr>
      <w:r>
        <w:rPr>
          <w:rStyle w:val="5"/>
          <w:rFonts w:hint="eastAsia" w:ascii="宋体" w:hAnsi="宋体" w:eastAsia="宋体" w:cs="宋体"/>
          <w:b/>
          <w:bCs/>
          <w:sz w:val="21"/>
          <w:szCs w:val="21"/>
        </w:rPr>
        <w:t>1、技术研发优势</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依托中南大学，凝聚了一支以中国工程院黄伯云院士领衔的新材料人才队伍，通过与中南大学的粉末冶金国家重点实验室、粉末冶金国家工程研究中心、轻质高强材料国家级实验室等机构开展产学研合作，形成了国内较完善的粉末冶金材料、碳/碳复合材料等基础研究－应用研究－产业化的创新链，促进了公司自主创新能力的稳步提升。公司是中南大学研究生联合培养基地，拥有“国家炭/炭复合材料工程技术研究中心”、“湖南省高效精密硬质合金工模具工程技术研究中心”、“湖南省新材料中试平台”、2个“湖南省企业技术中心”和“博云航空制动研究院”等多层级创新平台。</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与中国商飞建立了长期的战略合作关系并参与建设国内唯一、世界先进的“大飞机地面动力学试验平台”；依托国家某重点项目建设的博云航空制动系统测试中心获得CNAS实验室认证，国内第一个有能力完成0.08MJ到130MJ能量覆盖范围的航空机轮刹车性能试验，具备现代航空制动系统正向设计到集成验证的自主研发能力，经与通过FAA认证的霍尼韦尔南湾试验台架对比验证试验，结果完全一致，达到国际先进水平，有效确保国产大飞机C919机轮刹车供应链安全可控。</w:t>
      </w:r>
    </w:p>
    <w:p>
      <w:pPr>
        <w:pStyle w:val="2"/>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自主研制的航空机轮及刹车系统、航空制动碳基复合材料、航天用耐烧蚀碳/碳复合材料、特粗晶/超细纳米硬质合金复合材料，具有高性能、高质量、绿色低碳的显著特点，其中：碳刹车盘组件取得国内民航客机第一个零部件制造人批准书（PMA0001）；全程参与C919国产大飞机机轮刹车碳盘的研制；耐烧蚀碳/碳复合材料喉衬是航天固体发动机的关键部件，配套快舟系列固体运载火箭等航天重大型号；特粗晶硬质合金成功应用于国内最大直径盾构机，解决超硬岩层深井盾构施工“卡脖子”问题；超细纳米硬质合金可应用于国内航空航天、汽车等高端装备制造业所需高端刀具制造。</w:t>
      </w:r>
    </w:p>
    <w:p>
      <w:pPr>
        <w:pStyle w:val="2"/>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4"/>
          <w:szCs w:val="24"/>
        </w:rPr>
      </w:pPr>
      <w:r>
        <w:rPr>
          <w:rStyle w:val="5"/>
          <w:rFonts w:hint="eastAsia" w:ascii="宋体" w:hAnsi="宋体" w:eastAsia="宋体" w:cs="宋体"/>
          <w:b/>
          <w:bCs/>
          <w:sz w:val="21"/>
          <w:szCs w:val="21"/>
        </w:rPr>
        <w:t>2、政策优势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6"/>
        <w:jc w:val="both"/>
        <w:textAlignment w:val="auto"/>
        <w:rPr>
          <w:rFonts w:hint="default" w:ascii="Times New Roman" w:hAnsi="Times New Roman" w:cs="Times New Roman"/>
          <w:sz w:val="24"/>
          <w:szCs w:val="24"/>
        </w:rPr>
      </w:pPr>
      <w:r>
        <w:rPr>
          <w:rFonts w:hint="eastAsia" w:ascii="宋体" w:hAnsi="宋体" w:eastAsia="宋体" w:cs="宋体"/>
          <w:sz w:val="21"/>
          <w:szCs w:val="21"/>
        </w:rPr>
        <w:t>公司为国家战略新兴产业、军民融合等政策支持发展的企业，公司的航空产品（民用、军用飞机刹车系统）和航天产品有助于国家航空战略安全，同时在国防上具有重要战略意义。公司主要产品所涉及的行业被国家列为优先重点发展行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cs="Times New Roman"/>
          <w:sz w:val="24"/>
          <w:szCs w:val="24"/>
        </w:rPr>
      </w:pPr>
      <w:r>
        <w:rPr>
          <w:rStyle w:val="5"/>
          <w:rFonts w:hint="eastAsia" w:ascii="宋体" w:hAnsi="宋体" w:eastAsia="宋体" w:cs="宋体"/>
          <w:b/>
          <w:bCs/>
          <w:sz w:val="21"/>
          <w:szCs w:val="21"/>
        </w:rPr>
        <w:t>3、可持续发展优势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cs="Times New Roman"/>
          <w:sz w:val="21"/>
          <w:szCs w:val="21"/>
        </w:rPr>
      </w:pPr>
      <w:r>
        <w:rPr>
          <w:rFonts w:hint="eastAsia" w:ascii="宋体" w:hAnsi="宋体" w:eastAsia="宋体" w:cs="宋体"/>
          <w:sz w:val="21"/>
          <w:szCs w:val="21"/>
        </w:rPr>
        <w:t>  公司开发的高性能粉末冶金材料和碳/碳复合材料产品通过在当前航空航天、工业用刀具模具、稀有金属粉体新材料等领域的应用，为公司产品拓展在其它领域的应用奠定了坚实的基础，有利于公司的可持续性发展。</w:t>
      </w:r>
    </w:p>
    <w:p>
      <w:pPr>
        <w:keepNext/>
        <w:keepLines/>
        <w:spacing w:before="300" w:after="300" w:line="320" w:lineRule="exact"/>
        <w:jc w:val="left"/>
        <w:outlineLvl w:val="1"/>
        <w:rPr>
          <w:rFonts w:ascii="宋体" w:hAnsi="宋体" w:eastAsia="宋体" w:cs="宋体"/>
          <w:b/>
          <w:bCs/>
          <w:sz w:val="24"/>
          <w:szCs w:val="24"/>
        </w:rPr>
      </w:pPr>
      <w:bookmarkStart w:id="16" w:name="_Toc988905"/>
      <w:r>
        <w:rPr>
          <w:rFonts w:ascii="宋体" w:hAnsi="宋体" w:eastAsia="宋体" w:cs="宋体"/>
          <w:b/>
          <w:bCs/>
          <w:sz w:val="24"/>
          <w:szCs w:val="24"/>
        </w:rPr>
        <w:t>三、主营业务分析</w:t>
      </w:r>
      <w:bookmarkEnd w:id="16"/>
    </w:p>
    <w:p>
      <w:pPr>
        <w:keepNext w:val="0"/>
        <w:keepLines w:val="0"/>
        <w:pageBreakBefore w:val="0"/>
        <w:widowControl w:val="0"/>
        <w:kinsoku/>
        <w:wordWrap/>
        <w:overflowPunct/>
        <w:topLinePunct w:val="0"/>
        <w:autoSpaceDE/>
        <w:autoSpaceDN/>
        <w:bidi w:val="0"/>
        <w:adjustRightInd/>
        <w:snapToGrid/>
        <w:spacing w:before="100" w:after="240" w:line="240" w:lineRule="exact"/>
        <w:jc w:val="left"/>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一）概述</w:t>
      </w:r>
    </w:p>
    <w:p>
      <w:pPr>
        <w:spacing w:before="100" w:after="100" w:line="240" w:lineRule="exact"/>
        <w:ind w:firstLine="540" w:firstLineChars="300"/>
        <w:jc w:val="left"/>
        <w:rPr>
          <w:rFonts w:ascii="宋体" w:hAnsi="宋体" w:eastAsia="宋体" w:cs="宋体"/>
          <w:sz w:val="18"/>
          <w:szCs w:val="18"/>
        </w:rPr>
      </w:pPr>
      <w:r>
        <w:rPr>
          <w:rFonts w:ascii="宋体" w:hAnsi="宋体" w:eastAsia="宋体" w:cs="宋体"/>
          <w:sz w:val="18"/>
          <w:szCs w:val="18"/>
        </w:rPr>
        <w:t>参见“一、报告期内公司从事的主要业务”相关内容。</w:t>
      </w:r>
    </w:p>
    <w:p>
      <w:pPr>
        <w:keepNext w:val="0"/>
        <w:keepLines w:val="0"/>
        <w:pageBreakBefore w:val="0"/>
        <w:widowControl w:val="0"/>
        <w:kinsoku/>
        <w:wordWrap/>
        <w:overflowPunct/>
        <w:topLinePunct w:val="0"/>
        <w:autoSpaceDE/>
        <w:autoSpaceDN/>
        <w:bidi w:val="0"/>
        <w:adjustRightInd/>
        <w:snapToGrid/>
        <w:spacing w:before="220" w:after="100" w:line="240" w:lineRule="exact"/>
        <w:jc w:val="left"/>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（二）</w:t>
      </w:r>
      <w:r>
        <w:rPr>
          <w:rFonts w:hint="eastAsia" w:ascii="宋体" w:hAnsi="宋体" w:eastAsia="宋体" w:cs="宋体"/>
          <w:kern w:val="0"/>
          <w:sz w:val="21"/>
          <w:szCs w:val="21"/>
          <w:lang w:val="en-US" w:eastAsia="zh-CN" w:bidi="ar"/>
        </w:rPr>
        <w:t>主要财务数据同比变动情况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247"/>
        <w:gridCol w:w="26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24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c>
          <w:tcPr>
            <w:tcW w:w="26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302,034,653.13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292,593,271.47</w:t>
            </w:r>
          </w:p>
        </w:tc>
        <w:tc>
          <w:tcPr>
            <w:tcW w:w="12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w:t>
            </w:r>
          </w:p>
        </w:tc>
        <w:tc>
          <w:tcPr>
            <w:tcW w:w="2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营业成本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250,522,715.74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221,034,164.62</w:t>
            </w:r>
          </w:p>
        </w:tc>
        <w:tc>
          <w:tcPr>
            <w:tcW w:w="12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13.34%</w:t>
            </w:r>
          </w:p>
        </w:tc>
        <w:tc>
          <w:tcPr>
            <w:tcW w:w="2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销售费用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8,692,918.06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13,708,446.37</w:t>
            </w:r>
          </w:p>
        </w:tc>
        <w:tc>
          <w:tcPr>
            <w:tcW w:w="12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-36.59%</w:t>
            </w:r>
          </w:p>
        </w:tc>
        <w:tc>
          <w:tcPr>
            <w:tcW w:w="2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主要为子公司博云东方保险费减少，子公司长沙鑫航外部故障费用减少所致。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27,992,921.10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21,388,298.95</w:t>
            </w:r>
          </w:p>
        </w:tc>
        <w:tc>
          <w:tcPr>
            <w:tcW w:w="12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30.88%</w:t>
            </w:r>
          </w:p>
        </w:tc>
        <w:tc>
          <w:tcPr>
            <w:tcW w:w="2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主要为母公司本期薪酬考核部分按月度计提增加，子公司长沙鑫航薪酬本期增加所致。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61,695.93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-2,279,564.88</w:t>
            </w:r>
          </w:p>
        </w:tc>
        <w:tc>
          <w:tcPr>
            <w:tcW w:w="12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102.71%</w:t>
            </w:r>
          </w:p>
        </w:tc>
        <w:tc>
          <w:tcPr>
            <w:tcW w:w="2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主要为子公司博云东方新增银行贷款利息费用增加所致。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5,755,479.74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1,642,016.90</w:t>
            </w:r>
          </w:p>
        </w:tc>
        <w:tc>
          <w:tcPr>
            <w:tcW w:w="12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250.51%</w:t>
            </w:r>
          </w:p>
        </w:tc>
        <w:tc>
          <w:tcPr>
            <w:tcW w:w="2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主要为本期母公司博云新材利润增加导致所得税费用增加所致。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32,737,170.28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37,534,252.40</w:t>
            </w:r>
          </w:p>
        </w:tc>
        <w:tc>
          <w:tcPr>
            <w:tcW w:w="12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-12.78%</w:t>
            </w:r>
          </w:p>
        </w:tc>
        <w:tc>
          <w:tcPr>
            <w:tcW w:w="2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28,197,981.82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-67,784,762.58</w:t>
            </w:r>
          </w:p>
        </w:tc>
        <w:tc>
          <w:tcPr>
            <w:tcW w:w="12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141.60%</w:t>
            </w:r>
          </w:p>
        </w:tc>
        <w:tc>
          <w:tcPr>
            <w:tcW w:w="2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主要为本期销售商品、提供劳务收到的现金同比增加，收到的税费返还增加；购买商品支付现金减少，支付的各项税费减少所致。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-21,809,866.53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-87,300,914.10</w:t>
            </w:r>
          </w:p>
        </w:tc>
        <w:tc>
          <w:tcPr>
            <w:tcW w:w="12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75.02%</w:t>
            </w:r>
          </w:p>
        </w:tc>
        <w:tc>
          <w:tcPr>
            <w:tcW w:w="2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主要为本期购建固定资产、无形资产和其他长期资产支付的现金减少（子公司博云东方根据审计调整2024年不含收到的银票）所致。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-28,687,875.02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116,251,033.33</w:t>
            </w:r>
          </w:p>
        </w:tc>
        <w:tc>
          <w:tcPr>
            <w:tcW w:w="12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-124.68%</w:t>
            </w:r>
          </w:p>
        </w:tc>
        <w:tc>
          <w:tcPr>
            <w:tcW w:w="2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主要为本期偿还债务支付的现金增加所致。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现金及现金等价物净增加额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-22,240,812.42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-38,773,261.80</w:t>
            </w:r>
          </w:p>
        </w:tc>
        <w:tc>
          <w:tcPr>
            <w:tcW w:w="12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42.64%</w:t>
            </w:r>
          </w:p>
        </w:tc>
        <w:tc>
          <w:tcPr>
            <w:tcW w:w="2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主要为本期经营活动产生的现金流量净额增加，本期投资活动产生现金净流出减少，筹资活动产生的现金流出增加所致。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公司报告期利润构成或利润来源发生重大变动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公司报告期利润构成或利润来源没有发生重大变动。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营业收入构成</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302,034,653.13</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292,593,271.47</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77,913,350.49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108,488,277.04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213,410,483.83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171,641,628.23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10,710,818.81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12,463,366.20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77,913,350.49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108,488,277.04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高性能硬质合金及相关材料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213,410,483.83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171,641,628.23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10,710,818.81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12,463,366.20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278,277,885.84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273,384,287.92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93.43%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23,756,767.29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19,208,983.55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占公司营业收入或营业利润10%以上的行业、产品或地区情况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86"/>
        <w:gridCol w:w="1575"/>
        <w:gridCol w:w="1620"/>
        <w:gridCol w:w="1020"/>
        <w:gridCol w:w="1320"/>
        <w:gridCol w:w="1320"/>
        <w:gridCol w:w="11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8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5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6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w:t>
            </w:r>
          </w:p>
        </w:tc>
        <w:tc>
          <w:tcPr>
            <w:tcW w:w="13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营业收入比上年同期增减</w:t>
            </w:r>
          </w:p>
        </w:tc>
        <w:tc>
          <w:tcPr>
            <w:tcW w:w="13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营业成本比上年同期增减</w:t>
            </w:r>
          </w:p>
        </w:tc>
        <w:tc>
          <w:tcPr>
            <w:tcW w:w="119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77,913,350.49</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41,828,680.38</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46.31%</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-28.18%</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-34.30%</w:t>
            </w:r>
          </w:p>
        </w:tc>
        <w:tc>
          <w:tcPr>
            <w:tcW w:w="11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213,410,483.83</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204,092,521.39</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24.33%</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34.45%</w:t>
            </w:r>
          </w:p>
        </w:tc>
        <w:tc>
          <w:tcPr>
            <w:tcW w:w="11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77,913,350.49</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41,828,680.38</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46.31%</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-28.18%</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-34.30%</w:t>
            </w:r>
          </w:p>
        </w:tc>
        <w:tc>
          <w:tcPr>
            <w:tcW w:w="11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高性能硬质合金及相关材料</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213,410,483.83</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204,092,521.39</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24.33%</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34.45%</w:t>
            </w:r>
          </w:p>
        </w:tc>
        <w:tc>
          <w:tcPr>
            <w:tcW w:w="11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国内地区</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267,567,067.03</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226,062,437.09</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15.51%</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11.51%</w:t>
            </w:r>
          </w:p>
        </w:tc>
        <w:tc>
          <w:tcPr>
            <w:tcW w:w="11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国外地区</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23,756,767.29</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19,858,764.68</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23.68%</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56.00%</w:t>
            </w:r>
          </w:p>
        </w:tc>
        <w:tc>
          <w:tcPr>
            <w:tcW w:w="11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公司主营业务数据统计口径在报告期发生调整的情况下，公司最近1期按报告期末口径调整后的主营业务数据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p>
    <w:p>
      <w:pPr>
        <w:keepNext/>
        <w:keepLines/>
        <w:spacing w:before="300" w:after="300" w:line="320" w:lineRule="exact"/>
        <w:jc w:val="left"/>
        <w:outlineLvl w:val="1"/>
        <w:rPr>
          <w:rFonts w:ascii="宋体" w:hAnsi="宋体" w:eastAsia="宋体" w:cs="宋体"/>
          <w:b/>
          <w:bCs/>
          <w:sz w:val="24"/>
          <w:szCs w:val="24"/>
        </w:rPr>
      </w:pPr>
      <w:bookmarkStart w:id="17" w:name="_Toc988906"/>
      <w:r>
        <w:rPr>
          <w:rFonts w:ascii="宋体" w:hAnsi="宋体" w:eastAsia="宋体" w:cs="宋体"/>
          <w:b/>
          <w:bCs/>
          <w:sz w:val="24"/>
          <w:szCs w:val="24"/>
        </w:rPr>
        <w:t>四、非主营业务分析</w:t>
      </w:r>
      <w:bookmarkEnd w:id="17"/>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420"/>
        <w:gridCol w:w="2985"/>
        <w:gridCol w:w="13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4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占利润总额比例</w:t>
            </w:r>
          </w:p>
        </w:tc>
        <w:tc>
          <w:tcPr>
            <w:tcW w:w="2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形成原因说明</w:t>
            </w:r>
          </w:p>
        </w:tc>
        <w:tc>
          <w:tcPr>
            <w:tcW w:w="137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是否具有可持续性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-2,403,764.32</w:t>
            </w:r>
          </w:p>
        </w:tc>
        <w:tc>
          <w:tcPr>
            <w:tcW w:w="14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highlight w:val="none"/>
              </w:rPr>
            </w:pPr>
            <w:r>
              <w:rPr>
                <w:rFonts w:ascii="宋体" w:hAnsi="宋体" w:eastAsia="宋体" w:cs="宋体"/>
                <w:sz w:val="18"/>
                <w:szCs w:val="18"/>
                <w:highlight w:val="none"/>
              </w:rPr>
              <w:t>-30.86%</w:t>
            </w:r>
          </w:p>
        </w:tc>
        <w:tc>
          <w:tcPr>
            <w:tcW w:w="29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highlight w:val="none"/>
              </w:rPr>
            </w:pPr>
            <w:r>
              <w:rPr>
                <w:rFonts w:ascii="宋体" w:hAnsi="宋体" w:eastAsia="宋体" w:cs="宋体"/>
                <w:sz w:val="18"/>
                <w:szCs w:val="18"/>
                <w:highlight w:val="none"/>
              </w:rPr>
              <w:t>主要为本期合资公司亏损及</w:t>
            </w:r>
            <w:r>
              <w:rPr>
                <w:rFonts w:hint="eastAsia" w:ascii="宋体" w:hAnsi="宋体" w:eastAsia="宋体" w:cs="宋体"/>
                <w:sz w:val="18"/>
                <w:szCs w:val="18"/>
                <w:highlight w:val="none"/>
                <w:lang w:eastAsia="zh-CN"/>
              </w:rPr>
              <w:t>公司</w:t>
            </w:r>
            <w:r>
              <w:rPr>
                <w:rFonts w:ascii="宋体" w:hAnsi="宋体" w:eastAsia="宋体" w:cs="宋体"/>
                <w:sz w:val="18"/>
                <w:szCs w:val="18"/>
                <w:highlight w:val="none"/>
              </w:rPr>
              <w:t>战略投资</w:t>
            </w:r>
            <w:r>
              <w:rPr>
                <w:rFonts w:hint="eastAsia" w:ascii="宋体" w:hAnsi="宋体" w:eastAsia="宋体" w:cs="宋体"/>
                <w:sz w:val="18"/>
                <w:szCs w:val="18"/>
                <w:highlight w:val="none"/>
                <w:lang w:eastAsia="zh-CN"/>
              </w:rPr>
              <w:t>的</w:t>
            </w:r>
            <w:r>
              <w:rPr>
                <w:rFonts w:ascii="宋体" w:hAnsi="宋体" w:eastAsia="宋体" w:cs="宋体"/>
                <w:sz w:val="18"/>
                <w:szCs w:val="18"/>
                <w:highlight w:val="none"/>
              </w:rPr>
              <w:t>分红所致</w:t>
            </w:r>
          </w:p>
        </w:tc>
        <w:tc>
          <w:tcPr>
            <w:tcW w:w="13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-16,180.87</w:t>
            </w:r>
          </w:p>
        </w:tc>
        <w:tc>
          <w:tcPr>
            <w:tcW w:w="14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-0.21%</w:t>
            </w:r>
          </w:p>
        </w:tc>
        <w:tc>
          <w:tcPr>
            <w:tcW w:w="29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主要为本期计提合同资产减值准备所致</w:t>
            </w:r>
          </w:p>
        </w:tc>
        <w:tc>
          <w:tcPr>
            <w:tcW w:w="13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729,984.41</w:t>
            </w:r>
          </w:p>
        </w:tc>
        <w:tc>
          <w:tcPr>
            <w:tcW w:w="14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9.37%</w:t>
            </w:r>
          </w:p>
        </w:tc>
        <w:tc>
          <w:tcPr>
            <w:tcW w:w="29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主要为本期子公司长沙鑫航收到兴湘集团小巨人奖励款</w:t>
            </w:r>
          </w:p>
        </w:tc>
        <w:tc>
          <w:tcPr>
            <w:tcW w:w="13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营业外支出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17,314,288.60</w:t>
            </w:r>
          </w:p>
        </w:tc>
        <w:tc>
          <w:tcPr>
            <w:tcW w:w="14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222.26%</w:t>
            </w:r>
          </w:p>
        </w:tc>
        <w:tc>
          <w:tcPr>
            <w:tcW w:w="29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主要为本期子公司长沙鑫航原研保项目补助资金依据政策要求转为国有资本金的形式资本金注入，2023年度前累计计入其他收益部分转为计入营业外支出所致。</w:t>
            </w:r>
          </w:p>
        </w:tc>
        <w:tc>
          <w:tcPr>
            <w:tcW w:w="13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信用减值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2,425,128.78</w:t>
            </w:r>
          </w:p>
        </w:tc>
        <w:tc>
          <w:tcPr>
            <w:tcW w:w="14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31.13%</w:t>
            </w:r>
          </w:p>
        </w:tc>
        <w:tc>
          <w:tcPr>
            <w:tcW w:w="29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主要为本期冲回应收账款、应收票据坏账准备，及本期计提其他应款坏账准备所致。</w:t>
            </w:r>
          </w:p>
        </w:tc>
        <w:tc>
          <w:tcPr>
            <w:tcW w:w="13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bl>
    <w:p>
      <w:pPr>
        <w:spacing w:before="100" w:after="100" w:line="240" w:lineRule="exact"/>
        <w:jc w:val="left"/>
        <w:rPr>
          <w:rFonts w:hint="eastAsia" w:ascii="宋体" w:hAnsi="宋体" w:eastAsia="宋体" w:cs="宋体"/>
          <w:sz w:val="18"/>
          <w:szCs w:val="18"/>
          <w:lang w:eastAsia="zh-CN"/>
        </w:rPr>
      </w:pPr>
      <w:bookmarkStart w:id="18" w:name="_Toc988907"/>
      <w:r>
        <w:rPr>
          <w:rFonts w:hint="eastAsia" w:ascii="宋体" w:hAnsi="宋体" w:eastAsia="宋体" w:cs="宋体"/>
          <w:sz w:val="18"/>
          <w:szCs w:val="18"/>
          <w:lang w:eastAsia="zh-CN"/>
        </w:rPr>
        <w:t>注：投资收益中公司战略投资</w:t>
      </w:r>
      <w:r>
        <w:rPr>
          <w:rFonts w:hint="eastAsia" w:ascii="宋体" w:hAnsi="宋体" w:cs="宋体"/>
          <w:sz w:val="18"/>
          <w:szCs w:val="18"/>
          <w:lang w:eastAsia="zh-CN"/>
        </w:rPr>
        <w:t>的情况</w:t>
      </w:r>
      <w:r>
        <w:rPr>
          <w:rFonts w:hint="eastAsia" w:ascii="宋体" w:hAnsi="宋体" w:eastAsia="宋体" w:cs="宋体"/>
          <w:sz w:val="18"/>
          <w:szCs w:val="18"/>
          <w:lang w:eastAsia="zh-CN"/>
        </w:rPr>
        <w:t>可参见</w:t>
      </w:r>
      <w:r>
        <w:rPr>
          <w:rFonts w:hint="eastAsia" w:ascii="宋体" w:hAnsi="宋体" w:eastAsia="宋体" w:cs="宋体"/>
          <w:sz w:val="18"/>
          <w:szCs w:val="18"/>
          <w:lang w:val="en-US" w:eastAsia="zh-CN"/>
        </w:rPr>
        <w:t xml:space="preserve"> “第十节 财务报告 七、合并财务报表项目注释  11、其他权益工具投资”。</w:t>
      </w:r>
    </w:p>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五、资产及负债状况分析</w:t>
      </w:r>
      <w:bookmarkEnd w:id="18"/>
    </w:p>
    <w:p>
      <w:pPr>
        <w:keepNext/>
        <w:keepLines/>
        <w:spacing w:before="300" w:after="300" w:line="280" w:lineRule="exact"/>
        <w:jc w:val="left"/>
        <w:outlineLvl w:val="2"/>
        <w:rPr>
          <w:rFonts w:ascii="宋体" w:hAnsi="宋体" w:eastAsia="宋体" w:cs="宋体"/>
          <w:b/>
          <w:bCs/>
          <w:sz w:val="21"/>
          <w:szCs w:val="21"/>
        </w:rPr>
      </w:pPr>
      <w:bookmarkStart w:id="19" w:name="_Toc988908"/>
      <w:r>
        <w:rPr>
          <w:rFonts w:ascii="宋体" w:hAnsi="宋体" w:eastAsia="宋体" w:cs="宋体"/>
          <w:b/>
          <w:bCs/>
          <w:sz w:val="21"/>
          <w:szCs w:val="21"/>
        </w:rPr>
        <w:t>1、资产构成重大变动情况</w:t>
      </w:r>
      <w:bookmarkEnd w:id="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499"/>
        <w:gridCol w:w="900"/>
        <w:gridCol w:w="1515"/>
        <w:gridCol w:w="930"/>
        <w:gridCol w:w="1125"/>
        <w:gridCol w:w="2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39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44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上年末</w:t>
            </w:r>
          </w:p>
        </w:tc>
        <w:tc>
          <w:tcPr>
            <w:tcW w:w="112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比重增减</w:t>
            </w:r>
          </w:p>
        </w:tc>
        <w:tc>
          <w:tcPr>
            <w:tcW w:w="229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4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9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5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9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12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29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4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471,343,308.79</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16.64%</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512,127,325.16</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17.91%</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w:t>
            </w:r>
          </w:p>
        </w:tc>
        <w:tc>
          <w:tcPr>
            <w:tcW w:w="22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4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304,503,038.18</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10.75%</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298,416,660.42</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10.44%</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22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合同资产</w:t>
            </w:r>
          </w:p>
        </w:tc>
        <w:tc>
          <w:tcPr>
            <w:tcW w:w="14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2,260,569.78</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0.08%</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2,353,671.63</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0.08%</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2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14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592,470,858.52</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20.92%</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544,930,137.33</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19.06%</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w:t>
            </w:r>
          </w:p>
        </w:tc>
        <w:tc>
          <w:tcPr>
            <w:tcW w:w="22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长期股权投资</w:t>
            </w:r>
          </w:p>
        </w:tc>
        <w:tc>
          <w:tcPr>
            <w:tcW w:w="14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10,669,286.20</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0.38%</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0.52%</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-0.14%</w:t>
            </w:r>
          </w:p>
        </w:tc>
        <w:tc>
          <w:tcPr>
            <w:tcW w:w="22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比年初减少28.44%，主要为本期合资公司亏损所致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14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909,234,177.12</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32.10%</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711,815,784.08</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24.90%</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w:t>
            </w:r>
          </w:p>
        </w:tc>
        <w:tc>
          <w:tcPr>
            <w:tcW w:w="22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比年初增加27.73%，主要为子公司博云东方麓谷基地产业化项目转固所致。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14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9,424,903.89</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0.33%</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183,036,596.42</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-6.07%</w:t>
            </w:r>
          </w:p>
        </w:tc>
        <w:tc>
          <w:tcPr>
            <w:tcW w:w="22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比年初下降94.85%，主要为子公司博云东方麓谷基地产业化项目转固所致。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短期借款</w:t>
            </w:r>
          </w:p>
        </w:tc>
        <w:tc>
          <w:tcPr>
            <w:tcW w:w="14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205,000,000.00</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230,175,000.00</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-0.81%</w:t>
            </w:r>
          </w:p>
        </w:tc>
        <w:tc>
          <w:tcPr>
            <w:tcW w:w="22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合同负债</w:t>
            </w:r>
          </w:p>
        </w:tc>
        <w:tc>
          <w:tcPr>
            <w:tcW w:w="14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12,905,699.44</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0.46%</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12,716,588.45</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w:t>
            </w:r>
          </w:p>
        </w:tc>
        <w:tc>
          <w:tcPr>
            <w:tcW w:w="22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bl>
    <w:p>
      <w:pPr>
        <w:keepNext/>
        <w:keepLines/>
        <w:spacing w:before="300" w:after="300" w:line="280" w:lineRule="exact"/>
        <w:jc w:val="left"/>
        <w:outlineLvl w:val="2"/>
        <w:rPr>
          <w:rFonts w:ascii="宋体" w:hAnsi="宋体" w:eastAsia="宋体" w:cs="宋体"/>
          <w:b/>
          <w:bCs/>
          <w:sz w:val="21"/>
          <w:szCs w:val="21"/>
        </w:rPr>
      </w:pPr>
      <w:bookmarkStart w:id="20" w:name="_Toc988909"/>
      <w:r>
        <w:rPr>
          <w:rFonts w:ascii="宋体" w:hAnsi="宋体" w:eastAsia="宋体" w:cs="宋体"/>
          <w:b/>
          <w:bCs/>
          <w:sz w:val="21"/>
          <w:szCs w:val="21"/>
        </w:rPr>
        <w:t>2、主要境外资产情况</w:t>
      </w:r>
      <w:bookmarkEnd w:id="2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1" w:name="_Toc988910"/>
      <w:r>
        <w:rPr>
          <w:rFonts w:ascii="宋体" w:hAnsi="宋体" w:eastAsia="宋体" w:cs="宋体"/>
          <w:b/>
          <w:bCs/>
          <w:sz w:val="21"/>
          <w:szCs w:val="21"/>
        </w:rPr>
        <w:t>3、以公允价值计量的资产和负债</w:t>
      </w:r>
      <w:bookmarkEnd w:id="2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金融资产</w:t>
            </w:r>
          </w:p>
        </w:tc>
        <w:tc>
          <w:tcPr>
            <w:tcW w:w="8568"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4.其他权益工具投资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105,034,123.55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9,099,722.00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95,934,401.55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应收款项融资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14,258,718.27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49,149,051.20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55,529,304.45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7,878,465.02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119,292,841.82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49,149,051.20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55,529,304.45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9,099,722.00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103,812,866.57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其他变动的内容</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textAlignment w:val="auto"/>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报告期内公司主要资产计量属性是否发生重大变化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2"/>
        <w:rPr>
          <w:rFonts w:ascii="宋体" w:hAnsi="宋体" w:eastAsia="宋体" w:cs="宋体"/>
          <w:b/>
          <w:bCs/>
          <w:sz w:val="21"/>
          <w:szCs w:val="21"/>
        </w:rPr>
      </w:pPr>
      <w:bookmarkStart w:id="22" w:name="_Toc988911"/>
      <w:r>
        <w:rPr>
          <w:rFonts w:ascii="宋体" w:hAnsi="宋体" w:eastAsia="宋体" w:cs="宋体"/>
          <w:b/>
          <w:bCs/>
          <w:sz w:val="21"/>
          <w:szCs w:val="21"/>
        </w:rPr>
        <w:t>4、截至报告期末的资产权利受限情况</w:t>
      </w:r>
      <w:bookmarkEnd w:id="22"/>
    </w:p>
    <w:p>
      <w:pPr>
        <w:pStyle w:val="2"/>
        <w:keepNext w:val="0"/>
        <w:keepLines w:val="0"/>
        <w:widowControl/>
        <w:suppressLineNumbers w:val="0"/>
      </w:pPr>
      <w:r>
        <w:rPr>
          <w:rFonts w:hint="eastAsia" w:ascii="宋体" w:hAnsi="宋体" w:eastAsia="宋体" w:cs="宋体"/>
          <w:sz w:val="18"/>
          <w:szCs w:val="18"/>
        </w:rPr>
        <w:t>详见第十节“财务报告”中七、合并财务报表注释“第20点”所有权或使用权受到限制的资产</w:t>
      </w:r>
    </w:p>
    <w:p>
      <w:pPr>
        <w:keepNext/>
        <w:keepLines/>
        <w:spacing w:before="300" w:after="300" w:line="320" w:lineRule="exact"/>
        <w:jc w:val="left"/>
        <w:outlineLvl w:val="1"/>
        <w:rPr>
          <w:rFonts w:ascii="宋体" w:hAnsi="宋体" w:eastAsia="宋体" w:cs="宋体"/>
          <w:b/>
          <w:bCs/>
          <w:sz w:val="24"/>
          <w:szCs w:val="24"/>
        </w:rPr>
      </w:pPr>
      <w:bookmarkStart w:id="23" w:name="_Toc988912"/>
      <w:r>
        <w:rPr>
          <w:rFonts w:ascii="宋体" w:hAnsi="宋体" w:eastAsia="宋体" w:cs="宋体"/>
          <w:b/>
          <w:bCs/>
          <w:sz w:val="24"/>
          <w:szCs w:val="24"/>
        </w:rPr>
        <w:t>六、投资状况分析</w:t>
      </w:r>
      <w:bookmarkEnd w:id="23"/>
    </w:p>
    <w:p>
      <w:pPr>
        <w:keepNext/>
        <w:keepLines/>
        <w:spacing w:before="300" w:after="300" w:line="280" w:lineRule="exact"/>
        <w:jc w:val="left"/>
        <w:outlineLvl w:val="2"/>
        <w:rPr>
          <w:rFonts w:ascii="宋体" w:hAnsi="宋体" w:eastAsia="宋体" w:cs="宋体"/>
          <w:b/>
          <w:bCs/>
          <w:sz w:val="21"/>
          <w:szCs w:val="21"/>
        </w:rPr>
      </w:pPr>
      <w:bookmarkStart w:id="24" w:name="_Toc988913"/>
      <w:r>
        <w:rPr>
          <w:rFonts w:ascii="宋体" w:hAnsi="宋体" w:eastAsia="宋体" w:cs="宋体"/>
          <w:b/>
          <w:bCs/>
          <w:sz w:val="21"/>
          <w:szCs w:val="21"/>
        </w:rPr>
        <w:t>1、总体情况</w:t>
      </w:r>
      <w:bookmarkEnd w:id="2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5" w:name="_Toc988914"/>
      <w:r>
        <w:rPr>
          <w:rFonts w:ascii="宋体" w:hAnsi="宋体" w:eastAsia="宋体" w:cs="宋体"/>
          <w:b/>
          <w:bCs/>
          <w:sz w:val="21"/>
          <w:szCs w:val="21"/>
        </w:rPr>
        <w:t>2、报告期内获取的重大的股权投资情况</w:t>
      </w:r>
      <w:bookmarkEnd w:id="25"/>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6" w:name="_Toc988915"/>
      <w:r>
        <w:rPr>
          <w:rFonts w:ascii="宋体" w:hAnsi="宋体" w:eastAsia="宋体" w:cs="宋体"/>
          <w:b/>
          <w:bCs/>
          <w:sz w:val="21"/>
          <w:szCs w:val="21"/>
        </w:rPr>
        <w:t>3、报告期内正在进行的重大的非股权投资情况</w:t>
      </w:r>
      <w:bookmarkEnd w:id="2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7" w:name="_Toc988916"/>
      <w:r>
        <w:rPr>
          <w:rFonts w:ascii="宋体" w:hAnsi="宋体" w:eastAsia="宋体" w:cs="宋体"/>
          <w:b/>
          <w:bCs/>
          <w:sz w:val="21"/>
          <w:szCs w:val="21"/>
        </w:rPr>
        <w:t>4、金融资产投资</w:t>
      </w:r>
      <w:bookmarkEnd w:id="27"/>
    </w:p>
    <w:p>
      <w:pPr>
        <w:keepNext/>
        <w:keepLines/>
        <w:spacing w:before="300" w:after="300" w:line="280" w:lineRule="exact"/>
        <w:jc w:val="left"/>
        <w:outlineLvl w:val="3"/>
        <w:rPr>
          <w:rFonts w:ascii="宋体" w:hAnsi="宋体" w:eastAsia="宋体" w:cs="宋体"/>
          <w:b/>
          <w:bCs/>
          <w:sz w:val="18"/>
          <w:szCs w:val="18"/>
        </w:rPr>
      </w:pPr>
      <w:bookmarkStart w:id="28" w:name="_Toc988917"/>
      <w:r>
        <w:rPr>
          <w:rFonts w:ascii="宋体" w:hAnsi="宋体" w:eastAsia="宋体" w:cs="宋体"/>
          <w:b/>
          <w:bCs/>
          <w:sz w:val="18"/>
          <w:szCs w:val="18"/>
        </w:rPr>
        <w:t>（1） 证券投资情况</w:t>
      </w:r>
      <w:bookmarkEnd w:id="2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公司报告期不存在证券投资。</w:t>
      </w:r>
    </w:p>
    <w:p>
      <w:pPr>
        <w:keepNext/>
        <w:keepLines/>
        <w:spacing w:before="300" w:after="300" w:line="280" w:lineRule="exact"/>
        <w:jc w:val="left"/>
        <w:outlineLvl w:val="3"/>
        <w:rPr>
          <w:rFonts w:ascii="宋体" w:hAnsi="宋体" w:eastAsia="宋体" w:cs="宋体"/>
          <w:b/>
          <w:bCs/>
          <w:sz w:val="18"/>
          <w:szCs w:val="18"/>
        </w:rPr>
      </w:pPr>
      <w:bookmarkStart w:id="29" w:name="_Toc988918"/>
      <w:r>
        <w:rPr>
          <w:rFonts w:ascii="宋体" w:hAnsi="宋体" w:eastAsia="宋体" w:cs="宋体"/>
          <w:b/>
          <w:bCs/>
          <w:sz w:val="18"/>
          <w:szCs w:val="18"/>
        </w:rPr>
        <w:t>（2） 衍生品投资情况</w:t>
      </w:r>
      <w:bookmarkEnd w:id="2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公司报告期不存在衍生品投资。</w:t>
      </w:r>
    </w:p>
    <w:p>
      <w:pPr>
        <w:keepNext/>
        <w:keepLines/>
        <w:spacing w:before="300" w:after="300" w:line="280" w:lineRule="exact"/>
        <w:jc w:val="left"/>
        <w:outlineLvl w:val="2"/>
        <w:rPr>
          <w:rFonts w:ascii="宋体" w:hAnsi="宋体" w:eastAsia="宋体" w:cs="宋体"/>
          <w:b/>
          <w:bCs/>
          <w:sz w:val="21"/>
          <w:szCs w:val="21"/>
        </w:rPr>
      </w:pPr>
      <w:bookmarkStart w:id="30" w:name="_Toc988919"/>
      <w:r>
        <w:rPr>
          <w:rFonts w:ascii="宋体" w:hAnsi="宋体" w:eastAsia="宋体" w:cs="宋体"/>
          <w:b/>
          <w:bCs/>
          <w:sz w:val="21"/>
          <w:szCs w:val="21"/>
        </w:rPr>
        <w:t>5、募集资金使用情况</w:t>
      </w:r>
      <w:bookmarkEnd w:id="30"/>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keepNext/>
        <w:keepLines/>
        <w:spacing w:before="300" w:after="300" w:line="280" w:lineRule="exact"/>
        <w:jc w:val="left"/>
        <w:outlineLvl w:val="3"/>
        <w:rPr>
          <w:rFonts w:ascii="宋体" w:hAnsi="宋体" w:eastAsia="宋体" w:cs="宋体"/>
          <w:b/>
          <w:bCs/>
          <w:sz w:val="18"/>
          <w:szCs w:val="18"/>
        </w:rPr>
      </w:pPr>
      <w:bookmarkStart w:id="31" w:name="_Toc988920"/>
      <w:r>
        <w:rPr>
          <w:rFonts w:ascii="宋体" w:hAnsi="宋体" w:eastAsia="宋体" w:cs="宋体"/>
          <w:b/>
          <w:bCs/>
          <w:sz w:val="18"/>
          <w:szCs w:val="18"/>
        </w:rPr>
        <w:t>（1） 募集资金总体使用情况</w:t>
      </w:r>
      <w:bookmarkEnd w:id="3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募集年份</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募集方式</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募集资金总额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募集资金净额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本期已使用募集资金总额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已累计使用募集资金总额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报告期内变更用途的募集资金总额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累计变更用途的募集资金总额比例</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尚未使用募集资金总额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尚未使用募集资金用途及去向</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闲置两年以上募集资金金额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非公开发行</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2,391.04</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50,116.01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w:t>
            </w:r>
            <w:r>
              <w:rPr>
                <w:rFonts w:hint="eastAsia" w:ascii="宋体" w:hAnsi="宋体" w:cs="宋体"/>
                <w:sz w:val="18"/>
                <w:szCs w:val="18"/>
                <w:lang w:val="en-US" w:eastAsia="zh-CN"/>
              </w:rPr>
              <w:t>6</w:t>
            </w:r>
            <w:r>
              <w:rPr>
                <w:rFonts w:ascii="宋体" w:hAnsi="宋体" w:eastAsia="宋体" w:cs="宋体"/>
                <w:sz w:val="18"/>
                <w:szCs w:val="18"/>
              </w:rPr>
              <w:t>.68</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w:t>
            </w:r>
            <w:r>
              <w:rPr>
                <w:rFonts w:hint="eastAsia" w:ascii="宋体" w:hAnsi="宋体" w:cs="宋体"/>
                <w:sz w:val="18"/>
                <w:szCs w:val="18"/>
                <w:lang w:val="en-US" w:eastAsia="zh-CN"/>
              </w:rPr>
              <w:t>7</w:t>
            </w: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13,044.89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募集资金专户存放</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2,391.04</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50,116.01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w:t>
            </w:r>
            <w:r>
              <w:rPr>
                <w:rFonts w:hint="eastAsia" w:ascii="宋体" w:hAnsi="宋体" w:cs="宋体"/>
                <w:sz w:val="18"/>
                <w:szCs w:val="18"/>
                <w:lang w:val="en-US" w:eastAsia="zh-CN"/>
              </w:rPr>
              <w:t>6</w:t>
            </w:r>
            <w:r>
              <w:rPr>
                <w:rFonts w:ascii="宋体" w:hAnsi="宋体" w:eastAsia="宋体" w:cs="宋体"/>
                <w:sz w:val="18"/>
                <w:szCs w:val="18"/>
              </w:rPr>
              <w:t>.68</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w:t>
            </w:r>
            <w:r>
              <w:rPr>
                <w:rFonts w:hint="eastAsia" w:ascii="宋体" w:hAnsi="宋体" w:cs="宋体"/>
                <w:sz w:val="18"/>
                <w:szCs w:val="18"/>
                <w:lang w:val="en-US" w:eastAsia="zh-CN"/>
              </w:rPr>
              <w:t>7</w:t>
            </w: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13,044.89</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募集资金总体使用情况说明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本次非公开发行股票募集资金总额为人民币63,109.66万元，扣除与本次发行有关的费用人民币493.68万元（不含增值税），实际募集资金净额为人民币62,615.98万元。截至2024年6月30日，公司累计使用募集资金金额人民币50,116.01万元，募集资金专用账户存放余额为3,044.89万元，暂时补充流动资金10,000.00万元。与实际募集资金净额余额人民币62,615.98万元的差异金额为人民币544.92万元，该544.92万元差异系募集资金累计利息收入扣除银行手续费支出后的净额。</w:t>
            </w:r>
          </w:p>
        </w:tc>
      </w:tr>
    </w:tbl>
    <w:p>
      <w:pPr>
        <w:keepNext/>
        <w:keepLines/>
        <w:spacing w:before="300" w:after="300" w:line="280" w:lineRule="exact"/>
        <w:jc w:val="left"/>
        <w:outlineLvl w:val="3"/>
        <w:rPr>
          <w:rFonts w:ascii="宋体" w:hAnsi="宋体" w:eastAsia="宋体" w:cs="宋体"/>
          <w:b/>
          <w:bCs/>
          <w:sz w:val="18"/>
          <w:szCs w:val="18"/>
        </w:rPr>
      </w:pPr>
      <w:bookmarkStart w:id="32" w:name="_Toc988921"/>
      <w:r>
        <w:rPr>
          <w:rFonts w:ascii="宋体" w:hAnsi="宋体" w:eastAsia="宋体" w:cs="宋体"/>
          <w:b/>
          <w:bCs/>
          <w:sz w:val="18"/>
          <w:szCs w:val="18"/>
        </w:rPr>
        <w:t>（2） 募集资金承诺项目情况</w:t>
      </w:r>
      <w:bookmarkEnd w:id="32"/>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39"/>
        <w:gridCol w:w="840"/>
        <w:gridCol w:w="840"/>
        <w:gridCol w:w="825"/>
        <w:gridCol w:w="795"/>
        <w:gridCol w:w="855"/>
        <w:gridCol w:w="915"/>
        <w:gridCol w:w="840"/>
        <w:gridCol w:w="660"/>
        <w:gridCol w:w="751"/>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bookmarkStart w:id="33" w:name="_Toc988922"/>
            <w:r>
              <w:rPr>
                <w:rFonts w:ascii="宋体" w:hAnsi="宋体" w:eastAsia="宋体" w:cs="宋体"/>
                <w:sz w:val="18"/>
                <w:szCs w:val="18"/>
              </w:rPr>
              <w:t>承诺投资项目和超募资金投向</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是否已变更项目(含部分变更)</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募集资金承诺投资总额</w:t>
            </w:r>
          </w:p>
        </w:tc>
        <w:tc>
          <w:tcPr>
            <w:tcW w:w="8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调整后投资总额(1)</w:t>
            </w:r>
          </w:p>
        </w:tc>
        <w:tc>
          <w:tcPr>
            <w:tcW w:w="7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本报告期投入金额</w:t>
            </w: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截至期末累计投入金额(2)</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截至期末投资进度(3)＝(2)/(1)</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项目达到预定可使用状态日期</w:t>
            </w:r>
          </w:p>
        </w:tc>
        <w:tc>
          <w:tcPr>
            <w:tcW w:w="6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本报告期实现的效益</w:t>
            </w:r>
          </w:p>
        </w:tc>
        <w:tc>
          <w:tcPr>
            <w:tcW w:w="7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是否达到预计效益</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项目可行性是否发生重大变化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承诺投资项目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高效精密硬质合金工模具与高强韧性特粗晶硬质合金掘进刀具麓谷基地产业化项目</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w:t>
            </w: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w:t>
            </w:r>
          </w:p>
        </w:tc>
        <w:tc>
          <w:tcPr>
            <w:tcW w:w="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2,391.04</w:t>
            </w: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43,543.11</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77.60%</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2024年12月31日</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eastAsia" w:ascii="宋体" w:hAnsi="宋体" w:eastAsia="宋体" w:cs="宋体"/>
                <w:sz w:val="18"/>
                <w:szCs w:val="18"/>
                <w:lang w:val="en-US" w:eastAsia="zh-CN"/>
              </w:rPr>
            </w:pPr>
            <w:r>
              <w:rPr>
                <w:rFonts w:ascii="宋体" w:hAnsi="宋体" w:eastAsia="宋体" w:cs="宋体"/>
                <w:sz w:val="18"/>
                <w:szCs w:val="18"/>
              </w:rPr>
              <w:t>不适用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补充流动资金</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7,000</w:t>
            </w: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6,506.32</w:t>
            </w:r>
          </w:p>
        </w:tc>
        <w:tc>
          <w:tcPr>
            <w:tcW w:w="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6,572.9</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101.02%</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承诺投资项目小计</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2,391.04</w:t>
            </w: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50,116.01</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超募资金投向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2,391.04</w:t>
            </w: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50,116.01</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分项目说明未达到计划进度、预计收益的情况和原因（含“是否达到预计效益”选择“不适用”的原因）</w:t>
            </w: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hint="eastAsia" w:ascii="宋体" w:hAnsi="宋体" w:cs="宋体"/>
                <w:sz w:val="18"/>
                <w:szCs w:val="18"/>
                <w:lang w:eastAsia="zh-CN"/>
              </w:rPr>
              <w:t>“高</w:t>
            </w:r>
            <w:r>
              <w:rPr>
                <w:rFonts w:ascii="宋体" w:hAnsi="宋体" w:eastAsia="宋体" w:cs="宋体"/>
                <w:sz w:val="18"/>
                <w:szCs w:val="18"/>
              </w:rPr>
              <w:t>效精密硬质合金工模具与高强韧性特粗晶硬质合金掘进刀具麓谷基地产业化项目</w:t>
            </w:r>
            <w:r>
              <w:rPr>
                <w:rFonts w:hint="eastAsia" w:ascii="宋体" w:hAnsi="宋体" w:cs="宋体"/>
                <w:sz w:val="18"/>
                <w:szCs w:val="18"/>
                <w:lang w:eastAsia="zh-CN"/>
              </w:rPr>
              <w:t>”</w:t>
            </w:r>
            <w:r>
              <w:rPr>
                <w:rFonts w:hint="eastAsia" w:ascii="宋体" w:hAnsi="宋体" w:eastAsia="宋体" w:cs="宋体"/>
                <w:i w:val="0"/>
                <w:iCs w:val="0"/>
                <w:color w:val="000000"/>
                <w:kern w:val="0"/>
                <w:sz w:val="18"/>
                <w:szCs w:val="18"/>
                <w:u w:val="none"/>
                <w:lang w:val="en-US" w:eastAsia="zh-CN" w:bidi="ar"/>
              </w:rPr>
              <w:t>2024年上半年完成厂房搬迁，处于试产阶段</w:t>
            </w:r>
            <w:r>
              <w:rPr>
                <w:rFonts w:hint="eastAsia" w:ascii="宋体" w:hAnsi="宋体" w:cs="宋体"/>
                <w:i w:val="0"/>
                <w:iCs w:val="0"/>
                <w:color w:val="000000"/>
                <w:kern w:val="0"/>
                <w:sz w:val="18"/>
                <w:szCs w:val="18"/>
                <w:u w:val="none"/>
                <w:lang w:val="en-US" w:eastAsia="zh-CN"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项目可行性发生重大变化的情况说明</w:t>
            </w: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超募资金的金额、用途及使用进展情况</w:t>
            </w: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募集资金投资项目实施地点变更情况</w:t>
            </w: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募集资金投资项目实施方式调整情况</w:t>
            </w: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以前年度发生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鉴于高端硬质合金棒材市场整体处于供销两旺的状态，且公司在高端硬质合金材料产品的市场及技术基础较整体刀具而言更好。为响应市场变化，并基于公司在相关产品领域目前所具备的现实竞争力情况，公司拟对“高效精密硬质合金工模具与高强韧性特粗晶硬质合金掘进刀具麓谷基地产业化项目”（简称“麓谷基地产业化项目”）部分实施内容进行调整。调整内容主要为：新增年产430吨硬质合金棒材，取消年产30万支整体刀具项目，将原用于刀具项目的设备投资款改用于购置新增年产430吨棒材所需设备。除此之外，募投项目整体保持不变。2022年1月24日，公司第六届董事会第二十三次会议审议并通过了《湖南博云新材料股份有限公司关于调整募集资金投资项目部分实施内容的议案》，同意对麓谷基地产业化项目部分实施内容进行调整，独立董事发表了明确同意意见。同日，上述议案亦经公司第六届监事会第十五次会议审议通过。保荐机构招商证券出具了对上述事项无异议的核查意见，公司履行了相应公告程序。2022年2月10日，公司2022年第一次临时股东大会审议通过该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募集资金投资项目先期投入及置换情况</w:t>
            </w: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天职国际会计师事务所（特殊普通合伙）于2021年8月6日出具了“天职业字〔2021〕35872号”《关于湖南博云新材料股份有限公司以募集资金置换预先投入募投项目及已支付发行费用的自筹资金的专项鉴证报告》，截至2021年8月5日，公司预先投入募集资金投资项目及以自筹资金支付的发行费用合计为人民币15,641.29万元。公司于2021年8月18日召开了第六届董事会第十九次会议，审议并通过了《关于以募集资金置换预先投入募投项目及已支付发行费用的自筹资金的议案》，同意公司使用募集资金置换预先投入募投项目及已支付发行费用的自筹资金15,641.29万元。针对上述事项，监事会与独立董事发表了同意意见，招商证券股份有限公司出具了无异议的核查意见，公司履行了相应公告程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用闲置募集资金暂时补充流动资金情况</w:t>
            </w: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8月18日，公司第六届董事会第十九次会议审议通过了《湖南博云新材料股份有限公司关于使用部分闲置募集资金暂时补充流动资金的议案》，同意公司及子公司使用不超过15,000.00万元的部分闲置募集资金暂时补充流动资金，使用期限自公司董事会审议通过之日起不超过12个月。针对上述事项，监事会与独立董事发表了同意意见，保荐机构招商证券出具了无异议的核查意见，公司履行了相应公告程序。</w:t>
            </w:r>
          </w:p>
          <w:p>
            <w:pPr>
              <w:spacing w:before="0" w:after="0" w:line="240" w:lineRule="exact"/>
              <w:jc w:val="left"/>
              <w:rPr>
                <w:rFonts w:ascii="宋体" w:hAnsi="宋体" w:eastAsia="宋体" w:cs="宋体"/>
                <w:sz w:val="18"/>
                <w:szCs w:val="18"/>
              </w:rPr>
            </w:pPr>
            <w:r>
              <w:rPr>
                <w:rFonts w:ascii="宋体" w:hAnsi="宋体" w:eastAsia="宋体" w:cs="宋体"/>
                <w:sz w:val="18"/>
                <w:szCs w:val="18"/>
              </w:rPr>
              <w:t>2022年8月15日公司已将上述用于暂时补充流动资金的募集资金人民币15,000万元全部归还并转入公司募集资金专用账户。</w:t>
            </w:r>
          </w:p>
          <w:p>
            <w:pPr>
              <w:spacing w:before="0" w:after="0" w:line="240" w:lineRule="exact"/>
              <w:jc w:val="left"/>
              <w:rPr>
                <w:rFonts w:ascii="宋体" w:hAnsi="宋体" w:eastAsia="宋体" w:cs="宋体"/>
                <w:sz w:val="18"/>
                <w:szCs w:val="18"/>
              </w:rPr>
            </w:pPr>
            <w:r>
              <w:rPr>
                <w:rFonts w:ascii="宋体" w:hAnsi="宋体" w:eastAsia="宋体" w:cs="宋体"/>
                <w:sz w:val="18"/>
                <w:szCs w:val="18"/>
              </w:rPr>
              <w:t>2022年8月19日公司第六届董事会第二十七次会议审议通过了《湖南博云新材料股份有限公司关于使用部分闲置募集资金暂时补充流动资金的议案》，同意公司及子公司使用不超过15,000.00万元的部分闲置募集资金暂时补充流动资金，使用期限自公司董事会审议通过之日起不超过12个月。针对上述事项，监事会与独立董事发表了同意意见，保荐机构招商证券出具了无异议的核查意见，公司履行了相应公告程序。</w:t>
            </w:r>
          </w:p>
          <w:p>
            <w:pPr>
              <w:spacing w:before="0" w:after="0" w:line="240" w:lineRule="exact"/>
              <w:jc w:val="left"/>
              <w:rPr>
                <w:rFonts w:ascii="宋体" w:hAnsi="宋体" w:eastAsia="宋体" w:cs="宋体"/>
                <w:sz w:val="18"/>
                <w:szCs w:val="18"/>
              </w:rPr>
            </w:pPr>
            <w:r>
              <w:rPr>
                <w:rFonts w:ascii="宋体" w:hAnsi="宋体" w:eastAsia="宋体" w:cs="宋体"/>
                <w:sz w:val="18"/>
                <w:szCs w:val="18"/>
              </w:rPr>
              <w:t>2023年8月17日公司已将上述用于暂时补充流动资金的募集资金人民币15,000.00万元全部归还并转入公司募集资金专用账户。</w:t>
            </w:r>
          </w:p>
          <w:p>
            <w:pPr>
              <w:spacing w:before="0" w:after="0" w:line="240" w:lineRule="exact"/>
              <w:jc w:val="left"/>
              <w:rPr>
                <w:rFonts w:ascii="宋体" w:hAnsi="宋体" w:eastAsia="宋体" w:cs="宋体"/>
                <w:sz w:val="18"/>
                <w:szCs w:val="18"/>
              </w:rPr>
            </w:pPr>
            <w:r>
              <w:rPr>
                <w:rFonts w:ascii="宋体" w:hAnsi="宋体" w:eastAsia="宋体" w:cs="宋体"/>
                <w:sz w:val="18"/>
                <w:szCs w:val="18"/>
              </w:rPr>
              <w:t>2023年8月29日公司第七届董事会第七次会议审议通过了《湖南博云新材料股份有限公司关于使用部分闲置募集资金暂时补充流动资金的议案》，同意公司及子公司使用不超过10,000.00万元的部分闲置募集资金暂时补充流动资金，使用期限自公司董事会审议通过之日起不超过12个月。针对上述事项，监事会与独立董事发表了同意意见，保荐机构招商证券出具了无异议的核查意见，公司履行了相应公告程序。截至2024年6月30日，公司使用闲置募集资金暂时补充流动资金的金额为10,000.00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项目实施出现募集资金结余的金额及原因</w:t>
            </w: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尚未使用的募集资金用途及去向</w:t>
            </w: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截至2024年6月30日，公司累计使用募集资金金额人民币50,116.01万元，募集资金专用账户存放余额为3,044.89万元，暂时补充流动资金10,000.00万元。与实际募集资金净额余额人民币62,615.98万元的差异金额为人民币544.92万元，该544.92万元差异系募集资金累计利息收入扣除银行手续费支出后的净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7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募集资金使用及披露中存在的问题或其他情况</w:t>
            </w:r>
          </w:p>
        </w:tc>
        <w:tc>
          <w:tcPr>
            <w:tcW w:w="7357"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280" w:lineRule="exact"/>
        <w:jc w:val="left"/>
        <w:outlineLvl w:val="3"/>
        <w:rPr>
          <w:rFonts w:ascii="宋体" w:hAnsi="宋体" w:eastAsia="宋体" w:cs="宋体"/>
          <w:b/>
          <w:bCs/>
          <w:sz w:val="18"/>
          <w:szCs w:val="18"/>
        </w:rPr>
      </w:pPr>
      <w:r>
        <w:rPr>
          <w:rFonts w:ascii="宋体" w:hAnsi="宋体" w:eastAsia="宋体" w:cs="宋体"/>
          <w:b/>
          <w:bCs/>
          <w:sz w:val="18"/>
          <w:szCs w:val="18"/>
        </w:rPr>
        <w:t>（3） 募集资金变更项目情况</w:t>
      </w:r>
      <w:bookmarkEnd w:id="3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公司报告期不存在募集资金变更项目情况。</w:t>
      </w:r>
    </w:p>
    <w:p>
      <w:pPr>
        <w:keepNext/>
        <w:keepLines/>
        <w:spacing w:before="300" w:after="300" w:line="320" w:lineRule="exact"/>
        <w:jc w:val="left"/>
        <w:outlineLvl w:val="1"/>
        <w:rPr>
          <w:rFonts w:ascii="宋体" w:hAnsi="宋体" w:eastAsia="宋体" w:cs="宋体"/>
          <w:b/>
          <w:bCs/>
          <w:sz w:val="24"/>
          <w:szCs w:val="24"/>
        </w:rPr>
      </w:pPr>
      <w:bookmarkStart w:id="34" w:name="_Toc988923"/>
      <w:r>
        <w:rPr>
          <w:rFonts w:ascii="宋体" w:hAnsi="宋体" w:eastAsia="宋体" w:cs="宋体"/>
          <w:b/>
          <w:bCs/>
          <w:sz w:val="24"/>
          <w:szCs w:val="24"/>
        </w:rPr>
        <w:t>七、重大资产和股权出售</w:t>
      </w:r>
      <w:bookmarkEnd w:id="34"/>
    </w:p>
    <w:p>
      <w:pPr>
        <w:keepNext/>
        <w:keepLines/>
        <w:spacing w:before="300" w:after="300" w:line="280" w:lineRule="exact"/>
        <w:jc w:val="left"/>
        <w:outlineLvl w:val="2"/>
        <w:rPr>
          <w:rFonts w:ascii="宋体" w:hAnsi="宋体" w:eastAsia="宋体" w:cs="宋体"/>
          <w:b/>
          <w:bCs/>
          <w:sz w:val="21"/>
          <w:szCs w:val="21"/>
        </w:rPr>
      </w:pPr>
      <w:bookmarkStart w:id="35" w:name="_Toc988924"/>
      <w:r>
        <w:rPr>
          <w:rFonts w:ascii="宋体" w:hAnsi="宋体" w:eastAsia="宋体" w:cs="宋体"/>
          <w:b/>
          <w:bCs/>
          <w:sz w:val="21"/>
          <w:szCs w:val="21"/>
        </w:rPr>
        <w:t>1、出售重大资产情况</w:t>
      </w:r>
      <w:bookmarkEnd w:id="35"/>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公司报告期未出售重大资产。</w:t>
      </w:r>
    </w:p>
    <w:p>
      <w:pPr>
        <w:keepNext/>
        <w:keepLines/>
        <w:spacing w:before="300" w:after="300" w:line="280" w:lineRule="exact"/>
        <w:jc w:val="left"/>
        <w:outlineLvl w:val="2"/>
        <w:rPr>
          <w:rFonts w:ascii="宋体" w:hAnsi="宋体" w:eastAsia="宋体" w:cs="宋体"/>
          <w:b/>
          <w:bCs/>
          <w:sz w:val="21"/>
          <w:szCs w:val="21"/>
        </w:rPr>
      </w:pPr>
      <w:bookmarkStart w:id="36" w:name="_Toc988925"/>
      <w:r>
        <w:rPr>
          <w:rFonts w:ascii="宋体" w:hAnsi="宋体" w:eastAsia="宋体" w:cs="宋体"/>
          <w:b/>
          <w:bCs/>
          <w:sz w:val="21"/>
          <w:szCs w:val="21"/>
        </w:rPr>
        <w:t>2、出售重大股权情况</w:t>
      </w:r>
      <w:bookmarkEnd w:id="36"/>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交易对方</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被出售股权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出售日</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交易价格（万元）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本期初起至出售日该股权为上市公司贡献的净利润（万元）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出售对公司的影响</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股权出售为上市公司贡献的净利润占净利润总额的比例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股权出售定价原则</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是否为关联交易</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与交易对方的关联关系</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所涉及的股权是否已全部过户</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是否按计划如期实施，如未按计划实施，应当说明原因及公司已采取的措施</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粉冶中心</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霍尼韦尔博云航空系统（湖南）有限公司（简称“合资公司”）31%的股权</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2021年12月28日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有助于降低博云新材的亏损额及对合资公司的资金持续投入压力，提升博云新材的竞争力。</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转让价格不得低于评估结果</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尚未完成工商登记变更</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2021年12月13日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巨潮资讯网上《关于拟转让参股公司部分股权暨关联交易的公告》（公告编号：2021-097）</w:t>
            </w:r>
          </w:p>
        </w:tc>
      </w:tr>
    </w:tbl>
    <w:p>
      <w:pPr>
        <w:keepNext/>
        <w:keepLines/>
        <w:spacing w:before="300" w:after="300" w:line="320" w:lineRule="exact"/>
        <w:jc w:val="left"/>
        <w:outlineLvl w:val="1"/>
        <w:rPr>
          <w:rFonts w:ascii="宋体" w:hAnsi="宋体" w:eastAsia="宋体" w:cs="宋体"/>
          <w:b/>
          <w:bCs/>
          <w:sz w:val="24"/>
          <w:szCs w:val="24"/>
        </w:rPr>
      </w:pPr>
      <w:bookmarkStart w:id="37" w:name="_Toc988926"/>
      <w:r>
        <w:rPr>
          <w:rFonts w:ascii="宋体" w:hAnsi="宋体" w:eastAsia="宋体" w:cs="宋体"/>
          <w:b/>
          <w:bCs/>
          <w:sz w:val="24"/>
          <w:szCs w:val="24"/>
        </w:rPr>
        <w:t>八、主要控股参股公司分析</w:t>
      </w:r>
      <w:bookmarkEnd w:id="37"/>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主要子公司及对公司净利润影响达10%以上的参股公司情况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10110" w:type="dxa"/>
        <w:tblInd w:w="-27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1"/>
        <w:gridCol w:w="633"/>
        <w:gridCol w:w="1170"/>
        <w:gridCol w:w="1005"/>
        <w:gridCol w:w="990"/>
        <w:gridCol w:w="1071"/>
        <w:gridCol w:w="1071"/>
        <w:gridCol w:w="1474"/>
        <w:gridCol w:w="14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63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公司类型</w:t>
            </w:r>
          </w:p>
        </w:tc>
        <w:tc>
          <w:tcPr>
            <w:tcW w:w="11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主要业务</w:t>
            </w:r>
          </w:p>
        </w:tc>
        <w:tc>
          <w:tcPr>
            <w:tcW w:w="10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9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47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营业利润</w:t>
            </w:r>
          </w:p>
        </w:tc>
        <w:tc>
          <w:tcPr>
            <w:tcW w:w="14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6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1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高性能硬质合金材料</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307,298,955.00</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1,227,167,766.04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777,196,702.46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174,058,320.55</w:t>
            </w:r>
          </w:p>
        </w:tc>
        <w:tc>
          <w:tcPr>
            <w:tcW w:w="14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right="-220" w:rightChars="-105" w:firstLine="0" w:firstLineChars="0"/>
              <w:jc w:val="center"/>
              <w:rPr>
                <w:rFonts w:ascii="宋体" w:hAnsi="宋体" w:eastAsia="宋体" w:cs="宋体"/>
                <w:sz w:val="18"/>
                <w:szCs w:val="18"/>
              </w:rPr>
            </w:pPr>
            <w:r>
              <w:rPr>
                <w:rFonts w:ascii="宋体" w:hAnsi="宋体" w:eastAsia="宋体" w:cs="宋体"/>
                <w:sz w:val="18"/>
                <w:szCs w:val="18"/>
              </w:rPr>
              <w:t>-10,176,787.95</w:t>
            </w:r>
          </w:p>
        </w:tc>
        <w:tc>
          <w:tcPr>
            <w:tcW w:w="1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-9,385,624.37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6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1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飞机机轮刹车系统及零部件</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377,000,000.00</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634,100,780.53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197,663,939.77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24,452,127.73</w:t>
            </w:r>
          </w:p>
        </w:tc>
        <w:tc>
          <w:tcPr>
            <w:tcW w:w="14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-7,753,214.33</w:t>
            </w:r>
          </w:p>
        </w:tc>
        <w:tc>
          <w:tcPr>
            <w:tcW w:w="1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-24,342,183.19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6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1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高新材料的生产、加工和销售</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60,000,000.00</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244,636,581.58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213,755,533.43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46,690,005.61</w:t>
            </w:r>
          </w:p>
        </w:tc>
        <w:tc>
          <w:tcPr>
            <w:tcW w:w="14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1,490,666.97</w:t>
            </w:r>
          </w:p>
        </w:tc>
        <w:tc>
          <w:tcPr>
            <w:tcW w:w="1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1,275,020.35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6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参股公司</w:t>
            </w:r>
          </w:p>
        </w:tc>
        <w:tc>
          <w:tcPr>
            <w:tcW w:w="11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飞机刹车、机轮及其相关结构件和控制系统</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9,800.00万美元</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264,627,772.26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25,607,638.27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4,940,291.81</w:t>
            </w:r>
          </w:p>
        </w:tc>
        <w:tc>
          <w:tcPr>
            <w:tcW w:w="14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-8,737,490.28</w:t>
            </w:r>
          </w:p>
        </w:tc>
        <w:tc>
          <w:tcPr>
            <w:tcW w:w="1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-8,655,364.32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报告期内取得和处置子公司的情况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主要控股参股公司情况说明</w:t>
      </w:r>
    </w:p>
    <w:p>
      <w:pPr>
        <w:keepNext/>
        <w:keepLines/>
        <w:spacing w:before="300" w:after="300" w:line="320" w:lineRule="exact"/>
        <w:jc w:val="left"/>
        <w:outlineLvl w:val="1"/>
        <w:rPr>
          <w:rFonts w:ascii="宋体" w:hAnsi="宋体" w:eastAsia="宋体" w:cs="宋体"/>
          <w:b/>
          <w:bCs/>
          <w:sz w:val="24"/>
          <w:szCs w:val="24"/>
        </w:rPr>
      </w:pPr>
      <w:bookmarkStart w:id="38" w:name="_Toc988927"/>
      <w:r>
        <w:rPr>
          <w:rFonts w:ascii="宋体" w:hAnsi="宋体" w:eastAsia="宋体" w:cs="宋体"/>
          <w:b/>
          <w:bCs/>
          <w:sz w:val="24"/>
          <w:szCs w:val="24"/>
        </w:rPr>
        <w:t>九、公司控制的结构化主体情况</w:t>
      </w:r>
      <w:bookmarkEnd w:id="3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39" w:name="_Toc988928"/>
      <w:r>
        <w:rPr>
          <w:rFonts w:ascii="宋体" w:hAnsi="宋体" w:eastAsia="宋体" w:cs="宋体"/>
          <w:b/>
          <w:bCs/>
          <w:sz w:val="24"/>
          <w:szCs w:val="24"/>
        </w:rPr>
        <w:t>十、公司面临的风险和应对措施</w:t>
      </w:r>
      <w:bookmarkEnd w:id="39"/>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Style w:val="5"/>
          <w:rFonts w:hint="default" w:ascii="Times New Roman" w:hAnsi="Times New Roman" w:eastAsia="宋体" w:cs="Times New Roman"/>
          <w:b/>
          <w:bCs/>
          <w:sz w:val="21"/>
          <w:szCs w:val="21"/>
        </w:rPr>
        <w:t>1</w:t>
      </w:r>
      <w:r>
        <w:rPr>
          <w:rStyle w:val="5"/>
          <w:rFonts w:hint="eastAsia" w:ascii="宋体" w:hAnsi="宋体" w:eastAsia="宋体" w:cs="宋体"/>
          <w:b/>
          <w:bCs/>
          <w:sz w:val="21"/>
          <w:szCs w:val="21"/>
        </w:rPr>
        <w:t>、经营管理风险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随着公司项目建设的推进，产能逐步增加，公司在战略规划、制度建设、组织设置、运营管理、资金管理和内部控制等方面将面临更大的挑战。尽管公司建立了相对规范的法人治理结构、质量管理体系，生产经营能保持有序运行，但存在现有管理体系不能完全适应公司发展的可能性，给企业的生产经营带来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对策：本公司根据战略规划，不断完善各项制度，建立有效的内部控制制度；制定科学的人力资源政策，加大对员工培训的力度；加强对资金的管理，拓宽融资的渠道；加强子公司业务管理，从而降低经营管理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Style w:val="5"/>
          <w:rFonts w:hint="default" w:ascii="Times New Roman" w:hAnsi="Times New Roman" w:eastAsia="宋体" w:cs="Times New Roman"/>
          <w:b/>
          <w:bCs/>
          <w:sz w:val="21"/>
          <w:szCs w:val="21"/>
        </w:rPr>
        <w:t>2</w:t>
      </w:r>
      <w:r>
        <w:rPr>
          <w:rStyle w:val="5"/>
          <w:rFonts w:hint="eastAsia" w:ascii="宋体" w:hAnsi="宋体" w:eastAsia="宋体" w:cs="宋体"/>
          <w:b/>
          <w:bCs/>
          <w:sz w:val="21"/>
          <w:szCs w:val="21"/>
        </w:rPr>
        <w:t>、存货较大的风险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产品的生产周期较长，客户要求的供货时间短，为满足客户需求，公司保持了较高的安全库存量。但是较高的安全库存量一方面占用公司大量的资金，造成资金短缺的风险；另一方面，一旦市场需求发生变化，或者客户订单达不到预期，大量的存货将会成为公司的负担，给公司的经营带来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对策：关注主要产品的市场发展趋势，与主要客户保持密切联系，增强对产品市场的预测能力，加强采购管理。加大产品研发力度，保持本公司产品在行业中的技术优势，优化产品结构，减少对少数主要客户的依赖程度，优化库存周转效率，同时关注主要产品的价格波动，降低存货发生损失的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Style w:val="5"/>
          <w:rFonts w:hint="default" w:ascii="Times New Roman" w:hAnsi="Times New Roman" w:eastAsia="宋体" w:cs="Times New Roman"/>
          <w:b/>
          <w:bCs/>
          <w:sz w:val="21"/>
          <w:szCs w:val="21"/>
        </w:rPr>
        <w:t>3</w:t>
      </w:r>
      <w:r>
        <w:rPr>
          <w:rStyle w:val="5"/>
          <w:rFonts w:hint="eastAsia" w:ascii="宋体" w:hAnsi="宋体" w:eastAsia="宋体" w:cs="宋体"/>
          <w:b/>
          <w:bCs/>
          <w:sz w:val="21"/>
          <w:szCs w:val="21"/>
        </w:rPr>
        <w:t>、人力资源风险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核心技术人员与营销管理人员是企业、品牌生存和发展的关键力量，也是获得持续竞争优势的基础。随着公司的新项目和新产品开发、生产、销售业务的增加，公司对专业技术人员的需求量持续增加，公司未来发展将面临一定的人力资源压力。同时，随着近年来我国劳动力成本逐年上升，也导致了公司经营成本的上升。如果公司不能完善各类激励机制，不断吸纳和培养适合公司发展所需的技术和管理人员，将可能导致公司存在一定的人才流失及人力成本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对策：继续完善薪酬制度，创造一个公平公正的职位晋升渠道，尽量让有能力的人能够发挥所长，获得适合的岗位和薪酬待遇，员工通过努力工作能够实现自身价值。</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Style w:val="5"/>
          <w:rFonts w:hint="default" w:ascii="Times New Roman" w:hAnsi="Times New Roman" w:eastAsia="宋体" w:cs="Times New Roman"/>
          <w:b/>
          <w:bCs/>
          <w:sz w:val="21"/>
          <w:szCs w:val="21"/>
        </w:rPr>
        <w:t>4</w:t>
      </w:r>
      <w:r>
        <w:rPr>
          <w:rStyle w:val="5"/>
          <w:rFonts w:hint="eastAsia" w:ascii="宋体" w:hAnsi="宋体" w:eastAsia="宋体" w:cs="宋体"/>
          <w:b/>
          <w:bCs/>
          <w:sz w:val="21"/>
          <w:szCs w:val="21"/>
        </w:rPr>
        <w:t>、市场开拓风险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在建及拟建设项目投产后公司产能将会大幅提升，需要公司加大市场拓展力度，以消化新增产能。如果未来行业内竞争加剧，或公司市场拓展不达预期，将会造成公司产销率、产能利用率下降，因而会对公司经营业绩提升产生不利影响。</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对策：公司将持续加强销售团队建设，加强营销模式与服务模式创新，提高销售人员业务能力；在稳固原有市场基础上，进一步开拓市场份额，提升综合竞争力。</w:t>
      </w:r>
    </w:p>
    <w:p>
      <w:pPr>
        <w:keepNext/>
        <w:keepLines/>
        <w:spacing w:before="300" w:after="300" w:line="320" w:lineRule="exact"/>
        <w:jc w:val="left"/>
        <w:outlineLvl w:val="1"/>
        <w:rPr>
          <w:rFonts w:ascii="宋体" w:hAnsi="宋体" w:eastAsia="宋体" w:cs="宋体"/>
          <w:b/>
          <w:bCs/>
          <w:sz w:val="24"/>
          <w:szCs w:val="24"/>
        </w:rPr>
      </w:pPr>
      <w:bookmarkStart w:id="40" w:name="_Toc988929"/>
      <w:r>
        <w:rPr>
          <w:rFonts w:ascii="宋体" w:hAnsi="宋体" w:eastAsia="宋体" w:cs="宋体"/>
          <w:b/>
          <w:bCs/>
          <w:sz w:val="24"/>
          <w:szCs w:val="24"/>
        </w:rPr>
        <w:t>十一、“质量回报双提升”行动方案贯彻落实情况</w:t>
      </w:r>
      <w:bookmarkEnd w:id="40"/>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公司是否披露了“质量回报双提升”行动方案公告。</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r>
        <w:br w:type="page"/>
      </w:r>
    </w:p>
    <w:p>
      <w:pPr>
        <w:keepNext/>
        <w:keepLines/>
        <w:spacing w:before="340" w:after="330" w:line="773" w:lineRule="exact"/>
        <w:jc w:val="center"/>
        <w:outlineLvl w:val="0"/>
        <w:rPr>
          <w:rFonts w:ascii="宋体" w:hAnsi="宋体" w:eastAsia="宋体" w:cs="宋体"/>
          <w:b/>
          <w:bCs/>
          <w:sz w:val="32"/>
          <w:szCs w:val="32"/>
        </w:rPr>
      </w:pPr>
      <w:bookmarkStart w:id="41" w:name="_Toc988930"/>
      <w:r>
        <w:rPr>
          <w:rFonts w:ascii="宋体" w:hAnsi="宋体" w:eastAsia="宋体" w:cs="宋体"/>
          <w:b/>
          <w:bCs/>
          <w:sz w:val="32"/>
          <w:szCs w:val="32"/>
        </w:rPr>
        <w:t>第四节 公司治理</w:t>
      </w:r>
      <w:bookmarkEnd w:id="41"/>
    </w:p>
    <w:p>
      <w:pPr>
        <w:keepNext/>
        <w:keepLines/>
        <w:spacing w:before="300" w:after="300" w:line="320" w:lineRule="exact"/>
        <w:jc w:val="left"/>
        <w:outlineLvl w:val="1"/>
        <w:rPr>
          <w:rFonts w:ascii="宋体" w:hAnsi="宋体" w:eastAsia="宋体" w:cs="宋体"/>
          <w:b/>
          <w:bCs/>
          <w:sz w:val="24"/>
          <w:szCs w:val="24"/>
        </w:rPr>
      </w:pPr>
      <w:bookmarkStart w:id="42" w:name="_Toc988931"/>
      <w:r>
        <w:rPr>
          <w:rFonts w:ascii="宋体" w:hAnsi="宋体" w:eastAsia="宋体" w:cs="宋体"/>
          <w:b/>
          <w:bCs/>
          <w:sz w:val="24"/>
          <w:szCs w:val="24"/>
        </w:rPr>
        <w:t>一、报告期内召开的年度股东大会和临时股东大会的有关情况</w:t>
      </w:r>
      <w:bookmarkEnd w:id="42"/>
    </w:p>
    <w:p>
      <w:pPr>
        <w:keepNext/>
        <w:keepLines/>
        <w:spacing w:before="300" w:after="300" w:line="280" w:lineRule="exact"/>
        <w:jc w:val="left"/>
        <w:outlineLvl w:val="2"/>
        <w:rPr>
          <w:rFonts w:ascii="宋体" w:hAnsi="宋体" w:eastAsia="宋体" w:cs="宋体"/>
          <w:b/>
          <w:bCs/>
          <w:sz w:val="21"/>
          <w:szCs w:val="21"/>
        </w:rPr>
      </w:pPr>
      <w:bookmarkStart w:id="43" w:name="_Toc988932"/>
      <w:r>
        <w:rPr>
          <w:rFonts w:ascii="宋体" w:hAnsi="宋体" w:eastAsia="宋体" w:cs="宋体"/>
          <w:b/>
          <w:bCs/>
          <w:sz w:val="21"/>
          <w:szCs w:val="21"/>
        </w:rPr>
        <w:t>1、本报告期股东大会情况</w:t>
      </w:r>
      <w:bookmarkEnd w:id="43"/>
    </w:p>
    <w:tbl>
      <w:tblPr>
        <w:tblStyle w:val="3"/>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240"/>
        <w:gridCol w:w="945"/>
        <w:gridCol w:w="1335"/>
        <w:gridCol w:w="1395"/>
        <w:gridCol w:w="31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会议届次</w:t>
            </w:r>
          </w:p>
        </w:tc>
        <w:tc>
          <w:tcPr>
            <w:tcW w:w="12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会议类型</w:t>
            </w:r>
          </w:p>
        </w:tc>
        <w:tc>
          <w:tcPr>
            <w:tcW w:w="9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投资者参与比例</w:t>
            </w:r>
          </w:p>
        </w:tc>
        <w:tc>
          <w:tcPr>
            <w:tcW w:w="13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13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31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2024年第一次临时股东大会</w:t>
            </w:r>
          </w:p>
        </w:tc>
        <w:tc>
          <w:tcPr>
            <w:tcW w:w="12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26.99%</w:t>
            </w:r>
          </w:p>
        </w:tc>
        <w:tc>
          <w:tcPr>
            <w:tcW w:w="13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2024年06月27日</w:t>
            </w:r>
          </w:p>
        </w:tc>
        <w:tc>
          <w:tcPr>
            <w:tcW w:w="13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2024年06月28日</w:t>
            </w:r>
          </w:p>
        </w:tc>
        <w:tc>
          <w:tcPr>
            <w:tcW w:w="31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详见刊登于指定媒体和巨潮资讯网上的《湖南博云新材料股份有限公司2024年第一次临时股东大会决议公告》（公告编号为2024-025）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2023年年度股东大会</w:t>
            </w:r>
          </w:p>
        </w:tc>
        <w:tc>
          <w:tcPr>
            <w:tcW w:w="12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年度股东大会</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31.24%</w:t>
            </w:r>
          </w:p>
        </w:tc>
        <w:tc>
          <w:tcPr>
            <w:tcW w:w="13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2024年06月28日</w:t>
            </w:r>
          </w:p>
        </w:tc>
        <w:tc>
          <w:tcPr>
            <w:tcW w:w="13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2024年06月29日</w:t>
            </w:r>
          </w:p>
        </w:tc>
        <w:tc>
          <w:tcPr>
            <w:tcW w:w="31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详见刊登于指定媒体和巨潮资讯网上的《湖南博云新材料股份有限公司2023年年度股东大会决议公告》（公告编号为2024-026）</w:t>
            </w:r>
          </w:p>
        </w:tc>
      </w:tr>
    </w:tbl>
    <w:p>
      <w:pPr>
        <w:keepNext/>
        <w:keepLines/>
        <w:spacing w:before="300" w:after="300" w:line="280" w:lineRule="exact"/>
        <w:jc w:val="left"/>
        <w:outlineLvl w:val="2"/>
        <w:rPr>
          <w:rFonts w:ascii="宋体" w:hAnsi="宋体" w:eastAsia="宋体" w:cs="宋体"/>
          <w:b/>
          <w:bCs/>
          <w:sz w:val="21"/>
          <w:szCs w:val="21"/>
        </w:rPr>
      </w:pPr>
      <w:bookmarkStart w:id="44" w:name="_Toc988933"/>
      <w:r>
        <w:rPr>
          <w:rFonts w:ascii="宋体" w:hAnsi="宋体" w:eastAsia="宋体" w:cs="宋体"/>
          <w:b/>
          <w:bCs/>
          <w:sz w:val="21"/>
          <w:szCs w:val="21"/>
        </w:rPr>
        <w:t>2、表决权恢复的优先股股东请求召开临时股东大会</w:t>
      </w:r>
      <w:bookmarkEnd w:id="4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45" w:name="_Toc988934"/>
      <w:r>
        <w:rPr>
          <w:rFonts w:ascii="宋体" w:hAnsi="宋体" w:eastAsia="宋体" w:cs="宋体"/>
          <w:b/>
          <w:bCs/>
          <w:sz w:val="24"/>
          <w:szCs w:val="24"/>
        </w:rPr>
        <w:t>二、公司董事、监事、高级管理人员变动情况</w:t>
      </w:r>
      <w:bookmarkEnd w:id="45"/>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公司董事、监事和高级管理人员在报告期没有发生变动，具体可参见2023年年报。</w:t>
      </w:r>
    </w:p>
    <w:p>
      <w:pPr>
        <w:keepNext/>
        <w:keepLines/>
        <w:spacing w:before="300" w:after="300" w:line="320" w:lineRule="exact"/>
        <w:jc w:val="left"/>
        <w:outlineLvl w:val="1"/>
        <w:rPr>
          <w:rFonts w:ascii="宋体" w:hAnsi="宋体" w:eastAsia="宋体" w:cs="宋体"/>
          <w:b/>
          <w:bCs/>
          <w:sz w:val="24"/>
          <w:szCs w:val="24"/>
        </w:rPr>
      </w:pPr>
      <w:bookmarkStart w:id="46" w:name="_Toc988935"/>
      <w:r>
        <w:rPr>
          <w:rFonts w:ascii="宋体" w:hAnsi="宋体" w:eastAsia="宋体" w:cs="宋体"/>
          <w:b/>
          <w:bCs/>
          <w:sz w:val="24"/>
          <w:szCs w:val="24"/>
        </w:rPr>
        <w:t>三、本报告期利润分配及资本公积金转增股本情况</w:t>
      </w:r>
      <w:bookmarkEnd w:id="46"/>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公司计划半年度不派发现金红利，不送红股，不以公积金转增股本。</w:t>
      </w:r>
    </w:p>
    <w:p>
      <w:pPr>
        <w:keepNext/>
        <w:keepLines/>
        <w:spacing w:before="300" w:after="300" w:line="320" w:lineRule="exact"/>
        <w:jc w:val="left"/>
        <w:outlineLvl w:val="1"/>
        <w:rPr>
          <w:rFonts w:ascii="宋体" w:hAnsi="宋体" w:eastAsia="宋体" w:cs="宋体"/>
          <w:b/>
          <w:bCs/>
          <w:sz w:val="24"/>
          <w:szCs w:val="24"/>
        </w:rPr>
      </w:pPr>
      <w:bookmarkStart w:id="47" w:name="_Toc988936"/>
      <w:r>
        <w:rPr>
          <w:rFonts w:ascii="宋体" w:hAnsi="宋体" w:eastAsia="宋体" w:cs="宋体"/>
          <w:b/>
          <w:bCs/>
          <w:sz w:val="24"/>
          <w:szCs w:val="24"/>
        </w:rPr>
        <w:t>四、公司股权激励计划、员工持股计划或其他员工激励措施的实施情况</w:t>
      </w:r>
      <w:bookmarkEnd w:id="47"/>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公司报告期无股权激励计划、员工持股计划或其他员工激励措施及其实施情况。</w:t>
      </w:r>
    </w:p>
    <w:p>
      <w:r>
        <w:br w:type="page"/>
      </w:r>
    </w:p>
    <w:p>
      <w:pPr>
        <w:keepNext/>
        <w:keepLines/>
        <w:spacing w:before="340" w:after="330" w:line="773" w:lineRule="exact"/>
        <w:jc w:val="center"/>
        <w:outlineLvl w:val="0"/>
        <w:rPr>
          <w:rFonts w:ascii="宋体" w:hAnsi="宋体" w:eastAsia="宋体" w:cs="宋体"/>
          <w:b/>
          <w:bCs/>
          <w:sz w:val="32"/>
          <w:szCs w:val="32"/>
        </w:rPr>
      </w:pPr>
      <w:bookmarkStart w:id="48" w:name="_Toc988937"/>
      <w:r>
        <w:rPr>
          <w:rFonts w:ascii="宋体" w:hAnsi="宋体" w:eastAsia="宋体" w:cs="宋体"/>
          <w:b/>
          <w:bCs/>
          <w:sz w:val="32"/>
          <w:szCs w:val="32"/>
        </w:rPr>
        <w:t>第五节 环境和社会责任</w:t>
      </w:r>
      <w:bookmarkEnd w:id="48"/>
    </w:p>
    <w:p>
      <w:pPr>
        <w:keepNext/>
        <w:keepLines/>
        <w:spacing w:before="300" w:after="300" w:line="320" w:lineRule="exact"/>
        <w:jc w:val="left"/>
        <w:outlineLvl w:val="1"/>
        <w:rPr>
          <w:rFonts w:ascii="宋体" w:hAnsi="宋体" w:eastAsia="宋体" w:cs="宋体"/>
          <w:b/>
          <w:bCs/>
          <w:sz w:val="24"/>
          <w:szCs w:val="24"/>
        </w:rPr>
      </w:pPr>
      <w:bookmarkStart w:id="49" w:name="_Toc988938"/>
      <w:r>
        <w:rPr>
          <w:rFonts w:ascii="宋体" w:hAnsi="宋体" w:eastAsia="宋体" w:cs="宋体"/>
          <w:b/>
          <w:bCs/>
          <w:sz w:val="24"/>
          <w:szCs w:val="24"/>
        </w:rPr>
        <w:t>一、重大环保问题情况</w:t>
      </w:r>
      <w:bookmarkEnd w:id="49"/>
    </w:p>
    <w:p>
      <w:pPr>
        <w:spacing w:before="40" w:after="40" w:line="240" w:lineRule="exact"/>
        <w:jc w:val="left"/>
        <w:rPr>
          <w:rFonts w:ascii="宋体" w:hAnsi="宋体" w:eastAsia="宋体" w:cs="宋体"/>
          <w:sz w:val="18"/>
          <w:szCs w:val="18"/>
        </w:rPr>
      </w:pPr>
      <w:r>
        <w:rPr>
          <w:rFonts w:ascii="宋体" w:hAnsi="宋体" w:eastAsia="宋体" w:cs="宋体"/>
          <w:sz w:val="18"/>
          <w:szCs w:val="18"/>
        </w:rPr>
        <w:t>上市公司及其子公司是否属于环境保护部门公布的重点排污单位</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报告期内因环境问题受到行政处罚的情况</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公司或子公司名称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违规情形</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处罚结果</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对上市公司生产经营的影响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公司的整改措施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参照重点排污单位披露的其他环境信息</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不适用</w:t>
      </w:r>
    </w:p>
    <w:p>
      <w:pPr>
        <w:spacing w:before="100" w:after="40" w:line="240" w:lineRule="exact"/>
        <w:jc w:val="left"/>
        <w:rPr>
          <w:rFonts w:ascii="宋体" w:hAnsi="宋体" w:eastAsia="宋体" w:cs="宋体"/>
          <w:sz w:val="18"/>
          <w:szCs w:val="18"/>
        </w:rPr>
      </w:pPr>
      <w:r>
        <w:rPr>
          <w:rFonts w:ascii="宋体" w:hAnsi="宋体" w:eastAsia="宋体" w:cs="宋体"/>
          <w:sz w:val="18"/>
          <w:szCs w:val="18"/>
        </w:rPr>
        <w:t>在报告期内为减少其碳排放所采取的措施及效果</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未披露其他环境信息的原因</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0" w:name="_Toc988939"/>
      <w:r>
        <w:rPr>
          <w:rFonts w:ascii="宋体" w:hAnsi="宋体" w:eastAsia="宋体" w:cs="宋体"/>
          <w:b/>
          <w:bCs/>
          <w:sz w:val="24"/>
          <w:szCs w:val="24"/>
        </w:rPr>
        <w:t>二、社会责任情况</w:t>
      </w:r>
      <w:bookmarkEnd w:id="50"/>
    </w:p>
    <w:p>
      <w:pPr>
        <w:pStyle w:val="2"/>
        <w:keepNext w:val="0"/>
        <w:keepLines w:val="0"/>
        <w:widowControl/>
        <w:suppressLineNumbers w:val="0"/>
        <w:spacing w:before="40" w:beforeAutospacing="0" w:after="40" w:afterAutospacing="0" w:line="360" w:lineRule="atLeast"/>
        <w:ind w:right="0"/>
        <w:jc w:val="left"/>
        <w:rPr>
          <w:rFonts w:hint="default" w:ascii="宋体" w:hAnsi="宋体" w:eastAsia="宋体" w:cs="宋体"/>
          <w:kern w:val="0"/>
          <w:sz w:val="18"/>
          <w:szCs w:val="18"/>
        </w:rPr>
      </w:pPr>
      <w:r>
        <w:rPr>
          <w:rFonts w:hint="eastAsia" w:ascii="宋体" w:hAnsi="宋体" w:eastAsia="宋体" w:cs="宋体"/>
          <w:kern w:val="0"/>
          <w:sz w:val="18"/>
          <w:szCs w:val="18"/>
        </w:rPr>
        <w:t>报告期内，公司暂未开展精准扶贫工作。</w:t>
      </w:r>
    </w:p>
    <w:p>
      <w:r>
        <w:br w:type="page"/>
      </w:r>
    </w:p>
    <w:p>
      <w:pPr>
        <w:keepNext/>
        <w:keepLines/>
        <w:spacing w:before="340" w:after="330" w:line="773" w:lineRule="exact"/>
        <w:jc w:val="center"/>
        <w:outlineLvl w:val="0"/>
        <w:rPr>
          <w:rFonts w:ascii="宋体" w:hAnsi="宋体" w:eastAsia="宋体" w:cs="宋体"/>
          <w:b/>
          <w:bCs/>
          <w:sz w:val="32"/>
          <w:szCs w:val="32"/>
        </w:rPr>
      </w:pPr>
      <w:bookmarkStart w:id="51" w:name="_Toc988940"/>
      <w:r>
        <w:rPr>
          <w:rFonts w:ascii="宋体" w:hAnsi="宋体" w:eastAsia="宋体" w:cs="宋体"/>
          <w:b/>
          <w:bCs/>
          <w:sz w:val="32"/>
          <w:szCs w:val="32"/>
        </w:rPr>
        <w:t>第六节 重要事项</w:t>
      </w:r>
      <w:bookmarkEnd w:id="51"/>
    </w:p>
    <w:p>
      <w:pPr>
        <w:keepNext/>
        <w:keepLines/>
        <w:spacing w:before="300" w:after="300" w:line="320" w:lineRule="exact"/>
        <w:jc w:val="left"/>
        <w:outlineLvl w:val="1"/>
        <w:rPr>
          <w:rFonts w:ascii="宋体" w:hAnsi="宋体" w:eastAsia="宋体" w:cs="宋体"/>
          <w:b/>
          <w:bCs/>
          <w:sz w:val="24"/>
          <w:szCs w:val="24"/>
        </w:rPr>
      </w:pPr>
      <w:bookmarkStart w:id="52" w:name="_Toc988941"/>
      <w:r>
        <w:rPr>
          <w:rFonts w:ascii="宋体" w:hAnsi="宋体" w:eastAsia="宋体" w:cs="宋体"/>
          <w:b/>
          <w:bCs/>
          <w:sz w:val="24"/>
          <w:szCs w:val="24"/>
        </w:rPr>
        <w:t>一、公司实际控制人、股东、关联方、收购人以及公司等承诺相关方在报告期内履行完毕及截至报告期末超期未履行完毕的承诺事项</w:t>
      </w:r>
      <w:bookmarkEnd w:id="52"/>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157"/>
        <w:gridCol w:w="1230"/>
        <w:gridCol w:w="2970"/>
        <w:gridCol w:w="1005"/>
        <w:gridCol w:w="960"/>
        <w:gridCol w:w="9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bookmarkStart w:id="53" w:name="_Toc988942"/>
            <w:r>
              <w:rPr>
                <w:rFonts w:ascii="宋体" w:hAnsi="宋体" w:eastAsia="宋体" w:cs="宋体"/>
                <w:sz w:val="18"/>
                <w:szCs w:val="18"/>
              </w:rPr>
              <w:t>承诺事由</w:t>
            </w:r>
          </w:p>
        </w:tc>
        <w:tc>
          <w:tcPr>
            <w:tcW w:w="11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承诺方</w:t>
            </w:r>
          </w:p>
        </w:tc>
        <w:tc>
          <w:tcPr>
            <w:tcW w:w="12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承诺类型</w:t>
            </w:r>
          </w:p>
        </w:tc>
        <w:tc>
          <w:tcPr>
            <w:tcW w:w="29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承诺内容</w:t>
            </w:r>
          </w:p>
        </w:tc>
        <w:tc>
          <w:tcPr>
            <w:tcW w:w="10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承诺时间</w:t>
            </w:r>
          </w:p>
        </w:tc>
        <w:tc>
          <w:tcPr>
            <w:tcW w:w="9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承诺期限</w:t>
            </w:r>
          </w:p>
        </w:tc>
        <w:tc>
          <w:tcPr>
            <w:tcW w:w="9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其他对公司中小股东所作承诺</w:t>
            </w:r>
          </w:p>
        </w:tc>
        <w:tc>
          <w:tcPr>
            <w:tcW w:w="11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控股股东粉冶中心</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关于避免同业竞争的承诺</w:t>
            </w:r>
          </w:p>
        </w:tc>
        <w:tc>
          <w:tcPr>
            <w:tcW w:w="29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作出避免同业竞争承诺，除在公司投资外，将不在任何区域投资或从事与公司相同或相近的业务。</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2008年01月18日</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长期有效</w:t>
            </w:r>
          </w:p>
        </w:tc>
        <w:tc>
          <w:tcPr>
            <w:tcW w:w="9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left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p>
        </w:tc>
        <w:tc>
          <w:tcPr>
            <w:tcW w:w="11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控股股东粉冶中心</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hint="eastAsia" w:ascii="宋体" w:hAnsi="宋体" w:eastAsia="宋体" w:cs="宋体"/>
                <w:i w:val="0"/>
                <w:iCs w:val="0"/>
                <w:caps w:val="0"/>
                <w:color w:val="333333"/>
                <w:spacing w:val="0"/>
                <w:sz w:val="18"/>
                <w:szCs w:val="18"/>
                <w:shd w:val="clear" w:fill="FFFFFF"/>
              </w:rPr>
              <w:t>关于代为培育事项的承诺</w:t>
            </w:r>
          </w:p>
        </w:tc>
        <w:tc>
          <w:tcPr>
            <w:tcW w:w="29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hint="eastAsia" w:ascii="宋体" w:hAnsi="宋体" w:eastAsia="宋体" w:cs="宋体"/>
                <w:i w:val="0"/>
                <w:iCs w:val="0"/>
                <w:caps w:val="0"/>
                <w:color w:val="333333"/>
                <w:spacing w:val="0"/>
                <w:sz w:val="18"/>
                <w:szCs w:val="18"/>
                <w:shd w:val="clear" w:fill="FFFFFF"/>
              </w:rPr>
              <w:t>1、根据粉冶中心、兴湘资本与博云新材于2024年6月签署的《代为培育协议》，粉冶中心、兴湘资本将代为培育“飞机机轮刹车系统部分核心部件关键技术研究与产品开发项目”，实施主体为炜铂科技，粉冶中心将严格履行《代为培育协议》的相关约定。</w:t>
            </w:r>
            <w:r>
              <w:rPr>
                <w:rFonts w:hint="eastAsia" w:ascii="宋体" w:hAnsi="宋体" w:eastAsia="宋体" w:cs="宋体"/>
                <w:i w:val="0"/>
                <w:iCs w:val="0"/>
                <w:caps w:val="0"/>
                <w:color w:val="333333"/>
                <w:spacing w:val="0"/>
                <w:sz w:val="18"/>
                <w:szCs w:val="18"/>
              </w:rPr>
              <w:br w:type="textWrapping"/>
            </w:r>
            <w:r>
              <w:rPr>
                <w:rFonts w:hint="eastAsia" w:ascii="宋体" w:hAnsi="宋体" w:eastAsia="宋体" w:cs="宋体"/>
                <w:i w:val="0"/>
                <w:iCs w:val="0"/>
                <w:caps w:val="0"/>
                <w:color w:val="333333"/>
                <w:spacing w:val="0"/>
                <w:sz w:val="18"/>
                <w:szCs w:val="18"/>
                <w:shd w:val="clear" w:fill="FFFFFF"/>
              </w:rPr>
              <w:t>2、【2029】年【12】月【31】日前，若炜铂科技满足注入博云新材的条件，粉冶中心将持有的炜铂科技股权注入博云新材；若不满足注入博云新材的条件，粉冶中心将在培育期限到期后终止相关培育工作并尽快对炜铂科技进行清算注销。</w:t>
            </w:r>
            <w:r>
              <w:rPr>
                <w:rFonts w:hint="eastAsia" w:ascii="宋体" w:hAnsi="宋体" w:eastAsia="宋体" w:cs="宋体"/>
                <w:i w:val="0"/>
                <w:iCs w:val="0"/>
                <w:caps w:val="0"/>
                <w:color w:val="333333"/>
                <w:spacing w:val="0"/>
                <w:sz w:val="18"/>
                <w:szCs w:val="18"/>
              </w:rPr>
              <w:br w:type="textWrapping"/>
            </w:r>
            <w:r>
              <w:rPr>
                <w:rFonts w:hint="eastAsia" w:ascii="宋体" w:hAnsi="宋体" w:eastAsia="宋体" w:cs="宋体"/>
                <w:i w:val="0"/>
                <w:iCs w:val="0"/>
                <w:caps w:val="0"/>
                <w:color w:val="333333"/>
                <w:spacing w:val="0"/>
                <w:sz w:val="18"/>
                <w:szCs w:val="18"/>
                <w:shd w:val="clear" w:fill="FFFFFF"/>
              </w:rPr>
              <w:t>3、上述工作未完成前，若炜铂科技生产与博云新材存在潜在竞争的产品均由博云新材统一对外进行销售。完成上述工作后，粉冶中心及下属子公司将不再从事与博云新材相同或者相似的业务。</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w:t>
            </w:r>
            <w:r>
              <w:rPr>
                <w:rFonts w:hint="eastAsia" w:ascii="宋体" w:hAnsi="宋体" w:cs="宋体"/>
                <w:sz w:val="18"/>
                <w:szCs w:val="18"/>
                <w:lang w:val="en-US" w:eastAsia="zh-CN"/>
              </w:rPr>
              <w:t>24</w:t>
            </w:r>
            <w:r>
              <w:rPr>
                <w:rFonts w:ascii="宋体" w:hAnsi="宋体" w:eastAsia="宋体" w:cs="宋体"/>
                <w:sz w:val="18"/>
                <w:szCs w:val="18"/>
              </w:rPr>
              <w:t>年0</w:t>
            </w:r>
            <w:r>
              <w:rPr>
                <w:rFonts w:hint="eastAsia" w:ascii="宋体" w:hAnsi="宋体" w:cs="宋体"/>
                <w:sz w:val="18"/>
                <w:szCs w:val="18"/>
                <w:lang w:val="en-US" w:eastAsia="zh-CN"/>
              </w:rPr>
              <w:t>6</w:t>
            </w:r>
            <w:r>
              <w:rPr>
                <w:rFonts w:ascii="宋体" w:hAnsi="宋体" w:eastAsia="宋体" w:cs="宋体"/>
                <w:sz w:val="18"/>
                <w:szCs w:val="18"/>
              </w:rPr>
              <w:t>月</w:t>
            </w:r>
            <w:r>
              <w:rPr>
                <w:rFonts w:hint="eastAsia" w:ascii="宋体" w:hAnsi="宋体" w:cs="宋体"/>
                <w:sz w:val="18"/>
                <w:szCs w:val="18"/>
                <w:lang w:val="en-US" w:eastAsia="zh-CN"/>
              </w:rPr>
              <w:t>11</w:t>
            </w:r>
            <w:r>
              <w:rPr>
                <w:rFonts w:ascii="宋体" w:hAnsi="宋体" w:eastAsia="宋体" w:cs="宋体"/>
                <w:sz w:val="18"/>
                <w:szCs w:val="18"/>
              </w:rPr>
              <w:t>日</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宋体" w:hAnsi="宋体" w:eastAsia="宋体" w:cs="宋体"/>
                <w:sz w:val="18"/>
                <w:szCs w:val="18"/>
                <w:lang w:val="en-US" w:eastAsia="zh-CN"/>
              </w:rPr>
            </w:pPr>
            <w:r>
              <w:rPr>
                <w:rFonts w:ascii="宋体" w:hAnsi="宋体" w:eastAsia="宋体" w:cs="宋体"/>
                <w:sz w:val="18"/>
                <w:szCs w:val="18"/>
              </w:rPr>
              <w:t>20</w:t>
            </w:r>
            <w:r>
              <w:rPr>
                <w:rFonts w:hint="eastAsia" w:ascii="宋体" w:hAnsi="宋体" w:cs="宋体"/>
                <w:sz w:val="18"/>
                <w:szCs w:val="18"/>
                <w:lang w:val="en-US" w:eastAsia="zh-CN"/>
              </w:rPr>
              <w:t>24</w:t>
            </w:r>
            <w:r>
              <w:rPr>
                <w:rFonts w:ascii="宋体" w:hAnsi="宋体" w:eastAsia="宋体" w:cs="宋体"/>
                <w:sz w:val="18"/>
                <w:szCs w:val="18"/>
              </w:rPr>
              <w:t>年0</w:t>
            </w:r>
            <w:r>
              <w:rPr>
                <w:rFonts w:hint="eastAsia" w:ascii="宋体" w:hAnsi="宋体" w:cs="宋体"/>
                <w:sz w:val="18"/>
                <w:szCs w:val="18"/>
                <w:lang w:val="en-US" w:eastAsia="zh-CN"/>
              </w:rPr>
              <w:t>6</w:t>
            </w:r>
            <w:r>
              <w:rPr>
                <w:rFonts w:ascii="宋体" w:hAnsi="宋体" w:eastAsia="宋体" w:cs="宋体"/>
                <w:sz w:val="18"/>
                <w:szCs w:val="18"/>
              </w:rPr>
              <w:t>月</w:t>
            </w:r>
            <w:r>
              <w:rPr>
                <w:rFonts w:hint="eastAsia" w:ascii="宋体" w:hAnsi="宋体" w:cs="宋体"/>
                <w:sz w:val="18"/>
                <w:szCs w:val="18"/>
                <w:lang w:val="en-US" w:eastAsia="zh-CN"/>
              </w:rPr>
              <w:t>11</w:t>
            </w:r>
            <w:r>
              <w:rPr>
                <w:rFonts w:ascii="宋体" w:hAnsi="宋体" w:eastAsia="宋体" w:cs="宋体"/>
                <w:sz w:val="18"/>
                <w:szCs w:val="18"/>
              </w:rPr>
              <w:t>日</w:t>
            </w:r>
            <w:r>
              <w:rPr>
                <w:rFonts w:hint="eastAsia" w:ascii="宋体" w:hAnsi="宋体" w:cs="宋体"/>
                <w:sz w:val="18"/>
                <w:szCs w:val="18"/>
                <w:lang w:eastAsia="zh-CN"/>
              </w:rPr>
              <w:t>至</w:t>
            </w:r>
            <w:r>
              <w:rPr>
                <w:rFonts w:hint="eastAsia" w:ascii="宋体" w:hAnsi="宋体" w:cs="宋体"/>
                <w:sz w:val="18"/>
                <w:szCs w:val="18"/>
                <w:lang w:val="en-US" w:eastAsia="zh-CN"/>
              </w:rPr>
              <w:t>2029年12月31日</w:t>
            </w:r>
          </w:p>
        </w:tc>
        <w:tc>
          <w:tcPr>
            <w:tcW w:w="9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其他对公司中小股东所作承诺</w:t>
            </w:r>
          </w:p>
        </w:tc>
        <w:tc>
          <w:tcPr>
            <w:tcW w:w="11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间接控股股东湖南兴湘投资控股集团有限公司</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关于避免同业竞争的承诺</w:t>
            </w:r>
          </w:p>
        </w:tc>
        <w:tc>
          <w:tcPr>
            <w:tcW w:w="29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本次交易完成后，本公司控制的主体不会直接或间接经营任何与博云新材及其下属企业经营的业务构成竞争或可能构成竞争的业务，亦不会投资任何与博云新材及其下属企业经营的业务构成竞争或可能构成竞争的其他企业。2、本次交易完成后，本公司将对自身及相关企业的生产经营活动进行监督和约束，如果将来本公司及相关企业的产品或业务与博云新材及其子公司的产品或业务出现相同或类似的情况，本公司承诺将继续采取以下措施解决：（1）博云新材认为必要时，本公司及相关企业将进行出售直至全部转让本公司及相关企业持有的有关资产和业务；（2）博云新材在认为必要时，可以通过适当方式优先收购本公司及相关企业持有的有关资产和业务；（3）如本公司及相关企业与博云新材及其子公司因同业竞争产生利益冲突，则优先考虑博云新材及其子公司的利益；（4）有利于避免同业竞争的其他措施。3、本承诺函满足下述条件之日起生效：（1）本函经本公司签署；（2）本公司成为博云新材直接或间接控股股东或第一大股东。4、本承诺函自生效之日起至发生以下情形时终止（以较早为准）：（1）本公司不再是博云新材的直接或间接控股股东或第一大股东；（2）博云新材终止上市。5、本公司将忠实履行上述承诺，并承担相应的法律责任。</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2019年01月02日</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承诺是否按时履行</w:t>
            </w:r>
          </w:p>
        </w:tc>
        <w:tc>
          <w:tcPr>
            <w:tcW w:w="8262"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bl>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二、控股股东及其他关联方对上市公司的非经营性占用资金情况</w:t>
      </w:r>
      <w:bookmarkEnd w:id="5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公司报告期不存在控股股东及其他关联方对上市公司的非经营性占用资金。</w:t>
      </w:r>
    </w:p>
    <w:p>
      <w:pPr>
        <w:keepNext/>
        <w:keepLines/>
        <w:spacing w:before="300" w:after="300" w:line="320" w:lineRule="exact"/>
        <w:jc w:val="left"/>
        <w:outlineLvl w:val="1"/>
        <w:rPr>
          <w:rFonts w:ascii="宋体" w:hAnsi="宋体" w:eastAsia="宋体" w:cs="宋体"/>
          <w:b/>
          <w:bCs/>
          <w:sz w:val="24"/>
          <w:szCs w:val="24"/>
        </w:rPr>
      </w:pPr>
      <w:bookmarkStart w:id="54" w:name="_Toc988943"/>
      <w:r>
        <w:rPr>
          <w:rFonts w:ascii="宋体" w:hAnsi="宋体" w:eastAsia="宋体" w:cs="宋体"/>
          <w:b/>
          <w:bCs/>
          <w:sz w:val="24"/>
          <w:szCs w:val="24"/>
        </w:rPr>
        <w:t>三、违规对外担保情况</w:t>
      </w:r>
      <w:bookmarkEnd w:id="5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公司报告期无违规对外担保情况。</w:t>
      </w:r>
    </w:p>
    <w:p>
      <w:pPr>
        <w:keepNext/>
        <w:keepLines/>
        <w:spacing w:before="300" w:after="300" w:line="320" w:lineRule="exact"/>
        <w:jc w:val="left"/>
        <w:outlineLvl w:val="1"/>
        <w:rPr>
          <w:rFonts w:ascii="宋体" w:hAnsi="宋体" w:eastAsia="宋体" w:cs="宋体"/>
          <w:b/>
          <w:bCs/>
          <w:sz w:val="24"/>
          <w:szCs w:val="24"/>
        </w:rPr>
      </w:pPr>
      <w:bookmarkStart w:id="55" w:name="_Toc988944"/>
      <w:r>
        <w:rPr>
          <w:rFonts w:ascii="宋体" w:hAnsi="宋体" w:eastAsia="宋体" w:cs="宋体"/>
          <w:b/>
          <w:bCs/>
          <w:sz w:val="24"/>
          <w:szCs w:val="24"/>
        </w:rPr>
        <w:t>四、聘任、解聘会计师事务所情况</w:t>
      </w:r>
      <w:bookmarkEnd w:id="55"/>
    </w:p>
    <w:p>
      <w:pPr>
        <w:spacing w:before="100" w:after="100" w:line="240" w:lineRule="exact"/>
        <w:jc w:val="left"/>
        <w:rPr>
          <w:rFonts w:ascii="宋体" w:hAnsi="宋体" w:eastAsia="宋体" w:cs="宋体"/>
          <w:sz w:val="18"/>
          <w:szCs w:val="18"/>
        </w:rPr>
      </w:pPr>
      <w:r>
        <w:rPr>
          <w:rFonts w:ascii="宋体" w:hAnsi="宋体" w:eastAsia="宋体" w:cs="宋体"/>
          <w:sz w:val="18"/>
          <w:szCs w:val="18"/>
        </w:rPr>
        <w:t>半年度财务报告是否已经审计</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公司半年度报告未经审计。</w:t>
      </w:r>
    </w:p>
    <w:p>
      <w:pPr>
        <w:keepNext/>
        <w:keepLines/>
        <w:spacing w:before="300" w:after="300" w:line="320" w:lineRule="exact"/>
        <w:jc w:val="left"/>
        <w:outlineLvl w:val="1"/>
        <w:rPr>
          <w:rFonts w:ascii="宋体" w:hAnsi="宋体" w:eastAsia="宋体" w:cs="宋体"/>
          <w:b/>
          <w:bCs/>
          <w:sz w:val="24"/>
          <w:szCs w:val="24"/>
        </w:rPr>
      </w:pPr>
      <w:bookmarkStart w:id="56" w:name="_Toc988945"/>
      <w:r>
        <w:rPr>
          <w:rFonts w:ascii="宋体" w:hAnsi="宋体" w:eastAsia="宋体" w:cs="宋体"/>
          <w:b/>
          <w:bCs/>
          <w:sz w:val="24"/>
          <w:szCs w:val="24"/>
        </w:rPr>
        <w:t>五、董事会、监事会对会计师事务所本报告期“非标准审计报告”的说明</w:t>
      </w:r>
      <w:bookmarkEnd w:id="5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7" w:name="_Toc988946"/>
      <w:r>
        <w:rPr>
          <w:rFonts w:ascii="宋体" w:hAnsi="宋体" w:eastAsia="宋体" w:cs="宋体"/>
          <w:b/>
          <w:bCs/>
          <w:sz w:val="24"/>
          <w:szCs w:val="24"/>
        </w:rPr>
        <w:t>六、董事会对上年度“非标准审计报告”相关情况的说明</w:t>
      </w:r>
      <w:bookmarkEnd w:id="5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8" w:name="_Toc988947"/>
      <w:r>
        <w:rPr>
          <w:rFonts w:ascii="宋体" w:hAnsi="宋体" w:eastAsia="宋体" w:cs="宋体"/>
          <w:b/>
          <w:bCs/>
          <w:sz w:val="24"/>
          <w:szCs w:val="24"/>
        </w:rPr>
        <w:t>七、破产重整相关事项</w:t>
      </w:r>
      <w:bookmarkEnd w:id="5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公司报告期未发生破产重整相关事项。</w:t>
      </w:r>
    </w:p>
    <w:p>
      <w:pPr>
        <w:keepNext/>
        <w:keepLines/>
        <w:spacing w:before="300" w:after="300" w:line="320" w:lineRule="exact"/>
        <w:jc w:val="left"/>
        <w:outlineLvl w:val="1"/>
        <w:rPr>
          <w:rFonts w:ascii="宋体" w:hAnsi="宋体" w:eastAsia="宋体" w:cs="宋体"/>
          <w:b/>
          <w:bCs/>
          <w:sz w:val="24"/>
          <w:szCs w:val="24"/>
        </w:rPr>
      </w:pPr>
      <w:bookmarkStart w:id="59" w:name="_Toc988948"/>
      <w:r>
        <w:rPr>
          <w:rFonts w:ascii="宋体" w:hAnsi="宋体" w:eastAsia="宋体" w:cs="宋体"/>
          <w:b/>
          <w:bCs/>
          <w:sz w:val="24"/>
          <w:szCs w:val="24"/>
        </w:rPr>
        <w:t>八、诉讼事项</w:t>
      </w:r>
      <w:bookmarkEnd w:id="59"/>
    </w:p>
    <w:p>
      <w:pPr>
        <w:spacing w:before="100" w:after="100" w:line="240" w:lineRule="exact"/>
        <w:jc w:val="left"/>
        <w:rPr>
          <w:rFonts w:ascii="宋体" w:hAnsi="宋体" w:eastAsia="宋体" w:cs="宋体"/>
          <w:sz w:val="18"/>
          <w:szCs w:val="18"/>
        </w:rPr>
      </w:pPr>
      <w:r>
        <w:rPr>
          <w:rFonts w:ascii="宋体" w:hAnsi="宋体" w:eastAsia="宋体" w:cs="宋体"/>
          <w:sz w:val="18"/>
          <w:szCs w:val="18"/>
        </w:rPr>
        <w:t>重大诉讼仲裁事项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本报告期公司无重大诉讼、仲裁事项。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其他诉讼事项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60" w:name="_Toc988949"/>
      <w:r>
        <w:rPr>
          <w:rFonts w:ascii="宋体" w:hAnsi="宋体" w:eastAsia="宋体" w:cs="宋体"/>
          <w:b/>
          <w:bCs/>
          <w:sz w:val="24"/>
          <w:szCs w:val="24"/>
        </w:rPr>
        <w:t>九、处罚及整改情况</w:t>
      </w:r>
      <w:bookmarkEnd w:id="6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公司报告期不存在处罚及整改情况。</w:t>
      </w:r>
    </w:p>
    <w:p>
      <w:pPr>
        <w:keepNext/>
        <w:keepLines/>
        <w:spacing w:before="300" w:after="300" w:line="320" w:lineRule="exact"/>
        <w:jc w:val="left"/>
        <w:outlineLvl w:val="1"/>
        <w:rPr>
          <w:rFonts w:ascii="宋体" w:hAnsi="宋体" w:eastAsia="宋体" w:cs="宋体"/>
          <w:b/>
          <w:bCs/>
          <w:sz w:val="24"/>
          <w:szCs w:val="24"/>
        </w:rPr>
      </w:pPr>
      <w:bookmarkStart w:id="61" w:name="_Toc988950"/>
      <w:r>
        <w:rPr>
          <w:rFonts w:ascii="宋体" w:hAnsi="宋体" w:eastAsia="宋体" w:cs="宋体"/>
          <w:b/>
          <w:bCs/>
          <w:sz w:val="24"/>
          <w:szCs w:val="24"/>
        </w:rPr>
        <w:t>十、公司及其控股股东、实际控制人的诚信状况</w:t>
      </w:r>
      <w:bookmarkEnd w:id="6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62" w:name="_Toc988951"/>
      <w:r>
        <w:rPr>
          <w:rFonts w:ascii="宋体" w:hAnsi="宋体" w:eastAsia="宋体" w:cs="宋体"/>
          <w:b/>
          <w:bCs/>
          <w:sz w:val="24"/>
          <w:szCs w:val="24"/>
        </w:rPr>
        <w:t>十一、重大关联交易</w:t>
      </w:r>
      <w:bookmarkEnd w:id="62"/>
    </w:p>
    <w:p>
      <w:pPr>
        <w:keepNext/>
        <w:keepLines/>
        <w:spacing w:before="300" w:after="300" w:line="280" w:lineRule="exact"/>
        <w:jc w:val="left"/>
        <w:outlineLvl w:val="2"/>
        <w:rPr>
          <w:rFonts w:ascii="宋体" w:hAnsi="宋体" w:eastAsia="宋体" w:cs="宋体"/>
          <w:b/>
          <w:bCs/>
          <w:sz w:val="21"/>
          <w:szCs w:val="21"/>
        </w:rPr>
      </w:pPr>
      <w:bookmarkStart w:id="63" w:name="_Toc988952"/>
      <w:r>
        <w:rPr>
          <w:rFonts w:ascii="宋体" w:hAnsi="宋体" w:eastAsia="宋体" w:cs="宋体"/>
          <w:b/>
          <w:bCs/>
          <w:sz w:val="21"/>
          <w:szCs w:val="21"/>
        </w:rPr>
        <w:t>1、与日常经营相关的关联交易</w:t>
      </w:r>
      <w:bookmarkEnd w:id="6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公司报告期未发生与日常经营相关的关联交易。</w:t>
      </w:r>
    </w:p>
    <w:p>
      <w:pPr>
        <w:keepNext/>
        <w:keepLines/>
        <w:spacing w:before="300" w:after="300" w:line="280" w:lineRule="exact"/>
        <w:jc w:val="left"/>
        <w:outlineLvl w:val="2"/>
        <w:rPr>
          <w:rFonts w:ascii="宋体" w:hAnsi="宋体" w:eastAsia="宋体" w:cs="宋体"/>
          <w:b/>
          <w:bCs/>
          <w:sz w:val="21"/>
          <w:szCs w:val="21"/>
        </w:rPr>
      </w:pPr>
      <w:bookmarkStart w:id="64" w:name="_Toc988953"/>
      <w:r>
        <w:rPr>
          <w:rFonts w:ascii="宋体" w:hAnsi="宋体" w:eastAsia="宋体" w:cs="宋体"/>
          <w:b/>
          <w:bCs/>
          <w:sz w:val="21"/>
          <w:szCs w:val="21"/>
        </w:rPr>
        <w:t>2、资产或股权收购、出售发生的关联交易</w:t>
      </w:r>
      <w:bookmarkEnd w:id="6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公司报告期未发生资产或股权收购、出售的关联交易。</w:t>
      </w:r>
    </w:p>
    <w:p>
      <w:pPr>
        <w:keepNext/>
        <w:keepLines/>
        <w:spacing w:before="300" w:after="300" w:line="280" w:lineRule="exact"/>
        <w:jc w:val="left"/>
        <w:outlineLvl w:val="2"/>
        <w:rPr>
          <w:rFonts w:ascii="宋体" w:hAnsi="宋体" w:eastAsia="宋体" w:cs="宋体"/>
          <w:b/>
          <w:bCs/>
          <w:sz w:val="21"/>
          <w:szCs w:val="21"/>
        </w:rPr>
      </w:pPr>
      <w:bookmarkStart w:id="65" w:name="_Toc988954"/>
      <w:r>
        <w:rPr>
          <w:rFonts w:ascii="宋体" w:hAnsi="宋体" w:eastAsia="宋体" w:cs="宋体"/>
          <w:b/>
          <w:bCs/>
          <w:sz w:val="21"/>
          <w:szCs w:val="21"/>
        </w:rPr>
        <w:t>3、共同对外投资的关联交易</w:t>
      </w:r>
      <w:bookmarkEnd w:id="6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公司报告期未发生共同对外投资的关联交易。</w:t>
      </w:r>
    </w:p>
    <w:p>
      <w:pPr>
        <w:keepNext/>
        <w:keepLines/>
        <w:spacing w:before="300" w:after="300" w:line="280" w:lineRule="exact"/>
        <w:jc w:val="left"/>
        <w:outlineLvl w:val="2"/>
        <w:rPr>
          <w:rFonts w:ascii="宋体" w:hAnsi="宋体" w:eastAsia="宋体" w:cs="宋体"/>
          <w:b/>
          <w:bCs/>
          <w:sz w:val="21"/>
          <w:szCs w:val="21"/>
        </w:rPr>
      </w:pPr>
      <w:bookmarkStart w:id="66" w:name="_Toc988955"/>
      <w:r>
        <w:rPr>
          <w:rFonts w:ascii="宋体" w:hAnsi="宋体" w:eastAsia="宋体" w:cs="宋体"/>
          <w:b/>
          <w:bCs/>
          <w:sz w:val="21"/>
          <w:szCs w:val="21"/>
        </w:rPr>
        <w:t>4、关联债权债务往来</w:t>
      </w:r>
      <w:bookmarkEnd w:id="6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公司报告期不存在关联债权债务往来。</w:t>
      </w:r>
    </w:p>
    <w:p>
      <w:pPr>
        <w:keepNext/>
        <w:keepLines/>
        <w:spacing w:before="300" w:after="300" w:line="280" w:lineRule="exact"/>
        <w:jc w:val="left"/>
        <w:outlineLvl w:val="2"/>
        <w:rPr>
          <w:rFonts w:ascii="宋体" w:hAnsi="宋体" w:eastAsia="宋体" w:cs="宋体"/>
          <w:b/>
          <w:bCs/>
          <w:sz w:val="21"/>
          <w:szCs w:val="21"/>
        </w:rPr>
      </w:pPr>
      <w:bookmarkStart w:id="67" w:name="_Toc988956"/>
      <w:r>
        <w:rPr>
          <w:rFonts w:ascii="宋体" w:hAnsi="宋体" w:eastAsia="宋体" w:cs="宋体"/>
          <w:b/>
          <w:bCs/>
          <w:sz w:val="21"/>
          <w:szCs w:val="21"/>
        </w:rPr>
        <w:t>5、与存在关联关系的财务公司的往来情况</w:t>
      </w:r>
      <w:bookmarkEnd w:id="6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公司与存在关联关系的财务公司与关联方之间不存在存款、贷款、授信或其他金融业务。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68" w:name="_Toc988957"/>
      <w:r>
        <w:rPr>
          <w:rFonts w:ascii="宋体" w:hAnsi="宋体" w:eastAsia="宋体" w:cs="宋体"/>
          <w:b/>
          <w:bCs/>
          <w:sz w:val="21"/>
          <w:szCs w:val="21"/>
        </w:rPr>
        <w:t>6、公司控股的财务公司与关联方的往来情况</w:t>
      </w:r>
      <w:bookmarkEnd w:id="6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公司控股的财务公司与关联方之间不存在存款、贷款、授信或其他金融业务。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69" w:name="_Toc988958"/>
      <w:r>
        <w:rPr>
          <w:rFonts w:ascii="宋体" w:hAnsi="宋体" w:eastAsia="宋体" w:cs="宋体"/>
          <w:b/>
          <w:bCs/>
          <w:sz w:val="21"/>
          <w:szCs w:val="21"/>
        </w:rPr>
        <w:t>7、其他重大关联交易</w:t>
      </w:r>
      <w:bookmarkEnd w:id="6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公司报告期无其他重大关联交易。</w:t>
      </w:r>
    </w:p>
    <w:p>
      <w:pPr>
        <w:keepNext/>
        <w:keepLines/>
        <w:spacing w:before="300" w:after="300" w:line="320" w:lineRule="exact"/>
        <w:jc w:val="left"/>
        <w:outlineLvl w:val="1"/>
        <w:rPr>
          <w:rFonts w:ascii="宋体" w:hAnsi="宋体" w:eastAsia="宋体" w:cs="宋体"/>
          <w:b/>
          <w:bCs/>
          <w:sz w:val="24"/>
          <w:szCs w:val="24"/>
        </w:rPr>
      </w:pPr>
      <w:bookmarkStart w:id="70" w:name="_Toc988959"/>
      <w:r>
        <w:rPr>
          <w:rFonts w:ascii="宋体" w:hAnsi="宋体" w:eastAsia="宋体" w:cs="宋体"/>
          <w:b/>
          <w:bCs/>
          <w:sz w:val="24"/>
          <w:szCs w:val="24"/>
        </w:rPr>
        <w:t>十二、重大合同及其履行情况</w:t>
      </w:r>
      <w:bookmarkEnd w:id="70"/>
    </w:p>
    <w:p>
      <w:pPr>
        <w:keepNext/>
        <w:keepLines/>
        <w:spacing w:before="300" w:after="300" w:line="280" w:lineRule="exact"/>
        <w:jc w:val="left"/>
        <w:outlineLvl w:val="2"/>
        <w:rPr>
          <w:rFonts w:ascii="宋体" w:hAnsi="宋体" w:eastAsia="宋体" w:cs="宋体"/>
          <w:b/>
          <w:bCs/>
          <w:sz w:val="21"/>
          <w:szCs w:val="21"/>
        </w:rPr>
      </w:pPr>
      <w:bookmarkStart w:id="71" w:name="_Toc988960"/>
      <w:r>
        <w:rPr>
          <w:rFonts w:ascii="宋体" w:hAnsi="宋体" w:eastAsia="宋体" w:cs="宋体"/>
          <w:b/>
          <w:bCs/>
          <w:sz w:val="21"/>
          <w:szCs w:val="21"/>
        </w:rPr>
        <w:t>1、托管、承包、租赁事项情况</w:t>
      </w:r>
      <w:bookmarkEnd w:id="71"/>
    </w:p>
    <w:p>
      <w:pPr>
        <w:keepNext/>
        <w:keepLines/>
        <w:spacing w:before="300" w:after="300" w:line="280" w:lineRule="exact"/>
        <w:jc w:val="left"/>
        <w:outlineLvl w:val="3"/>
        <w:rPr>
          <w:rFonts w:ascii="宋体" w:hAnsi="宋体" w:eastAsia="宋体" w:cs="宋体"/>
          <w:b/>
          <w:bCs/>
          <w:sz w:val="18"/>
          <w:szCs w:val="18"/>
        </w:rPr>
      </w:pPr>
      <w:bookmarkStart w:id="72" w:name="_Toc988961"/>
      <w:r>
        <w:rPr>
          <w:rFonts w:ascii="宋体" w:hAnsi="宋体" w:eastAsia="宋体" w:cs="宋体"/>
          <w:b/>
          <w:bCs/>
          <w:sz w:val="18"/>
          <w:szCs w:val="18"/>
        </w:rPr>
        <w:t>（1） 托管情况</w:t>
      </w:r>
      <w:bookmarkEnd w:id="7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公司报告期不存在托管情况。</w:t>
      </w:r>
    </w:p>
    <w:p>
      <w:pPr>
        <w:keepNext/>
        <w:keepLines/>
        <w:spacing w:before="300" w:after="300" w:line="280" w:lineRule="exact"/>
        <w:jc w:val="left"/>
        <w:outlineLvl w:val="3"/>
        <w:rPr>
          <w:rFonts w:ascii="宋体" w:hAnsi="宋体" w:eastAsia="宋体" w:cs="宋体"/>
          <w:b/>
          <w:bCs/>
          <w:sz w:val="18"/>
          <w:szCs w:val="18"/>
        </w:rPr>
      </w:pPr>
      <w:bookmarkStart w:id="73" w:name="_Toc988962"/>
      <w:r>
        <w:rPr>
          <w:rFonts w:ascii="宋体" w:hAnsi="宋体" w:eastAsia="宋体" w:cs="宋体"/>
          <w:b/>
          <w:bCs/>
          <w:sz w:val="18"/>
          <w:szCs w:val="18"/>
        </w:rPr>
        <w:t>（2） 承包情况</w:t>
      </w:r>
      <w:bookmarkEnd w:id="7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公司报告期不存在承包情况。</w:t>
      </w:r>
    </w:p>
    <w:p>
      <w:pPr>
        <w:keepNext/>
        <w:keepLines/>
        <w:spacing w:before="300" w:after="300" w:line="280" w:lineRule="exact"/>
        <w:jc w:val="left"/>
        <w:outlineLvl w:val="3"/>
        <w:rPr>
          <w:rFonts w:ascii="宋体" w:hAnsi="宋体" w:eastAsia="宋体" w:cs="宋体"/>
          <w:b/>
          <w:bCs/>
          <w:sz w:val="18"/>
          <w:szCs w:val="18"/>
        </w:rPr>
      </w:pPr>
      <w:bookmarkStart w:id="74" w:name="_Toc988963"/>
      <w:r>
        <w:rPr>
          <w:rFonts w:ascii="宋体" w:hAnsi="宋体" w:eastAsia="宋体" w:cs="宋体"/>
          <w:b/>
          <w:bCs/>
          <w:sz w:val="18"/>
          <w:szCs w:val="18"/>
        </w:rPr>
        <w:t>（3） 租赁情况</w:t>
      </w:r>
      <w:bookmarkEnd w:id="7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公司报告期不存在租赁情况。</w:t>
      </w:r>
    </w:p>
    <w:p>
      <w:pPr>
        <w:keepNext/>
        <w:keepLines/>
        <w:spacing w:before="300" w:after="300" w:line="280" w:lineRule="exact"/>
        <w:jc w:val="left"/>
        <w:outlineLvl w:val="2"/>
        <w:rPr>
          <w:rFonts w:ascii="宋体" w:hAnsi="宋体" w:eastAsia="宋体" w:cs="宋体"/>
          <w:b/>
          <w:bCs/>
          <w:sz w:val="21"/>
          <w:szCs w:val="21"/>
        </w:rPr>
      </w:pPr>
      <w:bookmarkStart w:id="75" w:name="_Toc988964"/>
      <w:r>
        <w:rPr>
          <w:rFonts w:ascii="宋体" w:hAnsi="宋体" w:eastAsia="宋体" w:cs="宋体"/>
          <w:b/>
          <w:bCs/>
          <w:sz w:val="21"/>
          <w:szCs w:val="21"/>
        </w:rPr>
        <w:t>2、重大担保</w:t>
      </w:r>
      <w:bookmarkEnd w:id="75"/>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1"/>
        <w:gridCol w:w="900"/>
        <w:gridCol w:w="727"/>
        <w:gridCol w:w="758"/>
        <w:gridCol w:w="825"/>
        <w:gridCol w:w="855"/>
        <w:gridCol w:w="735"/>
        <w:gridCol w:w="840"/>
        <w:gridCol w:w="1243"/>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公司及其子公司对外担保情况（不包括对子公司的担保）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9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7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7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7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12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9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7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7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7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12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7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2020年8月21日至2025年8月21日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c>
          <w:tcPr>
            <w:tcW w:w="7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2023年9月8日至2024年9月8日</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c>
          <w:tcPr>
            <w:tcW w:w="7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2023年3月16至2024年3月16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报告期内审批对子公司担保额度合计（B1）</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243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报告期内对子公司担保实际发生额合计（B2）</w:t>
            </w:r>
          </w:p>
        </w:tc>
        <w:tc>
          <w:tcPr>
            <w:tcW w:w="299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报告期末已审批的对子公司担保额度合计（B3）</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243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报告期末对子公司实际担保余额合计（B4）</w:t>
            </w:r>
          </w:p>
        </w:tc>
        <w:tc>
          <w:tcPr>
            <w:tcW w:w="299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9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7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7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7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12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5"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公司担保总额（即前三大项的合计）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报告期内审批担保额度合计（A1+B1+C1）</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243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报告期内担保实际发生额合计（A2+B2+C2）</w:t>
            </w:r>
          </w:p>
        </w:tc>
        <w:tc>
          <w:tcPr>
            <w:tcW w:w="299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报告期末已审批的担保额度合计（A3+B3+C3）</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243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报告期末实际担保余额合计（A4+B4+C4）</w:t>
            </w:r>
          </w:p>
        </w:tc>
        <w:tc>
          <w:tcPr>
            <w:tcW w:w="299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21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实际担保总额（即A4+B4+C4）占公司净资产的比例</w:t>
            </w:r>
          </w:p>
        </w:tc>
        <w:tc>
          <w:tcPr>
            <w:tcW w:w="5425"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采用复合方式担保的具体情况说明</w:t>
      </w:r>
    </w:p>
    <w:p>
      <w:pPr>
        <w:keepNext/>
        <w:keepLines/>
        <w:spacing w:before="300" w:after="300" w:line="280" w:lineRule="exact"/>
        <w:jc w:val="left"/>
        <w:outlineLvl w:val="2"/>
        <w:rPr>
          <w:rFonts w:ascii="宋体" w:hAnsi="宋体" w:eastAsia="宋体" w:cs="宋体"/>
          <w:b/>
          <w:bCs/>
          <w:sz w:val="21"/>
          <w:szCs w:val="21"/>
        </w:rPr>
      </w:pPr>
      <w:bookmarkStart w:id="76" w:name="_Toc988965"/>
      <w:r>
        <w:rPr>
          <w:rFonts w:ascii="宋体" w:hAnsi="宋体" w:eastAsia="宋体" w:cs="宋体"/>
          <w:b/>
          <w:bCs/>
          <w:sz w:val="21"/>
          <w:szCs w:val="21"/>
        </w:rPr>
        <w:t>3、委托理财</w:t>
      </w:r>
      <w:bookmarkEnd w:id="7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公司报告期不存在委托理财。</w:t>
      </w:r>
    </w:p>
    <w:p>
      <w:pPr>
        <w:keepNext/>
        <w:keepLines/>
        <w:spacing w:before="300" w:after="300" w:line="280" w:lineRule="exact"/>
        <w:jc w:val="left"/>
        <w:outlineLvl w:val="2"/>
        <w:rPr>
          <w:rFonts w:ascii="宋体" w:hAnsi="宋体" w:eastAsia="宋体" w:cs="宋体"/>
          <w:b/>
          <w:bCs/>
          <w:sz w:val="21"/>
          <w:szCs w:val="21"/>
        </w:rPr>
      </w:pPr>
      <w:bookmarkStart w:id="77" w:name="_Toc988966"/>
      <w:r>
        <w:rPr>
          <w:rFonts w:ascii="宋体" w:hAnsi="宋体" w:eastAsia="宋体" w:cs="宋体"/>
          <w:b/>
          <w:bCs/>
          <w:sz w:val="21"/>
          <w:szCs w:val="21"/>
        </w:rPr>
        <w:t>4、其他重大合同</w:t>
      </w:r>
      <w:bookmarkEnd w:id="7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公司报告期不存在其他重大合同。</w:t>
      </w:r>
    </w:p>
    <w:p>
      <w:pPr>
        <w:keepNext/>
        <w:keepLines/>
        <w:spacing w:before="300" w:after="300" w:line="320" w:lineRule="exact"/>
        <w:jc w:val="left"/>
        <w:outlineLvl w:val="1"/>
        <w:rPr>
          <w:rFonts w:ascii="宋体" w:hAnsi="宋体" w:eastAsia="宋体" w:cs="宋体"/>
          <w:b/>
          <w:bCs/>
          <w:sz w:val="24"/>
          <w:szCs w:val="24"/>
        </w:rPr>
      </w:pPr>
      <w:bookmarkStart w:id="78" w:name="_Toc988967"/>
      <w:r>
        <w:rPr>
          <w:rFonts w:ascii="宋体" w:hAnsi="宋体" w:eastAsia="宋体" w:cs="宋体"/>
          <w:b/>
          <w:bCs/>
          <w:sz w:val="24"/>
          <w:szCs w:val="24"/>
        </w:rPr>
        <w:t>十三、其他重大事项的说明</w:t>
      </w:r>
      <w:bookmarkEnd w:id="7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公司报告期不存在需要说明的其他重大事项。</w:t>
      </w:r>
    </w:p>
    <w:p>
      <w:pPr>
        <w:keepNext/>
        <w:keepLines/>
        <w:spacing w:before="300" w:after="300" w:line="320" w:lineRule="exact"/>
        <w:jc w:val="left"/>
        <w:outlineLvl w:val="1"/>
        <w:rPr>
          <w:rFonts w:ascii="宋体" w:hAnsi="宋体" w:eastAsia="宋体" w:cs="宋体"/>
          <w:b/>
          <w:bCs/>
          <w:sz w:val="24"/>
          <w:szCs w:val="24"/>
        </w:rPr>
      </w:pPr>
      <w:bookmarkStart w:id="79" w:name="_Toc988968"/>
      <w:r>
        <w:rPr>
          <w:rFonts w:ascii="宋体" w:hAnsi="宋体" w:eastAsia="宋体" w:cs="宋体"/>
          <w:b/>
          <w:bCs/>
          <w:sz w:val="24"/>
          <w:szCs w:val="24"/>
        </w:rPr>
        <w:t>十四、公司子公司重大事项</w:t>
      </w:r>
      <w:bookmarkEnd w:id="7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80" w:name="_Toc988969"/>
      <w:r>
        <w:rPr>
          <w:rFonts w:ascii="宋体" w:hAnsi="宋体" w:eastAsia="宋体" w:cs="宋体"/>
          <w:b/>
          <w:bCs/>
          <w:sz w:val="32"/>
          <w:szCs w:val="32"/>
        </w:rPr>
        <w:t>第七节 股份变动及股东情况</w:t>
      </w:r>
      <w:bookmarkEnd w:id="80"/>
    </w:p>
    <w:p>
      <w:pPr>
        <w:keepNext/>
        <w:keepLines/>
        <w:spacing w:before="300" w:after="300" w:line="320" w:lineRule="exact"/>
        <w:jc w:val="left"/>
        <w:outlineLvl w:val="1"/>
        <w:rPr>
          <w:rFonts w:ascii="宋体" w:hAnsi="宋体" w:eastAsia="宋体" w:cs="宋体"/>
          <w:b/>
          <w:bCs/>
          <w:sz w:val="24"/>
          <w:szCs w:val="24"/>
        </w:rPr>
      </w:pPr>
      <w:bookmarkStart w:id="81" w:name="_Toc988970"/>
      <w:r>
        <w:rPr>
          <w:rFonts w:ascii="宋体" w:hAnsi="宋体" w:eastAsia="宋体" w:cs="宋体"/>
          <w:b/>
          <w:bCs/>
          <w:sz w:val="24"/>
          <w:szCs w:val="24"/>
        </w:rPr>
        <w:t>一、股份变动情况</w:t>
      </w:r>
      <w:bookmarkEnd w:id="81"/>
    </w:p>
    <w:p>
      <w:pPr>
        <w:keepNext/>
        <w:keepLines/>
        <w:spacing w:before="300" w:after="300" w:line="280" w:lineRule="exact"/>
        <w:jc w:val="left"/>
        <w:outlineLvl w:val="2"/>
        <w:rPr>
          <w:rFonts w:ascii="宋体" w:hAnsi="宋体" w:eastAsia="宋体" w:cs="宋体"/>
          <w:b/>
          <w:bCs/>
          <w:sz w:val="21"/>
          <w:szCs w:val="21"/>
        </w:rPr>
      </w:pPr>
      <w:bookmarkStart w:id="82" w:name="_Toc988971"/>
      <w:r>
        <w:rPr>
          <w:rFonts w:ascii="宋体" w:hAnsi="宋体" w:eastAsia="宋体" w:cs="宋体"/>
          <w:b/>
          <w:bCs/>
          <w:sz w:val="21"/>
          <w:szCs w:val="21"/>
        </w:rPr>
        <w:t>1、股份变动情况</w:t>
      </w:r>
      <w:bookmarkEnd w:id="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
</w:t>
      </w:r>
    </w:p>
    <w:tbl>
      <w:tblPr>
        <w:tblStyle w:val="3"/>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99"/>
        <w:gridCol w:w="1290"/>
        <w:gridCol w:w="930"/>
        <w:gridCol w:w="720"/>
        <w:gridCol w:w="570"/>
        <w:gridCol w:w="840"/>
        <w:gridCol w:w="525"/>
        <w:gridCol w:w="525"/>
        <w:gridCol w:w="1245"/>
        <w:gridCol w:w="8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2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本次变动前</w:t>
            </w:r>
          </w:p>
        </w:tc>
        <w:tc>
          <w:tcPr>
            <w:tcW w:w="318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214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7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5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5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8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jc w:val="left"/>
              <w:rPr>
                <w:rFonts w:ascii="宋体" w:hAnsi="宋体" w:eastAsia="宋体" w:cs="宋体"/>
                <w:sz w:val="18"/>
                <w:szCs w:val="18"/>
              </w:rPr>
            </w:pPr>
            <w:r>
              <w:rPr>
                <w:rFonts w:ascii="宋体" w:hAnsi="宋体" w:eastAsia="宋体" w:cs="宋体"/>
                <w:sz w:val="18"/>
                <w:szCs w:val="18"/>
              </w:rPr>
              <w:t>一、有限售条件股份</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firstLine="180" w:firstLineChars="100"/>
              <w:jc w:val="left"/>
              <w:rPr>
                <w:rFonts w:ascii="宋体" w:hAnsi="宋体" w:eastAsia="宋体" w:cs="宋体"/>
                <w:sz w:val="18"/>
                <w:szCs w:val="18"/>
              </w:rPr>
            </w:pPr>
            <w:r>
              <w:rPr>
                <w:rFonts w:ascii="宋体" w:hAnsi="宋体" w:eastAsia="宋体" w:cs="宋体"/>
                <w:sz w:val="18"/>
                <w:szCs w:val="18"/>
              </w:rPr>
              <w:t>1、国家持股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firstLine="180" w:firstLineChars="100"/>
              <w:jc w:val="left"/>
              <w:rPr>
                <w:rFonts w:ascii="宋体" w:hAnsi="宋体" w:eastAsia="宋体" w:cs="宋体"/>
                <w:sz w:val="18"/>
                <w:szCs w:val="18"/>
              </w:rPr>
            </w:pPr>
            <w:r>
              <w:rPr>
                <w:rFonts w:ascii="宋体" w:hAnsi="宋体" w:eastAsia="宋体" w:cs="宋体"/>
                <w:sz w:val="18"/>
                <w:szCs w:val="18"/>
              </w:rPr>
              <w:t>2、国有法人持股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firstLine="180" w:firstLineChars="100"/>
              <w:jc w:val="left"/>
              <w:rPr>
                <w:rFonts w:ascii="宋体" w:hAnsi="宋体" w:eastAsia="宋体" w:cs="宋体"/>
                <w:sz w:val="18"/>
                <w:szCs w:val="18"/>
              </w:rPr>
            </w:pPr>
            <w:r>
              <w:rPr>
                <w:rFonts w:ascii="宋体" w:hAnsi="宋体" w:eastAsia="宋体" w:cs="宋体"/>
                <w:sz w:val="18"/>
                <w:szCs w:val="18"/>
              </w:rPr>
              <w:t>3、其他内资持股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firstLine="360" w:firstLineChars="200"/>
              <w:jc w:val="left"/>
              <w:rPr>
                <w:rFonts w:ascii="宋体" w:hAnsi="宋体" w:eastAsia="宋体" w:cs="宋体"/>
                <w:sz w:val="18"/>
                <w:szCs w:val="18"/>
              </w:rPr>
            </w:pPr>
            <w:r>
              <w:rPr>
                <w:rFonts w:ascii="宋体" w:hAnsi="宋体" w:eastAsia="宋体" w:cs="宋体"/>
                <w:sz w:val="18"/>
                <w:szCs w:val="18"/>
              </w:rPr>
              <w:t>其中：境内法人持股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firstLine="360" w:firstLineChars="200"/>
              <w:jc w:val="left"/>
              <w:rPr>
                <w:rFonts w:ascii="宋体" w:hAnsi="宋体" w:eastAsia="宋体" w:cs="宋体"/>
                <w:sz w:val="18"/>
                <w:szCs w:val="18"/>
              </w:rPr>
            </w:pPr>
            <w:r>
              <w:rPr>
                <w:rFonts w:ascii="宋体" w:hAnsi="宋体" w:eastAsia="宋体" w:cs="宋体"/>
                <w:sz w:val="18"/>
                <w:szCs w:val="18"/>
              </w:rPr>
              <w:t>境内自然人持股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firstLine="180" w:firstLineChars="100"/>
              <w:jc w:val="left"/>
              <w:rPr>
                <w:rFonts w:ascii="宋体" w:hAnsi="宋体" w:eastAsia="宋体" w:cs="宋体"/>
                <w:sz w:val="18"/>
                <w:szCs w:val="18"/>
              </w:rPr>
            </w:pPr>
            <w:r>
              <w:rPr>
                <w:rFonts w:ascii="宋体" w:hAnsi="宋体" w:eastAsia="宋体" w:cs="宋体"/>
                <w:sz w:val="18"/>
                <w:szCs w:val="18"/>
              </w:rPr>
              <w:t>4、外资持股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firstLine="360" w:firstLineChars="200"/>
              <w:jc w:val="left"/>
              <w:rPr>
                <w:rFonts w:ascii="宋体" w:hAnsi="宋体" w:eastAsia="宋体" w:cs="宋体"/>
                <w:sz w:val="18"/>
                <w:szCs w:val="18"/>
              </w:rPr>
            </w:pPr>
            <w:r>
              <w:rPr>
                <w:rFonts w:ascii="宋体" w:hAnsi="宋体" w:eastAsia="宋体" w:cs="宋体"/>
                <w:sz w:val="18"/>
                <w:szCs w:val="18"/>
              </w:rPr>
              <w:t>其中：境外法人持股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firstLine="360" w:firstLineChars="200"/>
              <w:jc w:val="left"/>
              <w:rPr>
                <w:rFonts w:ascii="宋体" w:hAnsi="宋体" w:eastAsia="宋体" w:cs="宋体"/>
                <w:sz w:val="18"/>
                <w:szCs w:val="18"/>
              </w:rPr>
            </w:pPr>
            <w:r>
              <w:rPr>
                <w:rFonts w:ascii="宋体" w:hAnsi="宋体" w:eastAsia="宋体" w:cs="宋体"/>
                <w:sz w:val="18"/>
                <w:szCs w:val="18"/>
              </w:rPr>
              <w:t>境外自然人持股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jc w:val="left"/>
              <w:rPr>
                <w:rFonts w:ascii="宋体" w:hAnsi="宋体" w:eastAsia="宋体" w:cs="宋体"/>
                <w:sz w:val="18"/>
                <w:szCs w:val="18"/>
              </w:rPr>
            </w:pPr>
            <w:r>
              <w:rPr>
                <w:rFonts w:ascii="宋体" w:hAnsi="宋体" w:eastAsia="宋体" w:cs="宋体"/>
                <w:sz w:val="18"/>
                <w:szCs w:val="18"/>
              </w:rPr>
              <w:t>二、无限售条件股份</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firstLine="180" w:firstLineChars="100"/>
              <w:jc w:val="left"/>
              <w:rPr>
                <w:rFonts w:ascii="宋体" w:hAnsi="宋体" w:eastAsia="宋体" w:cs="宋体"/>
                <w:sz w:val="18"/>
                <w:szCs w:val="18"/>
              </w:rPr>
            </w:pPr>
            <w:r>
              <w:rPr>
                <w:rFonts w:ascii="宋体" w:hAnsi="宋体" w:eastAsia="宋体" w:cs="宋体"/>
                <w:sz w:val="18"/>
                <w:szCs w:val="18"/>
              </w:rPr>
              <w:t>1、人民币普通股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firstLine="180" w:firstLineChars="100"/>
              <w:jc w:val="left"/>
              <w:rPr>
                <w:rFonts w:ascii="宋体" w:hAnsi="宋体" w:eastAsia="宋体" w:cs="宋体"/>
                <w:sz w:val="18"/>
                <w:szCs w:val="18"/>
              </w:rPr>
            </w:pPr>
            <w:r>
              <w:rPr>
                <w:rFonts w:ascii="宋体" w:hAnsi="宋体" w:eastAsia="宋体" w:cs="宋体"/>
                <w:sz w:val="18"/>
                <w:szCs w:val="18"/>
              </w:rPr>
              <w:t>2、境内上市的外资股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firstLine="180" w:firstLineChars="100"/>
              <w:jc w:val="left"/>
              <w:rPr>
                <w:rFonts w:ascii="宋体" w:hAnsi="宋体" w:eastAsia="宋体" w:cs="宋体"/>
                <w:sz w:val="18"/>
                <w:szCs w:val="18"/>
              </w:rPr>
            </w:pPr>
            <w:r>
              <w:rPr>
                <w:rFonts w:ascii="宋体" w:hAnsi="宋体" w:eastAsia="宋体" w:cs="宋体"/>
                <w:sz w:val="18"/>
                <w:szCs w:val="18"/>
              </w:rPr>
              <w:t>3、境外上市的外资股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firstLine="180" w:firstLineChars="100"/>
              <w:jc w:val="left"/>
              <w:rPr>
                <w:rFonts w:ascii="宋体" w:hAnsi="宋体" w:eastAsia="宋体" w:cs="宋体"/>
                <w:sz w:val="18"/>
                <w:szCs w:val="18"/>
              </w:rPr>
            </w:pPr>
            <w:r>
              <w:rPr>
                <w:rFonts w:ascii="宋体" w:hAnsi="宋体" w:eastAsia="宋体" w:cs="宋体"/>
                <w:sz w:val="18"/>
                <w:szCs w:val="18"/>
              </w:rPr>
              <w:t>4、其他</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6" w:rightChars="-8"/>
              <w:jc w:val="left"/>
              <w:rPr>
                <w:rFonts w:ascii="宋体" w:hAnsi="宋体" w:eastAsia="宋体" w:cs="宋体"/>
                <w:sz w:val="18"/>
                <w:szCs w:val="18"/>
              </w:rPr>
            </w:pPr>
            <w:r>
              <w:rPr>
                <w:rFonts w:ascii="宋体" w:hAnsi="宋体" w:eastAsia="宋体" w:cs="宋体"/>
                <w:sz w:val="18"/>
                <w:szCs w:val="18"/>
              </w:rPr>
              <w:t>三、股份总数</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股份变动的批准情况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股份变动的过户情况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股份回购的实施进展情况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采用集中竞价方式减持回购股份的实施进展情况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股份变动对最近一年和最近一期基本每股收益和稀释每股收益、归属于公司普通股股东的每股净资产等财务指标的影响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公司认为必要或证券监管机构要求披露的其他内容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83" w:name="_Toc988972"/>
      <w:r>
        <w:rPr>
          <w:rFonts w:ascii="宋体" w:hAnsi="宋体" w:eastAsia="宋体" w:cs="宋体"/>
          <w:b/>
          <w:bCs/>
          <w:sz w:val="21"/>
          <w:szCs w:val="21"/>
        </w:rPr>
        <w:t>2、限售股份变动情况</w:t>
      </w:r>
      <w:bookmarkEnd w:id="8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4" w:name="_Toc988973"/>
      <w:r>
        <w:rPr>
          <w:rFonts w:ascii="宋体" w:hAnsi="宋体" w:eastAsia="宋体" w:cs="宋体"/>
          <w:b/>
          <w:bCs/>
          <w:sz w:val="24"/>
          <w:szCs w:val="24"/>
        </w:rPr>
        <w:t>二、证券发行与上市情况</w:t>
      </w:r>
      <w:bookmarkEnd w:id="8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5" w:name="_Toc988974"/>
      <w:r>
        <w:rPr>
          <w:rFonts w:ascii="宋体" w:hAnsi="宋体" w:eastAsia="宋体" w:cs="宋体"/>
          <w:b/>
          <w:bCs/>
          <w:sz w:val="24"/>
          <w:szCs w:val="24"/>
        </w:rPr>
        <w:t>三、公司股东数量及持股情况</w:t>
      </w:r>
      <w:bookmarkEnd w:id="85"/>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34"/>
        <w:gridCol w:w="960"/>
        <w:gridCol w:w="810"/>
        <w:gridCol w:w="1185"/>
        <w:gridCol w:w="1200"/>
        <w:gridCol w:w="45"/>
        <w:gridCol w:w="900"/>
        <w:gridCol w:w="1080"/>
        <w:gridCol w:w="105"/>
        <w:gridCol w:w="810"/>
        <w:gridCol w:w="6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9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58,405</w:t>
            </w:r>
          </w:p>
        </w:tc>
        <w:tc>
          <w:tcPr>
            <w:tcW w:w="333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报告期末表决权恢复的优先股股东总数（如有）（参见注8）</w:t>
            </w:r>
          </w:p>
        </w:tc>
        <w:tc>
          <w:tcPr>
            <w:tcW w:w="14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持股5%以上的普通股股东或前10名普通股股东持股情况（不含通过转融通出借股份）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96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8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18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报告期末持有的普通股数量</w:t>
            </w:r>
          </w:p>
        </w:tc>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报告期内增减变动情况</w:t>
            </w:r>
          </w:p>
        </w:tc>
        <w:tc>
          <w:tcPr>
            <w:tcW w:w="945"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6" w:rightChars="0"/>
              <w:jc w:val="center"/>
              <w:rPr>
                <w:rFonts w:ascii="宋体" w:hAnsi="宋体" w:eastAsia="宋体" w:cs="宋体"/>
                <w:sz w:val="18"/>
                <w:szCs w:val="18"/>
              </w:rPr>
            </w:pPr>
            <w:r>
              <w:rPr>
                <w:rFonts w:ascii="宋体" w:hAnsi="宋体" w:eastAsia="宋体" w:cs="宋体"/>
                <w:sz w:val="18"/>
                <w:szCs w:val="18"/>
              </w:rPr>
              <w:t>持有有限售条件的普通股数量</w:t>
            </w:r>
          </w:p>
        </w:tc>
        <w:tc>
          <w:tcPr>
            <w:tcW w:w="1185"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持有无限售条件的普通股数量</w:t>
            </w:r>
          </w:p>
        </w:tc>
        <w:tc>
          <w:tcPr>
            <w:tcW w:w="14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96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8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945"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85"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6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94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7.71%</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44,184,602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35" w:rightChars="-17"/>
              <w:jc w:val="left"/>
              <w:rPr>
                <w:rFonts w:ascii="宋体" w:hAnsi="宋体" w:eastAsia="宋体" w:cs="宋体"/>
                <w:sz w:val="18"/>
                <w:szCs w:val="18"/>
              </w:rPr>
            </w:pPr>
            <w:r>
              <w:rPr>
                <w:rFonts w:ascii="宋体" w:hAnsi="宋体" w:eastAsia="宋体" w:cs="宋体"/>
                <w:sz w:val="18"/>
                <w:szCs w:val="18"/>
              </w:rPr>
              <w:t>-220,000</w:t>
            </w:r>
          </w:p>
        </w:tc>
        <w:tc>
          <w:tcPr>
            <w:tcW w:w="94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44,184,602</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94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94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李卓</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12,896,200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75" w:rightChars="-36"/>
              <w:jc w:val="left"/>
              <w:rPr>
                <w:rFonts w:ascii="宋体" w:hAnsi="宋体" w:eastAsia="宋体" w:cs="宋体"/>
                <w:sz w:val="18"/>
                <w:szCs w:val="18"/>
              </w:rPr>
            </w:pPr>
            <w:r>
              <w:rPr>
                <w:rFonts w:ascii="宋体" w:hAnsi="宋体" w:eastAsia="宋体" w:cs="宋体"/>
                <w:sz w:val="18"/>
                <w:szCs w:val="18"/>
              </w:rPr>
              <w:t>-10,335,800</w:t>
            </w:r>
          </w:p>
        </w:tc>
        <w:tc>
          <w:tcPr>
            <w:tcW w:w="94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12,896,200</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0.54%</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3,091,216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94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3,091,216</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2,300,000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94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2,300,000</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廖兵</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0.35%</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1,994,621</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-115,700</w:t>
            </w:r>
          </w:p>
        </w:tc>
        <w:tc>
          <w:tcPr>
            <w:tcW w:w="94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1,994,621</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熊翔</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0.32%</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1,836,000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94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1,836,000</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许凯嘉</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1,495,400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40,400</w:t>
            </w:r>
          </w:p>
        </w:tc>
        <w:tc>
          <w:tcPr>
            <w:tcW w:w="94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1,495,400</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战略投资者或一般法人因配售新股成为前10名普通股股东的情况（如有）（参见注3）</w:t>
            </w:r>
          </w:p>
        </w:tc>
        <w:tc>
          <w:tcPr>
            <w:tcW w:w="674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674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上述股东涉及委托/受托表决权、放弃表决权情况的说明</w:t>
            </w:r>
          </w:p>
        </w:tc>
        <w:tc>
          <w:tcPr>
            <w:tcW w:w="674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前10名股东中存在回购专户的特别说明（如有）（参见注11）</w:t>
            </w:r>
          </w:p>
        </w:tc>
        <w:tc>
          <w:tcPr>
            <w:tcW w:w="674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前10名无限售条件普通股股东持股情况（不含通过转融通出借股份、高管锁定股）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3240" w:type="dxa"/>
            <w:gridSpan w:val="4"/>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报告期末持有无限售条件普通股股份数量</w:t>
            </w:r>
          </w:p>
        </w:tc>
        <w:tc>
          <w:tcPr>
            <w:tcW w:w="3505"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40" w:type="dxa"/>
            <w:gridSpan w:val="4"/>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8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52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324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w:t>
            </w:r>
          </w:p>
        </w:tc>
        <w:tc>
          <w:tcPr>
            <w:tcW w:w="198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324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44,184,602</w:t>
            </w:r>
          </w:p>
        </w:tc>
        <w:tc>
          <w:tcPr>
            <w:tcW w:w="198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44,184,602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324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37,402,680</w:t>
            </w:r>
          </w:p>
        </w:tc>
        <w:tc>
          <w:tcPr>
            <w:tcW w:w="198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37,402,680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324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24,193,548</w:t>
            </w:r>
          </w:p>
        </w:tc>
        <w:tc>
          <w:tcPr>
            <w:tcW w:w="198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24,193,548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李卓</w:t>
            </w:r>
          </w:p>
        </w:tc>
        <w:tc>
          <w:tcPr>
            <w:tcW w:w="324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12,896,200</w:t>
            </w:r>
          </w:p>
        </w:tc>
        <w:tc>
          <w:tcPr>
            <w:tcW w:w="198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12,896,200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324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3,091,216</w:t>
            </w:r>
          </w:p>
        </w:tc>
        <w:tc>
          <w:tcPr>
            <w:tcW w:w="198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3,091,216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324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2,300,000</w:t>
            </w:r>
          </w:p>
        </w:tc>
        <w:tc>
          <w:tcPr>
            <w:tcW w:w="198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廖兵</w:t>
            </w:r>
          </w:p>
        </w:tc>
        <w:tc>
          <w:tcPr>
            <w:tcW w:w="324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1,994,621</w:t>
            </w:r>
          </w:p>
        </w:tc>
        <w:tc>
          <w:tcPr>
            <w:tcW w:w="198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1,994,621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熊翔</w:t>
            </w:r>
          </w:p>
        </w:tc>
        <w:tc>
          <w:tcPr>
            <w:tcW w:w="324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1,836,000</w:t>
            </w:r>
          </w:p>
        </w:tc>
        <w:tc>
          <w:tcPr>
            <w:tcW w:w="198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1,836,000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许凯嘉</w:t>
            </w:r>
          </w:p>
        </w:tc>
        <w:tc>
          <w:tcPr>
            <w:tcW w:w="324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1,495,400</w:t>
            </w:r>
          </w:p>
        </w:tc>
        <w:tc>
          <w:tcPr>
            <w:tcW w:w="198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1,495,400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前10名无限售条件普通股股东之间，以及前10名无限售条件普通股股东和前10名普通股股东之间关联关系或一致行动的说明</w:t>
            </w:r>
          </w:p>
        </w:tc>
        <w:tc>
          <w:tcPr>
            <w:tcW w:w="674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前10名普通股股东参与融资融券业务情况说明（如有）（参见注4）</w:t>
            </w:r>
          </w:p>
        </w:tc>
        <w:tc>
          <w:tcPr>
            <w:tcW w:w="674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前10名股东李卓通过投资者信用账户持有公司股票12,879,000股，通过普通证券账户持有17,200股，普通证券账户及投资者信用账户合计持有12,896,200股；股东廖兵通过投资者信用账户持有公司股票1,994,421股，通过普通证券账户持有200股，普通证券账户及投资者信用账户合计持有1,994,621股；股东许凯嘉通过投资者信用账户持有公司股票1,279,000股，通过普通证券账户持有216,400股，普通证券账户及投资者信用账户合计持有1,495,400股。</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公司前10名普通股股东、前10名无限售条件普通股股东在报告期内是否进行约定购回交易</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公司前10名普通股股东、前10名无限售条件普通股股东在报告期内未进行约定购回交易。</w:t>
      </w:r>
    </w:p>
    <w:p>
      <w:pPr>
        <w:keepNext/>
        <w:keepLines/>
        <w:spacing w:before="300" w:after="300" w:line="320" w:lineRule="exact"/>
        <w:jc w:val="left"/>
        <w:outlineLvl w:val="1"/>
        <w:rPr>
          <w:rFonts w:ascii="宋体" w:hAnsi="宋体" w:eastAsia="宋体" w:cs="宋体"/>
          <w:b/>
          <w:bCs/>
          <w:sz w:val="24"/>
          <w:szCs w:val="24"/>
        </w:rPr>
      </w:pPr>
      <w:bookmarkStart w:id="86" w:name="_Toc988975"/>
      <w:r>
        <w:rPr>
          <w:rFonts w:ascii="宋体" w:hAnsi="宋体" w:eastAsia="宋体" w:cs="宋体"/>
          <w:b/>
          <w:bCs/>
          <w:sz w:val="24"/>
          <w:szCs w:val="24"/>
        </w:rPr>
        <w:t>四、董事、监事和高级管理人员持股变动</w:t>
      </w:r>
      <w:bookmarkEnd w:id="8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公司董事、监事和高级管理人员在报告期持股情况没有发生变动，具体可参见2023年年报。</w:t>
      </w:r>
    </w:p>
    <w:p>
      <w:pPr>
        <w:keepNext/>
        <w:keepLines/>
        <w:spacing w:before="300" w:after="300" w:line="320" w:lineRule="exact"/>
        <w:jc w:val="left"/>
        <w:outlineLvl w:val="1"/>
        <w:rPr>
          <w:rFonts w:ascii="宋体" w:hAnsi="宋体" w:eastAsia="宋体" w:cs="宋体"/>
          <w:b/>
          <w:bCs/>
          <w:sz w:val="24"/>
          <w:szCs w:val="24"/>
        </w:rPr>
      </w:pPr>
      <w:bookmarkStart w:id="87" w:name="_Toc988976"/>
      <w:r>
        <w:rPr>
          <w:rFonts w:ascii="宋体" w:hAnsi="宋体" w:eastAsia="宋体" w:cs="宋体"/>
          <w:b/>
          <w:bCs/>
          <w:sz w:val="24"/>
          <w:szCs w:val="24"/>
        </w:rPr>
        <w:t>五、控股股东或实际控制人变更情况</w:t>
      </w:r>
      <w:bookmarkEnd w:id="87"/>
    </w:p>
    <w:p>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公司报告期控股股东未发生变更。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公司报告期实际控制人未发生变更。</w:t>
      </w:r>
    </w:p>
    <w:p>
      <w:r>
        <w:br w:type="page"/>
      </w:r>
    </w:p>
    <w:p>
      <w:pPr>
        <w:keepNext/>
        <w:keepLines/>
        <w:spacing w:before="340" w:after="330" w:line="773" w:lineRule="exact"/>
        <w:jc w:val="center"/>
        <w:outlineLvl w:val="0"/>
        <w:rPr>
          <w:rFonts w:ascii="宋体" w:hAnsi="宋体" w:eastAsia="宋体" w:cs="宋体"/>
          <w:b/>
          <w:bCs/>
          <w:sz w:val="32"/>
          <w:szCs w:val="32"/>
        </w:rPr>
      </w:pPr>
      <w:bookmarkStart w:id="88" w:name="_Toc988977"/>
      <w:r>
        <w:rPr>
          <w:rFonts w:ascii="宋体" w:hAnsi="宋体" w:eastAsia="宋体" w:cs="宋体"/>
          <w:b/>
          <w:bCs/>
          <w:sz w:val="32"/>
          <w:szCs w:val="32"/>
        </w:rPr>
        <w:t>第八节 优先股相关情况</w:t>
      </w:r>
      <w:bookmarkEnd w:id="8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0" w:after="0" w:line="240" w:lineRule="exact"/>
        <w:jc w:val="left"/>
        <w:rPr>
          <w:rFonts w:ascii="宋体" w:hAnsi="宋体" w:eastAsia="宋体" w:cs="宋体"/>
          <w:sz w:val="18"/>
          <w:szCs w:val="18"/>
        </w:rPr>
      </w:pPr>
      <w:r>
        <w:rPr>
          <w:rFonts w:ascii="宋体" w:hAnsi="宋体" w:eastAsia="宋体" w:cs="宋体"/>
          <w:sz w:val="18"/>
          <w:szCs w:val="18"/>
        </w:rPr>
        <w:t>报告期公司不存在优先股。</w:t>
      </w:r>
    </w:p>
    <w:p>
      <w:r>
        <w:br w:type="page"/>
      </w:r>
    </w:p>
    <w:p>
      <w:pPr>
        <w:keepNext/>
        <w:keepLines/>
        <w:spacing w:before="340" w:after="330" w:line="773" w:lineRule="exact"/>
        <w:jc w:val="center"/>
        <w:outlineLvl w:val="0"/>
        <w:rPr>
          <w:rFonts w:ascii="宋体" w:hAnsi="宋体" w:eastAsia="宋体" w:cs="宋体"/>
          <w:b/>
          <w:bCs/>
          <w:sz w:val="32"/>
          <w:szCs w:val="32"/>
        </w:rPr>
      </w:pPr>
      <w:bookmarkStart w:id="89" w:name="_Toc988978"/>
      <w:r>
        <w:rPr>
          <w:rFonts w:ascii="宋体" w:hAnsi="宋体" w:eastAsia="宋体" w:cs="宋体"/>
          <w:b/>
          <w:bCs/>
          <w:sz w:val="32"/>
          <w:szCs w:val="32"/>
        </w:rPr>
        <w:t>第九节 债券相关情况</w:t>
      </w:r>
      <w:bookmarkEnd w:id="8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90" w:name="_Toc988979"/>
      <w:r>
        <w:rPr>
          <w:rFonts w:ascii="宋体" w:hAnsi="宋体" w:eastAsia="宋体" w:cs="宋体"/>
          <w:b/>
          <w:bCs/>
          <w:sz w:val="32"/>
          <w:szCs w:val="32"/>
        </w:rPr>
        <w:t>第十节 财务报告</w:t>
      </w:r>
      <w:bookmarkEnd w:id="90"/>
    </w:p>
    <w:p>
      <w:pPr>
        <w:keepNext/>
        <w:keepLines/>
        <w:spacing w:before="300" w:after="300" w:line="320" w:lineRule="exact"/>
        <w:jc w:val="left"/>
        <w:outlineLvl w:val="1"/>
        <w:rPr>
          <w:rFonts w:ascii="宋体" w:hAnsi="宋体" w:eastAsia="宋体" w:cs="宋体"/>
          <w:b/>
          <w:bCs/>
          <w:sz w:val="24"/>
          <w:szCs w:val="24"/>
        </w:rPr>
      </w:pPr>
      <w:bookmarkStart w:id="91" w:name="_Toc988980"/>
      <w:r>
        <w:rPr>
          <w:rFonts w:ascii="宋体" w:hAnsi="宋体" w:eastAsia="宋体" w:cs="宋体"/>
          <w:b/>
          <w:bCs/>
          <w:sz w:val="24"/>
          <w:szCs w:val="24"/>
        </w:rPr>
        <w:t>一、审计报告</w:t>
      </w:r>
      <w:bookmarkEnd w:id="91"/>
    </w:p>
    <w:p>
      <w:pPr>
        <w:spacing w:before="40" w:after="40" w:line="240" w:lineRule="exact"/>
        <w:jc w:val="left"/>
        <w:rPr>
          <w:rFonts w:ascii="宋体" w:hAnsi="宋体" w:eastAsia="宋体" w:cs="宋体"/>
          <w:sz w:val="18"/>
          <w:szCs w:val="18"/>
        </w:rPr>
      </w:pPr>
      <w:r>
        <w:rPr>
          <w:rFonts w:ascii="宋体" w:hAnsi="宋体" w:eastAsia="宋体" w:cs="宋体"/>
          <w:sz w:val="18"/>
          <w:szCs w:val="18"/>
        </w:rPr>
        <w:t>半年度报告是否经过审计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公司半年度财务报告未经审计。</w:t>
      </w:r>
    </w:p>
    <w:p>
      <w:pPr>
        <w:keepNext/>
        <w:keepLines/>
        <w:spacing w:before="300" w:after="300" w:line="320" w:lineRule="exact"/>
        <w:jc w:val="left"/>
        <w:outlineLvl w:val="1"/>
        <w:rPr>
          <w:rFonts w:ascii="宋体" w:hAnsi="宋体" w:eastAsia="宋体" w:cs="宋体"/>
          <w:b/>
          <w:bCs/>
          <w:sz w:val="24"/>
          <w:szCs w:val="24"/>
        </w:rPr>
      </w:pPr>
      <w:bookmarkStart w:id="92" w:name="_Toc988981"/>
      <w:r>
        <w:rPr>
          <w:rFonts w:ascii="宋体" w:hAnsi="宋体" w:eastAsia="宋体" w:cs="宋体"/>
          <w:b/>
          <w:bCs/>
          <w:sz w:val="24"/>
          <w:szCs w:val="24"/>
        </w:rPr>
        <w:t>二、财务报表</w:t>
      </w:r>
      <w:bookmarkEnd w:id="92"/>
    </w:p>
    <w:p>
      <w:pPr>
        <w:spacing w:before="40" w:after="40" w:line="240" w:lineRule="exact"/>
        <w:jc w:val="left"/>
        <w:rPr>
          <w:rFonts w:ascii="宋体" w:hAnsi="宋体" w:eastAsia="宋体" w:cs="宋体"/>
          <w:sz w:val="18"/>
          <w:szCs w:val="18"/>
        </w:rPr>
      </w:pPr>
      <w:r>
        <w:rPr>
          <w:rFonts w:ascii="宋体" w:hAnsi="宋体" w:eastAsia="宋体" w:cs="宋体"/>
          <w:sz w:val="18"/>
          <w:szCs w:val="18"/>
        </w:rPr>
        <w:t>财务附注中报表的单位为：元</w:t>
      </w:r>
    </w:p>
    <w:p>
      <w:pPr>
        <w:keepNext/>
        <w:keepLines/>
        <w:spacing w:before="300" w:after="300" w:line="280" w:lineRule="exact"/>
        <w:jc w:val="left"/>
        <w:outlineLvl w:val="2"/>
        <w:rPr>
          <w:rFonts w:ascii="宋体" w:hAnsi="宋体" w:eastAsia="宋体" w:cs="宋体"/>
          <w:b/>
          <w:bCs/>
          <w:sz w:val="21"/>
          <w:szCs w:val="21"/>
        </w:rPr>
      </w:pPr>
      <w:bookmarkStart w:id="93" w:name="_Toc988982"/>
      <w:r>
        <w:rPr>
          <w:rFonts w:ascii="宋体" w:hAnsi="宋体" w:eastAsia="宋体" w:cs="宋体"/>
          <w:b/>
          <w:bCs/>
          <w:sz w:val="21"/>
          <w:szCs w:val="21"/>
        </w:rPr>
        <w:t>1、合并资产负债表</w:t>
      </w:r>
      <w:bookmarkEnd w:id="93"/>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编制单位：湖南博云新材料股份有限公司</w:t>
      </w:r>
    </w:p>
    <w:p>
      <w:pPr>
        <w:spacing w:before="0" w:after="0" w:line="240" w:lineRule="exact"/>
        <w:jc w:val="center"/>
        <w:rPr>
          <w:rFonts w:ascii="宋体" w:hAnsi="宋体" w:eastAsia="宋体" w:cs="宋体"/>
          <w:sz w:val="18"/>
          <w:szCs w:val="18"/>
        </w:rPr>
      </w:pP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471,343,308.79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512,127,325.16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51,317,849.20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90,189,966.95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304,503,038.18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298,416,660.42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7,878,465.02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14,258,718.27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15,845,436.36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10,577,938.67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2,325,922.44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1,047,840.56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592,470,858.52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544,930,137.33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2,260,569.78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2,353,671.63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2,149,320.97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9,083,307.57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1,450,094,769.26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1,482,985,566.56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10,669,286.20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95,934,401.55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105,034,123.55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909,234,177.12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711,815,784.08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9,424,903.89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183,036,596.42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249,075,771.15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258,988,825.00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63,479,843.33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51,426,029.78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5,519,326.64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6,309,922.00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26,690,169.33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26,758,292.71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11,958,919.77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17,499,706.11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1,381,986,798.98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1,375,779,694.38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2,832,081,568.24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2,858,765,260.94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230,175,000.00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58,371,903.40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125,433,836.83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178,728,573.86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103,189,502.92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223,736.22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454,539.34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12,905,699.44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12,716,588.45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11,339,699.97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28,682,378.77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5,581,353.46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4,450,508.09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38,479,516.27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38,693,823.73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42,245,686.86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48,637,053.78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552,876,169.48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592,433,231.91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72,994,521.54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116,243,705.52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5,136,924.87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5,359,003.78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132,441,446.41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121,602,709.30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685,317,615.89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714,035,941.21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-161,706,298.09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2,124,019,892.77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22,744,059.58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23,019,058.37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2,146,763,952.35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2,144,729,319.73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2,832,081,568.24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2,858,765,260.94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法定代表人：贺柳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会计机构负责人：黄筱明</w:t>
      </w:r>
    </w:p>
    <w:p>
      <w:pPr>
        <w:keepNext/>
        <w:keepLines/>
        <w:spacing w:before="300" w:after="300" w:line="320" w:lineRule="exact"/>
        <w:jc w:val="left"/>
        <w:outlineLvl w:val="2"/>
        <w:rPr>
          <w:rFonts w:ascii="宋体" w:hAnsi="宋体" w:eastAsia="宋体" w:cs="宋体"/>
          <w:b/>
          <w:bCs/>
          <w:sz w:val="24"/>
          <w:szCs w:val="24"/>
        </w:rPr>
      </w:pPr>
      <w:bookmarkStart w:id="94" w:name="_Toc988983"/>
      <w:r>
        <w:rPr>
          <w:rFonts w:ascii="宋体" w:hAnsi="宋体" w:eastAsia="宋体" w:cs="宋体"/>
          <w:b/>
          <w:bCs/>
          <w:sz w:val="24"/>
          <w:szCs w:val="24"/>
        </w:rPr>
        <w:t>2、母公司资产负债表</w:t>
      </w:r>
      <w:bookmarkEnd w:id="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293,301,989.18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249,884,065.75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4,292,700.00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38,901,366.68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144,659,447.98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213,671,137.32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397,047.84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4,450,783.02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2,064,594.07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488,554.89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115,041.28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130,789,892.74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120,358,863.34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212,999,695.14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156,885,653.09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790,983,062.95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782,277,769.37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1,215,437,792.19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1,219,678,920.72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20,951,478.00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30,051,200.00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194,603,763.38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200,081,493.54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3,457,655.11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44,716.98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19,352,515.64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20,390,164.33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1,142,199.23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1,313,149.73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22,656,767.80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23,749,527.70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246,481.67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1,349,142.95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1,477,848,653.02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1,496,658,315.95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2,268,831,715.97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2,278,936,085.32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2,422,856.00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12,318,491.00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30,828,222.52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46,454,802.95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9,182,790.71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9,577,015.35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5,343,023.61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18,640,846.33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5,306,623.58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3,612,098.69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36,214,181.26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36,343,229.98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5,383,762.79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13,578,547.87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94,681,460.47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140,525,032.17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24,724,068.29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26,406,787.79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2,291,125.65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2,291,125.65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27,015,193.94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28,697,913.44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121,696,654.41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169,222,945.61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13,881,088.72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13,881,088.72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-128,720,682.47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-166,142,604.32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2,147,135,061.56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2,109,713,139.71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2,268,831,715.97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2,278,936,085.32</w:t>
            </w:r>
          </w:p>
        </w:tc>
      </w:tr>
    </w:tbl>
    <w:p>
      <w:pPr>
        <w:keepNext/>
        <w:keepLines/>
        <w:spacing w:before="300" w:after="300" w:line="280" w:lineRule="exact"/>
        <w:jc w:val="left"/>
        <w:outlineLvl w:val="2"/>
        <w:rPr>
          <w:rFonts w:ascii="宋体" w:hAnsi="宋体" w:eastAsia="宋体" w:cs="宋体"/>
          <w:b/>
          <w:bCs/>
          <w:sz w:val="21"/>
          <w:szCs w:val="21"/>
        </w:rPr>
      </w:pPr>
      <w:bookmarkStart w:id="95" w:name="_Toc988984"/>
      <w:r>
        <w:rPr>
          <w:rFonts w:ascii="宋体" w:hAnsi="宋体" w:eastAsia="宋体" w:cs="宋体"/>
          <w:b/>
          <w:bCs/>
          <w:sz w:val="21"/>
          <w:szCs w:val="21"/>
        </w:rPr>
        <w:t>3、合并利润表</w:t>
      </w:r>
      <w:bookmarkEnd w:id="9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302,034,653.13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292,593,271.47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302,034,653.13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292,593,271.47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308,083,066.22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276,769,837.63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250,522,715.74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221,034,164.62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3,763,333.17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4,292,594.83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8,692,918.06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13,708,446.37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27,992,921.10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21,388,298.95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17,049,482.22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18,625,897.74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61,695.93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-2,279,564.88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3,512,875.02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1,731,805.57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3,543,332.26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4,086,890.20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30,417,646.05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5,962,745.00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-2,403,764.32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-7,935,206.78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-4,232,256.32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2,425,128.78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-2,827,101.93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-16,180.87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-887,720.79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1,384,636.05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24,374,416.55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11,520,785.39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729,984.41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206,900.66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17,314,288.60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10,905.31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7,790,112.36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11,716,780.74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5,755,479.74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1,642,016.90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2,034,632.62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10,074,763.84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2,034,632.62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10,074,763.84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-274,998.79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-53,201.36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2,034,632.62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10,074,763.84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-274,998.79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-53,201.36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法定代表人：贺柳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会计机构负责人：黄筱明</w:t>
      </w:r>
    </w:p>
    <w:p>
      <w:pPr>
        <w:keepNext/>
        <w:keepLines/>
        <w:spacing w:before="300" w:after="300" w:line="280" w:lineRule="exact"/>
        <w:jc w:val="left"/>
        <w:outlineLvl w:val="2"/>
        <w:rPr>
          <w:rFonts w:ascii="宋体" w:hAnsi="宋体" w:eastAsia="宋体" w:cs="宋体"/>
          <w:b/>
          <w:bCs/>
          <w:sz w:val="21"/>
          <w:szCs w:val="21"/>
        </w:rPr>
      </w:pPr>
      <w:bookmarkStart w:id="96" w:name="_Toc988985"/>
      <w:r>
        <w:rPr>
          <w:rFonts w:ascii="宋体" w:hAnsi="宋体" w:eastAsia="宋体" w:cs="宋体"/>
          <w:b/>
          <w:bCs/>
          <w:sz w:val="21"/>
          <w:szCs w:val="21"/>
        </w:rPr>
        <w:t>4、母公司利润表</w:t>
      </w:r>
      <w:bookmarkEnd w:id="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61,412,625.28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87,655,631.90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28,523,126.75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47,395,049.97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1,152,398.10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1,704,356.30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2,918,213.94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2,230,704.23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11,838,415.60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7,315,780.55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6,880,644.60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8,253,886.20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-4,724,732.59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-3,930,079.53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788,638.89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4,707,387.48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4,739,466.31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24,560,796.10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2,711,458.13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-2,412,636.53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-7,935,206.78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-4,241,128.53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7,285,065.97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36,089.01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1,384,636.05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44,257,784.42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20,882,910.59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56,603.77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217,229.29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44,097,158.90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20,882,822.98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6,675,237.05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1,945,283.92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0.0653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0.0653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0.0330</w:t>
            </w:r>
          </w:p>
        </w:tc>
      </w:tr>
    </w:tbl>
    <w:p>
      <w:pPr>
        <w:keepNext/>
        <w:keepLines/>
        <w:spacing w:before="300" w:after="300" w:line="280" w:lineRule="exact"/>
        <w:jc w:val="left"/>
        <w:outlineLvl w:val="2"/>
        <w:rPr>
          <w:rFonts w:ascii="宋体" w:hAnsi="宋体" w:eastAsia="宋体" w:cs="宋体"/>
          <w:b/>
          <w:bCs/>
          <w:sz w:val="21"/>
          <w:szCs w:val="21"/>
        </w:rPr>
      </w:pPr>
      <w:bookmarkStart w:id="97" w:name="_Toc988986"/>
      <w:r>
        <w:rPr>
          <w:rFonts w:ascii="宋体" w:hAnsi="宋体" w:eastAsia="宋体" w:cs="宋体"/>
          <w:b/>
          <w:bCs/>
          <w:sz w:val="21"/>
          <w:szCs w:val="21"/>
        </w:rPr>
        <w:t>5、合并现金流量表</w:t>
      </w:r>
      <w:bookmarkEnd w:id="9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2024年半年度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255,968,976.02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214,999,941.38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32,097,575.38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1,900,837.62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27,626,002.24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53,196,386.78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315,692,553.64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270,097,165.78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162,817,191.63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194,002,367.53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84,753,724.14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86,501,512.94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13,046,348.64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24,941,448.00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26,877,307.41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32,436,599.89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287,494,571.82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337,881,928.36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28,197,981.82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-67,784,762.58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9,099,722.00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2,822,222.48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3,012,969.52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13,941,183.52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4,502,919.48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35,751,050.05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91,803,833.58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35,751,050.05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91,803,833.58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-21,809,866.53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-87,300,914.10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3,687,875.02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2,248,966.67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128,187,875.02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3,248,966.67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-28,687,875.02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116,251,033.33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58,947.31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61,381.55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-22,240,812.42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-38,773,261.80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442,310,129.79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508,894,660.31</w:t>
            </w:r>
          </w:p>
        </w:tc>
      </w:tr>
    </w:tbl>
    <w:p>
      <w:pPr>
        <w:keepNext/>
        <w:keepLines/>
        <w:spacing w:before="300" w:after="300" w:line="280" w:lineRule="exact"/>
        <w:jc w:val="left"/>
        <w:outlineLvl w:val="2"/>
        <w:rPr>
          <w:rFonts w:ascii="宋体" w:hAnsi="宋体" w:eastAsia="宋体" w:cs="宋体"/>
          <w:b/>
          <w:bCs/>
          <w:sz w:val="21"/>
          <w:szCs w:val="21"/>
        </w:rPr>
      </w:pPr>
      <w:bookmarkStart w:id="98" w:name="_Toc988987"/>
      <w:r>
        <w:rPr>
          <w:rFonts w:ascii="宋体" w:hAnsi="宋体" w:eastAsia="宋体" w:cs="宋体"/>
          <w:b/>
          <w:bCs/>
          <w:sz w:val="21"/>
          <w:szCs w:val="21"/>
        </w:rPr>
        <w:t>6、母公司现金流量表</w:t>
      </w:r>
      <w:bookmarkEnd w:id="98"/>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2024年半年度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147,819,945.37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57,389,387.14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23,439,676.61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4,089,385.24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5,858,368.08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175,349,007.22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63,247,755.22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28,794,382.76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22,642,102.21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38,190,871.79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39,417,971.61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8,737,044.33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14,257,689.39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5,274,143.03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4,009,209.69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80,996,441.91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80,326,972.90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94,352,565.31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-17,079,217.68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9,099,722.00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2,822,222.48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20,928,214.00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4,502,919.48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6,011,631.78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10,713,497.60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71,011,631.78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10,713,497.60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-50,083,417.78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-6,210,578.12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1,258,577.78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2,258,577.78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-2,258,577.78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28,414.85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44,297,562.38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-25,548,373.58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248,943,141.20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310,799,261.99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293,240,703.58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285,250,888.41</w:t>
            </w:r>
          </w:p>
        </w:tc>
      </w:tr>
    </w:tbl>
    <w:p>
      <w:pPr>
        <w:keepNext/>
        <w:keepLines/>
        <w:spacing w:before="300" w:after="300" w:line="280" w:lineRule="exact"/>
        <w:jc w:val="left"/>
        <w:outlineLvl w:val="2"/>
        <w:rPr>
          <w:rFonts w:ascii="宋体" w:hAnsi="宋体" w:eastAsia="宋体" w:cs="宋体"/>
          <w:b/>
          <w:bCs/>
          <w:sz w:val="21"/>
          <w:szCs w:val="21"/>
        </w:rPr>
      </w:pPr>
      <w:bookmarkStart w:id="99" w:name="_Toc988988"/>
      <w:r>
        <w:rPr>
          <w:rFonts w:ascii="宋体" w:hAnsi="宋体" w:eastAsia="宋体" w:cs="宋体"/>
          <w:b/>
          <w:bCs/>
          <w:sz w:val="21"/>
          <w:szCs w:val="21"/>
        </w:rPr>
        <w:t>7、合并所有者权益变动表</w:t>
      </w:r>
      <w:bookmarkEnd w:id="99"/>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23,019,058.37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2,144,729,319.73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23,019,058.37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2,144,729,319.73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-274,998.79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2,034,632.62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-274,998.79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2,034,632.62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-161,706,298.09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2,124,019,892.77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22,744,059.58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2,146,763,952.35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22,995,248.94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2,112,196,388.06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22,995,248.94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2,112,196,388.06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-53,201.36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10,074,763.84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-53,201.36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10,074,763.84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-183,163,404.37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2,099,329,104.32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22,942,047.58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2,122,271,151.90</w:t>
            </w:r>
          </w:p>
        </w:tc>
      </w:tr>
    </w:tbl>
    <w:p>
      <w:pPr>
        <w:keepNext/>
        <w:keepLines/>
        <w:spacing w:before="300" w:after="300" w:line="280" w:lineRule="exact"/>
        <w:jc w:val="left"/>
        <w:outlineLvl w:val="2"/>
        <w:rPr>
          <w:rFonts w:ascii="宋体" w:hAnsi="宋体" w:eastAsia="宋体" w:cs="宋体"/>
          <w:b/>
          <w:bCs/>
          <w:sz w:val="21"/>
          <w:szCs w:val="21"/>
        </w:rPr>
      </w:pPr>
      <w:bookmarkStart w:id="100" w:name="_Toc988989"/>
      <w:r>
        <w:rPr>
          <w:rFonts w:ascii="宋体" w:hAnsi="宋体" w:eastAsia="宋体" w:cs="宋体"/>
          <w:b/>
          <w:bCs/>
          <w:sz w:val="21"/>
          <w:szCs w:val="21"/>
        </w:rPr>
        <w:t>8、母公司所有者权益变动表</w:t>
      </w:r>
      <w:bookmarkEnd w:id="100"/>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13,881,088.72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-166,142,604.32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2,109,713,139.71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13,881,088.72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-166,142,604.32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2,109,713,139.71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13,881,088.72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-128,720,682.47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2,147,135,061.56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10,720,448.72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-203,239,023.37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2,069,456,080.66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10,720,448.72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-203,239,023.37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2,069,456,080.66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10,720,448.72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-184,301,484.31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2,088,393,619.72</w:t>
            </w:r>
          </w:p>
        </w:tc>
      </w:tr>
    </w:tbl>
    <w:p>
      <w:pPr>
        <w:keepNext/>
        <w:keepLines/>
        <w:spacing w:before="300" w:after="300" w:line="320" w:lineRule="exact"/>
        <w:jc w:val="left"/>
        <w:outlineLvl w:val="1"/>
        <w:rPr>
          <w:rFonts w:ascii="宋体" w:hAnsi="宋体" w:eastAsia="宋体" w:cs="宋体"/>
          <w:b/>
          <w:bCs/>
          <w:sz w:val="24"/>
          <w:szCs w:val="24"/>
        </w:rPr>
      </w:pPr>
      <w:bookmarkStart w:id="101" w:name="_Toc988990"/>
      <w:r>
        <w:rPr>
          <w:rFonts w:ascii="宋体" w:hAnsi="宋体" w:eastAsia="宋体" w:cs="宋体"/>
          <w:b/>
          <w:bCs/>
          <w:sz w:val="24"/>
          <w:szCs w:val="24"/>
        </w:rPr>
        <w:t>三、公司基本情况</w:t>
      </w:r>
      <w:bookmarkEnd w:id="101"/>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湖南博云新材料股份有限公司（以下简称“公司”或“本公司”）住所及注册地址：长沙市岳麓区高新技术产业开发区麓松路</w:t>
      </w:r>
      <w:r>
        <w:rPr>
          <w:rFonts w:hint="default" w:ascii="Times New Roman" w:hAnsi="Times New Roman" w:eastAsia="宋体" w:cs="Times New Roman"/>
          <w:color w:val="000000"/>
          <w:sz w:val="21"/>
          <w:szCs w:val="21"/>
        </w:rPr>
        <w:t>500</w:t>
      </w:r>
      <w:r>
        <w:rPr>
          <w:rFonts w:hint="eastAsia" w:ascii="宋体" w:hAnsi="宋体" w:eastAsia="宋体" w:cs="宋体"/>
          <w:color w:val="000000"/>
          <w:sz w:val="21"/>
          <w:szCs w:val="21"/>
        </w:rPr>
        <w:t>号；统一社会信用代码：</w:t>
      </w:r>
      <w:r>
        <w:rPr>
          <w:rFonts w:hint="default" w:ascii="Times New Roman" w:hAnsi="Times New Roman" w:eastAsia="宋体" w:cs="Times New Roman"/>
          <w:color w:val="000000"/>
          <w:sz w:val="21"/>
          <w:szCs w:val="21"/>
        </w:rPr>
        <w:t>91430000183898967C</w:t>
      </w:r>
      <w:r>
        <w:rPr>
          <w:rFonts w:hint="eastAsia" w:ascii="宋体" w:hAnsi="宋体" w:eastAsia="宋体" w:cs="宋体"/>
          <w:color w:val="000000"/>
          <w:sz w:val="21"/>
          <w:szCs w:val="21"/>
        </w:rPr>
        <w:t>；公司组织形式：其他股份有限公司</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上市</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；现任法定代表人：贺柳。</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截至</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6</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30</w:t>
      </w:r>
      <w:r>
        <w:rPr>
          <w:rFonts w:hint="eastAsia" w:ascii="宋体" w:hAnsi="宋体" w:eastAsia="宋体" w:cs="宋体"/>
          <w:color w:val="000000"/>
          <w:sz w:val="21"/>
          <w:szCs w:val="21"/>
        </w:rPr>
        <w:t>日止，本公司累计发行股本总数</w:t>
      </w:r>
      <w:r>
        <w:rPr>
          <w:rFonts w:hint="default" w:ascii="Times New Roman" w:hAnsi="Times New Roman" w:eastAsia="宋体" w:cs="Times New Roman"/>
          <w:color w:val="000000"/>
          <w:sz w:val="21"/>
          <w:szCs w:val="21"/>
        </w:rPr>
        <w:t>573,104,819.00</w:t>
      </w:r>
      <w:r>
        <w:rPr>
          <w:rFonts w:hint="eastAsia" w:ascii="宋体" w:hAnsi="宋体" w:eastAsia="宋体" w:cs="宋体"/>
          <w:color w:val="000000"/>
          <w:sz w:val="21"/>
          <w:szCs w:val="21"/>
        </w:rPr>
        <w:t>股，注册资本为</w:t>
      </w:r>
      <w:r>
        <w:rPr>
          <w:rFonts w:hint="default" w:ascii="Times New Roman" w:hAnsi="Times New Roman" w:eastAsia="宋体" w:cs="Times New Roman"/>
          <w:color w:val="000000"/>
          <w:sz w:val="21"/>
          <w:szCs w:val="21"/>
        </w:rPr>
        <w:t>573,104,819.00</w:t>
      </w:r>
      <w:r>
        <w:rPr>
          <w:rFonts w:hint="eastAsia" w:ascii="宋体" w:hAnsi="宋体" w:eastAsia="宋体" w:cs="宋体"/>
          <w:color w:val="000000"/>
          <w:sz w:val="21"/>
          <w:szCs w:val="21"/>
        </w:rPr>
        <w:t>元。本公司主要经营活动为：许可项目：民用航空器零部件设计和生产；民用航空器维修；火箭发动机研发与制造；检验检测服务（依法须经批准的项目，经相关部门批准后方可开展经营活动，具体经营项目以相关部门批准文件或许可证件为准）一般项目：高性能纤维及复合材料制造；高性能纤维及复合材料销售；锻件及粉末冶金制品制造；锻件及粉末冶金制品销售；民用航空材料销售；货物进出口；技术进出口；新材料技术研发；新材料技术推广服务；技术服务、技术开发、技术咨询、技术交流、技术转让、技术推广；非居住房地产租赁；住房租赁（除依法须经批准的项目外，凭营业执照依法自主开展经营活动）。公司的母公司为中南大学粉末冶金工程研究中心有限公司，实际控制人为湖南省人民政府国有资产监督管理委员会。</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本财务报表业经公司董事会于</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8</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22</w:t>
      </w:r>
      <w:r>
        <w:rPr>
          <w:rFonts w:hint="eastAsia" w:ascii="宋体" w:hAnsi="宋体" w:eastAsia="宋体" w:cs="宋体"/>
          <w:color w:val="000000"/>
          <w:sz w:val="21"/>
          <w:szCs w:val="21"/>
        </w:rPr>
        <w:t>日批准报出。</w:t>
      </w:r>
    </w:p>
    <w:p>
      <w:pPr>
        <w:keepNext/>
        <w:keepLines/>
        <w:spacing w:before="300" w:after="300" w:line="320" w:lineRule="exact"/>
        <w:jc w:val="left"/>
        <w:outlineLvl w:val="1"/>
        <w:rPr>
          <w:rFonts w:ascii="宋体" w:hAnsi="宋体" w:eastAsia="宋体" w:cs="宋体"/>
          <w:b/>
          <w:bCs/>
          <w:sz w:val="24"/>
          <w:szCs w:val="24"/>
        </w:rPr>
      </w:pPr>
      <w:bookmarkStart w:id="102" w:name="_Toc988991"/>
      <w:r>
        <w:rPr>
          <w:rFonts w:ascii="宋体" w:hAnsi="宋体" w:eastAsia="宋体" w:cs="宋体"/>
          <w:b/>
          <w:bCs/>
          <w:sz w:val="24"/>
          <w:szCs w:val="24"/>
        </w:rPr>
        <w:t>四、财务报表的编制基础</w:t>
      </w:r>
      <w:bookmarkEnd w:id="102"/>
    </w:p>
    <w:p>
      <w:pPr>
        <w:keepNext/>
        <w:keepLines/>
        <w:spacing w:before="300" w:after="300" w:line="280" w:lineRule="exact"/>
        <w:jc w:val="left"/>
        <w:outlineLvl w:val="2"/>
        <w:rPr>
          <w:rFonts w:ascii="宋体" w:hAnsi="宋体" w:eastAsia="宋体" w:cs="宋体"/>
          <w:b/>
          <w:bCs/>
          <w:sz w:val="21"/>
          <w:szCs w:val="21"/>
        </w:rPr>
      </w:pPr>
      <w:bookmarkStart w:id="103" w:name="_Toc988992"/>
      <w:r>
        <w:rPr>
          <w:rFonts w:ascii="宋体" w:hAnsi="宋体" w:eastAsia="宋体" w:cs="宋体"/>
          <w:b/>
          <w:bCs/>
          <w:sz w:val="21"/>
          <w:szCs w:val="21"/>
        </w:rPr>
        <w:t>1、编制基础</w:t>
      </w:r>
      <w:bookmarkEnd w:id="103"/>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本财务报表按照财政部颁布的《企业会计准则</w:t>
      </w:r>
      <w:r>
        <w:rPr>
          <w:rFonts w:ascii="Calibri" w:hAnsi="Calibri" w:eastAsia="宋体" w:cs="Calibri"/>
          <w:sz w:val="21"/>
          <w:szCs w:val="21"/>
        </w:rPr>
        <w:t>——</w:t>
      </w:r>
      <w:r>
        <w:rPr>
          <w:rFonts w:hint="eastAsia" w:ascii="宋体" w:hAnsi="宋体" w:eastAsia="宋体" w:cs="宋体"/>
          <w:sz w:val="21"/>
          <w:szCs w:val="21"/>
        </w:rPr>
        <w:t>基本准则》和各项具体会计准则、企业会计准则应用指南、企业会计准则解释及其他相关规定（以下合称“企业会计准则”），以及中国证券监督管理委员会《公开发行证券的公司信息披露编报规则第</w:t>
      </w:r>
      <w:r>
        <w:rPr>
          <w:rFonts w:hint="default" w:ascii="Calibri" w:hAnsi="Calibri" w:eastAsia="宋体" w:cs="Calibri"/>
          <w:sz w:val="21"/>
          <w:szCs w:val="21"/>
        </w:rPr>
        <w:t xml:space="preserve">15 </w:t>
      </w:r>
      <w:r>
        <w:rPr>
          <w:rFonts w:hint="eastAsia" w:ascii="宋体" w:hAnsi="宋体" w:eastAsia="宋体" w:cs="宋体"/>
          <w:sz w:val="21"/>
          <w:szCs w:val="21"/>
        </w:rPr>
        <w:t>号</w:t>
      </w:r>
      <w:r>
        <w:rPr>
          <w:rFonts w:hint="default" w:ascii="Calibri" w:hAnsi="Calibri" w:eastAsia="宋体" w:cs="Calibri"/>
          <w:sz w:val="21"/>
          <w:szCs w:val="21"/>
        </w:rPr>
        <w:t>——</w:t>
      </w:r>
      <w:r>
        <w:rPr>
          <w:rFonts w:hint="eastAsia" w:ascii="宋体" w:hAnsi="宋体" w:eastAsia="宋体" w:cs="宋体"/>
          <w:sz w:val="21"/>
          <w:szCs w:val="21"/>
        </w:rPr>
        <w:t>财务报告的一般规定》的相关规定编制。</w:t>
      </w:r>
    </w:p>
    <w:p>
      <w:pPr>
        <w:keepNext/>
        <w:keepLines/>
        <w:spacing w:before="300" w:after="300" w:line="280" w:lineRule="exact"/>
        <w:jc w:val="left"/>
        <w:outlineLvl w:val="2"/>
        <w:rPr>
          <w:rFonts w:ascii="宋体" w:hAnsi="宋体" w:eastAsia="宋体" w:cs="宋体"/>
          <w:b/>
          <w:bCs/>
          <w:sz w:val="21"/>
          <w:szCs w:val="21"/>
        </w:rPr>
      </w:pPr>
      <w:bookmarkStart w:id="104" w:name="_Toc988993"/>
      <w:r>
        <w:rPr>
          <w:rFonts w:ascii="宋体" w:hAnsi="宋体" w:eastAsia="宋体" w:cs="宋体"/>
          <w:b/>
          <w:bCs/>
          <w:sz w:val="21"/>
          <w:szCs w:val="21"/>
        </w:rPr>
        <w:t>2、持续经营</w:t>
      </w:r>
      <w:bookmarkEnd w:id="104"/>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本财务报表以持续经营为基础编制。</w:t>
      </w:r>
    </w:p>
    <w:p>
      <w:pPr>
        <w:keepNext/>
        <w:keepLines/>
        <w:spacing w:before="300" w:after="300" w:line="560" w:lineRule="exact"/>
        <w:jc w:val="left"/>
        <w:outlineLvl w:val="1"/>
        <w:rPr>
          <w:rFonts w:ascii="宋体" w:hAnsi="宋体" w:eastAsia="宋体" w:cs="宋体"/>
          <w:b/>
          <w:bCs/>
          <w:sz w:val="24"/>
          <w:szCs w:val="24"/>
        </w:rPr>
      </w:pPr>
      <w:bookmarkStart w:id="105" w:name="_Toc988994"/>
      <w:r>
        <w:rPr>
          <w:rFonts w:ascii="宋体" w:hAnsi="宋体" w:eastAsia="宋体" w:cs="宋体"/>
          <w:b/>
          <w:bCs/>
          <w:sz w:val="24"/>
          <w:szCs w:val="24"/>
        </w:rPr>
        <w:t>五、重要会计政策及会计估计</w:t>
      </w:r>
      <w:bookmarkEnd w:id="105"/>
    </w:p>
    <w:p>
      <w:pPr>
        <w:spacing w:before="100" w:after="100" w:line="240" w:lineRule="exact"/>
        <w:jc w:val="left"/>
        <w:rPr>
          <w:rFonts w:ascii="宋体" w:hAnsi="宋体" w:eastAsia="宋体" w:cs="宋体"/>
          <w:sz w:val="18"/>
          <w:szCs w:val="18"/>
        </w:rPr>
      </w:pPr>
      <w:r>
        <w:rPr>
          <w:rFonts w:ascii="宋体" w:hAnsi="宋体" w:eastAsia="宋体" w:cs="宋体"/>
          <w:sz w:val="18"/>
          <w:szCs w:val="18"/>
        </w:rPr>
        <w:t>具体会计政策和会计估计提示：</w:t>
      </w:r>
    </w:p>
    <w:p>
      <w:pPr>
        <w:pStyle w:val="2"/>
        <w:keepNext w:val="0"/>
        <w:keepLines w:val="0"/>
        <w:widowControl/>
        <w:suppressLineNumbers w:val="0"/>
        <w:spacing w:before="0" w:beforeAutospacing="0" w:after="0" w:afterAutospacing="0" w:line="360" w:lineRule="atLeast"/>
        <w:ind w:left="0" w:right="0" w:firstLine="360"/>
        <w:jc w:val="left"/>
        <w:rPr>
          <w:rFonts w:hint="default" w:ascii="Times New Roman" w:hAnsi="Times New Roman" w:cs="Times New Roman"/>
          <w:sz w:val="21"/>
          <w:szCs w:val="21"/>
        </w:rPr>
      </w:pPr>
      <w:r>
        <w:rPr>
          <w:rFonts w:hint="eastAsia" w:ascii="宋体" w:hAnsi="宋体" w:eastAsia="宋体" w:cs="宋体"/>
          <w:sz w:val="18"/>
          <w:szCs w:val="18"/>
        </w:rPr>
        <w:t>具体会计政策和会计估计提示：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本公司根据实际生产经营特点制定了应收款项、固定资产、无形资产、收入确认等具体会计政策和会计估计。</w:t>
      </w:r>
    </w:p>
    <w:p>
      <w:pPr>
        <w:keepNext/>
        <w:keepLines/>
        <w:spacing w:before="300" w:after="300" w:line="280" w:lineRule="exact"/>
        <w:jc w:val="left"/>
        <w:outlineLvl w:val="2"/>
        <w:rPr>
          <w:rFonts w:ascii="宋体" w:hAnsi="宋体" w:eastAsia="宋体" w:cs="宋体"/>
          <w:b/>
          <w:bCs/>
          <w:sz w:val="21"/>
          <w:szCs w:val="21"/>
        </w:rPr>
      </w:pPr>
      <w:bookmarkStart w:id="106" w:name="_Toc988995"/>
      <w:r>
        <w:rPr>
          <w:rFonts w:ascii="宋体" w:hAnsi="宋体" w:eastAsia="宋体" w:cs="宋体"/>
          <w:b/>
          <w:bCs/>
          <w:sz w:val="21"/>
          <w:szCs w:val="21"/>
        </w:rPr>
        <w:t>1、遵循企业会计准则的声明</w:t>
      </w:r>
      <w:bookmarkEnd w:id="106"/>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本财务报表符合财政部颁布的企业会计准则的要求，真实、完整地反映了本公司</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6</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30</w:t>
      </w:r>
      <w:r>
        <w:rPr>
          <w:rFonts w:hint="eastAsia" w:ascii="宋体" w:hAnsi="宋体" w:eastAsia="宋体" w:cs="宋体"/>
          <w:color w:val="000000"/>
          <w:sz w:val="21"/>
          <w:szCs w:val="21"/>
        </w:rPr>
        <w:t>日的合并及母公司财务状况以及</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年半年度的合并及母公司经营成果和现金流量。</w:t>
      </w:r>
    </w:p>
    <w:p>
      <w:pPr>
        <w:keepNext/>
        <w:keepLines/>
        <w:spacing w:before="300" w:after="300" w:line="280" w:lineRule="exact"/>
        <w:jc w:val="left"/>
        <w:outlineLvl w:val="2"/>
        <w:rPr>
          <w:rFonts w:ascii="宋体" w:hAnsi="宋体" w:eastAsia="宋体" w:cs="宋体"/>
          <w:b/>
          <w:bCs/>
          <w:sz w:val="21"/>
          <w:szCs w:val="21"/>
        </w:rPr>
      </w:pPr>
      <w:bookmarkStart w:id="107" w:name="_Toc988996"/>
      <w:r>
        <w:rPr>
          <w:rFonts w:ascii="宋体" w:hAnsi="宋体" w:eastAsia="宋体" w:cs="宋体"/>
          <w:b/>
          <w:bCs/>
          <w:sz w:val="21"/>
          <w:szCs w:val="21"/>
        </w:rPr>
        <w:t>2、会计期间</w:t>
      </w:r>
      <w:bookmarkEnd w:id="107"/>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自公历</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日起至</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31</w:t>
      </w:r>
      <w:r>
        <w:rPr>
          <w:rFonts w:hint="eastAsia" w:ascii="宋体" w:hAnsi="宋体" w:eastAsia="宋体" w:cs="宋体"/>
          <w:color w:val="000000"/>
          <w:sz w:val="21"/>
          <w:szCs w:val="21"/>
        </w:rPr>
        <w:t>日止为一个会计年度。</w:t>
      </w:r>
    </w:p>
    <w:p>
      <w:pPr>
        <w:keepNext/>
        <w:keepLines/>
        <w:spacing w:before="300" w:after="300" w:line="280" w:lineRule="exact"/>
        <w:jc w:val="left"/>
        <w:outlineLvl w:val="2"/>
        <w:rPr>
          <w:rFonts w:ascii="宋体" w:hAnsi="宋体" w:eastAsia="宋体" w:cs="宋体"/>
          <w:b/>
          <w:bCs/>
          <w:sz w:val="21"/>
          <w:szCs w:val="21"/>
        </w:rPr>
      </w:pPr>
      <w:bookmarkStart w:id="108" w:name="_Toc988997"/>
      <w:r>
        <w:rPr>
          <w:rFonts w:ascii="宋体" w:hAnsi="宋体" w:eastAsia="宋体" w:cs="宋体"/>
          <w:b/>
          <w:bCs/>
          <w:sz w:val="21"/>
          <w:szCs w:val="21"/>
        </w:rPr>
        <w:t>3、营业周期</w:t>
      </w:r>
      <w:bookmarkEnd w:id="108"/>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本公司营业周期为</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个月。</w:t>
      </w:r>
    </w:p>
    <w:p>
      <w:pPr>
        <w:keepNext/>
        <w:keepLines/>
        <w:spacing w:before="300" w:after="300" w:line="280" w:lineRule="exact"/>
        <w:jc w:val="left"/>
        <w:outlineLvl w:val="2"/>
        <w:rPr>
          <w:rFonts w:ascii="宋体" w:hAnsi="宋体" w:eastAsia="宋体" w:cs="宋体"/>
          <w:b/>
          <w:bCs/>
          <w:sz w:val="21"/>
          <w:szCs w:val="21"/>
        </w:rPr>
      </w:pPr>
      <w:bookmarkStart w:id="109" w:name="_Toc988998"/>
      <w:r>
        <w:rPr>
          <w:rFonts w:ascii="宋体" w:hAnsi="宋体" w:eastAsia="宋体" w:cs="宋体"/>
          <w:b/>
          <w:bCs/>
          <w:sz w:val="21"/>
          <w:szCs w:val="21"/>
        </w:rPr>
        <w:t>4、记账本位币</w:t>
      </w:r>
      <w:bookmarkEnd w:id="109"/>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本公司采用人民币为记账本位币。</w:t>
      </w:r>
    </w:p>
    <w:p>
      <w:pPr>
        <w:keepNext/>
        <w:keepLines/>
        <w:spacing w:before="300" w:after="300" w:line="280" w:lineRule="exact"/>
        <w:jc w:val="left"/>
        <w:outlineLvl w:val="2"/>
        <w:rPr>
          <w:rFonts w:ascii="宋体" w:hAnsi="宋体" w:eastAsia="宋体" w:cs="宋体"/>
          <w:b/>
          <w:bCs/>
          <w:sz w:val="21"/>
          <w:szCs w:val="21"/>
        </w:rPr>
      </w:pPr>
      <w:bookmarkStart w:id="110" w:name="_Toc988999"/>
      <w:r>
        <w:rPr>
          <w:rFonts w:ascii="宋体" w:hAnsi="宋体" w:eastAsia="宋体" w:cs="宋体"/>
          <w:b/>
          <w:bCs/>
          <w:sz w:val="21"/>
          <w:szCs w:val="21"/>
        </w:rPr>
        <w:t>5、重要性标准确定方法和选择依据</w:t>
      </w:r>
      <w:bookmarkEnd w:id="11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11" w:name="_Toc989000"/>
      <w:r>
        <w:rPr>
          <w:rFonts w:ascii="宋体" w:hAnsi="宋体" w:eastAsia="宋体" w:cs="宋体"/>
          <w:b/>
          <w:bCs/>
          <w:sz w:val="21"/>
          <w:szCs w:val="21"/>
        </w:rPr>
        <w:t>6、同一控制下和非同一控制下企业合并的会计处理方法</w:t>
      </w:r>
      <w:bookmarkEnd w:id="111"/>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同一控制下企业合并：合并方在企业合并中取得的资产和负债（包括最终控制方收购被合并方而形成的商誉），按照合并日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非同一控制下企业合并：合并成本为购买方在购买日为取得被购买方的控制权而付出的资产、发生或承担的负债以及发行的权益性证券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为企业合并发生的直接相关费用于发生时计入当期损益；为企业合并而发行权益性证券或债务性证券的交易费用，计入权益性证券或债务性证券的初始确认金额。</w:t>
      </w:r>
    </w:p>
    <w:p>
      <w:pPr>
        <w:keepNext/>
        <w:keepLines/>
        <w:spacing w:before="300" w:after="300" w:line="280" w:lineRule="exact"/>
        <w:jc w:val="left"/>
        <w:outlineLvl w:val="2"/>
        <w:rPr>
          <w:rFonts w:ascii="宋体" w:hAnsi="宋体" w:eastAsia="宋体" w:cs="宋体"/>
          <w:b/>
          <w:bCs/>
          <w:sz w:val="21"/>
          <w:szCs w:val="21"/>
        </w:rPr>
      </w:pPr>
      <w:bookmarkStart w:id="112" w:name="_Toc989001"/>
      <w:r>
        <w:rPr>
          <w:rFonts w:ascii="宋体" w:hAnsi="宋体" w:eastAsia="宋体" w:cs="宋体"/>
          <w:b/>
          <w:bCs/>
          <w:sz w:val="21"/>
          <w:szCs w:val="21"/>
        </w:rPr>
        <w:t>7、控制的判断标准和合并财务报表的编制方法</w:t>
      </w:r>
      <w:bookmarkEnd w:id="112"/>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控制的判断标准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合并财务报表的合并范围以控制为基础确定，合并范围包括本公司及全部子公司。控制，是指公司拥有对被投资方的权力，通过参与被投资方的相关活动而享有可变回报，并且有能力运用对被投资方的权力影响其回报金额。</w:t>
      </w:r>
      <w:r>
        <w:rPr>
          <w:rFonts w:hint="eastAsia" w:ascii="宋体" w:hAnsi="宋体" w:eastAsia="宋体" w:cs="宋体"/>
          <w:sz w:val="18"/>
          <w:szCs w:val="18"/>
        </w:rPr>
        <w:t> </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合并程序</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将整个企业集团视为一个会计主体，按照统一的会计政策编制合并财务报表，反映本企业集团整体财务状况、经营成果和现金流量。本公司与子公司、子公司相互之间发生的内部交易的影响予以抵销。内部交易表明相关资产发生减值损失的，全额确认该部分损失。如子公司采用的会计政策、会计期间与本公司不一致的，在编制合并财务报表时，按本公司的会计政策、会计期间进行必要的调整。</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）增加子公司或业务</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报告期内，因同一控制下企业合并增加子公司或业务的，将子公司或业务合并当期期初至报告期末的经营成果和现金流量纳入合并财务报表，同时对合并财务报表的期初数和比较报表的相关项目进行调整，视同合并后的报告主体自最终控制方开始控制时点起一直存在。</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在报告期内，因非同一控制下企业合并增加子公司或业务的，以购买日确定的各项可辨认资产、负债及或有负债的公允价值为基础自购买日起纳入合并财务报表。</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w:t>
      </w:r>
      <w:r>
        <w:rPr>
          <w:rFonts w:hint="eastAsia" w:ascii="宋体" w:hAnsi="宋体" w:eastAsia="宋体" w:cs="宋体"/>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w:t>
      </w:r>
      <w:r>
        <w:rPr>
          <w:rFonts w:hint="default" w:ascii="宋体" w:hAnsi="宋体" w:eastAsia="宋体" w:cs="宋体"/>
          <w:color w:val="000000"/>
          <w:sz w:val="21"/>
          <w:szCs w:val="21"/>
        </w:rPr>
        <w:t>2</w:t>
      </w:r>
      <w:r>
        <w:rPr>
          <w:rFonts w:hint="eastAsia" w:ascii="宋体" w:hAnsi="宋体" w:eastAsia="宋体" w:cs="宋体"/>
          <w:color w:val="000000"/>
          <w:sz w:val="21"/>
          <w:szCs w:val="21"/>
        </w:rPr>
        <w:t>）处置子公司</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①一般处理方法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w:t>
      </w:r>
      <w:r>
        <w:rPr>
          <w:rFonts w:hint="eastAsia" w:ascii="宋体" w:hAnsi="宋体" w:eastAsia="宋体" w:cs="宋体"/>
          <w:color w:val="0000FF"/>
          <w:sz w:val="16"/>
          <w:szCs w:val="16"/>
        </w:rPr>
        <w:t> </w:t>
      </w:r>
      <w:r>
        <w:rPr>
          <w:rFonts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②分步处置子公司</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通过多次交易分步处置对子公司股权投资直至丧失控制权的，处置对子公司股权投资的各项交易的条款、条件以及经济影响符合以下一种或多种情况，通常表明该多次交易事项为一揽子交易：</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ⅰ．这些交易是同时或者在考虑了彼此影响的情况下订立的；</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ⅱ．这些交易整体才能达成一项完整的商业结果；</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ⅲ．一项交易的发生取决于其他至少一项交易的发生；</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ⅳ．一项交易单独看是不经济的，但是和其他交易一并考虑时是经济的。</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各项交易不属于一揽子交易的，在丧失控制权之前，按不丧失控制权的情况下部分处置对子公司的股权投资进行会计处理；在丧失控制权时，按处置子公司一般处理方法进行会计处理。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）购买子公司少数股权</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4</w:t>
      </w:r>
      <w:r>
        <w:rPr>
          <w:rFonts w:hint="eastAsia" w:ascii="宋体" w:hAnsi="宋体" w:eastAsia="宋体" w:cs="宋体"/>
          <w:color w:val="000000"/>
          <w:sz w:val="21"/>
          <w:szCs w:val="21"/>
        </w:rPr>
        <w:t>）不丧失控制权的情况下部分处置对子公司的股权投资</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处置价款与处置长期股权投资相对应享有子公司自购买日或合并日开始持续计算的净资产份额之间的差额，调整合并资产负债表中的资本公积中的股本溢价，资本公积中的股本溢价不足冲减的，调整留存收益。</w:t>
      </w:r>
    </w:p>
    <w:p>
      <w:pPr>
        <w:keepNext/>
        <w:keepLines/>
        <w:spacing w:before="300" w:after="300" w:line="280" w:lineRule="exact"/>
        <w:jc w:val="left"/>
        <w:outlineLvl w:val="2"/>
        <w:rPr>
          <w:rFonts w:ascii="宋体" w:hAnsi="宋体" w:eastAsia="宋体" w:cs="宋体"/>
          <w:b/>
          <w:bCs/>
          <w:sz w:val="21"/>
          <w:szCs w:val="21"/>
        </w:rPr>
      </w:pPr>
      <w:bookmarkStart w:id="113" w:name="_Toc989002"/>
      <w:r>
        <w:rPr>
          <w:rFonts w:ascii="宋体" w:hAnsi="宋体" w:eastAsia="宋体" w:cs="宋体"/>
          <w:b/>
          <w:bCs/>
          <w:sz w:val="21"/>
          <w:szCs w:val="21"/>
        </w:rPr>
        <w:t>8、合营安排分类及共同经营会计处理方法</w:t>
      </w:r>
      <w:bookmarkEnd w:id="113"/>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合营安排分为共同经营和合营企业。</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共同经营，是指合营方享有该安排相关资产且承担该安排相关负债的合营安排。</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本公司确认与共同经营中利益份额相关的下列项目：</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）确认本公司单独所持有的资产，以及按本公司份额确认共同持有的资产；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）确认本公司单独所承担的负债，以及按本公司份额确认共同承担的负债；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）确认出售本公司享有的共同经营产出份额所产生的收入；</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4</w:t>
      </w:r>
      <w:r>
        <w:rPr>
          <w:rFonts w:hint="eastAsia" w:ascii="宋体" w:hAnsi="宋体" w:eastAsia="宋体" w:cs="宋体"/>
          <w:color w:val="000000"/>
          <w:sz w:val="21"/>
          <w:szCs w:val="21"/>
        </w:rPr>
        <w:t>）按本公司份额确认共同经营因出售产出所产生的收入；</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5</w:t>
      </w:r>
      <w:r>
        <w:rPr>
          <w:rFonts w:hint="eastAsia" w:ascii="宋体" w:hAnsi="宋体" w:eastAsia="宋体" w:cs="宋体"/>
          <w:color w:val="000000"/>
          <w:sz w:val="21"/>
          <w:szCs w:val="21"/>
        </w:rPr>
        <w:t>）确认单独所发生的费用，以及按本公司份额确认共同经营发生的费用。</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本公司对合营企业的投资采用权益法核算，详见本附注“七、12长期股权投资”。</w:t>
      </w:r>
    </w:p>
    <w:p>
      <w:pPr>
        <w:keepNext/>
        <w:keepLines/>
        <w:spacing w:before="300" w:after="300" w:line="280" w:lineRule="exact"/>
        <w:jc w:val="left"/>
        <w:outlineLvl w:val="2"/>
        <w:rPr>
          <w:rFonts w:ascii="宋体" w:hAnsi="宋体" w:eastAsia="宋体" w:cs="宋体"/>
          <w:b/>
          <w:bCs/>
          <w:sz w:val="21"/>
          <w:szCs w:val="21"/>
        </w:rPr>
      </w:pPr>
      <w:bookmarkStart w:id="114" w:name="_Toc989003"/>
      <w:r>
        <w:rPr>
          <w:rFonts w:ascii="宋体" w:hAnsi="宋体" w:eastAsia="宋体" w:cs="宋体"/>
          <w:b/>
          <w:bCs/>
          <w:sz w:val="21"/>
          <w:szCs w:val="21"/>
        </w:rPr>
        <w:t>9、现金及现金等价物的确定标准</w:t>
      </w:r>
      <w:bookmarkEnd w:id="114"/>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现金，是指本公司的库存现金以及可以随时用于支付的存款。现金等价物，是指本公司持有的期限短、流动性强、易于转换为已知金额的现金、价值变动风险很小的投资。</w:t>
      </w:r>
    </w:p>
    <w:p>
      <w:pPr>
        <w:keepNext/>
        <w:keepLines/>
        <w:spacing w:before="300" w:after="300" w:line="280" w:lineRule="exact"/>
        <w:jc w:val="left"/>
        <w:outlineLvl w:val="2"/>
        <w:rPr>
          <w:rFonts w:ascii="宋体" w:hAnsi="宋体" w:eastAsia="宋体" w:cs="宋体"/>
          <w:b/>
          <w:bCs/>
          <w:sz w:val="21"/>
          <w:szCs w:val="21"/>
        </w:rPr>
      </w:pPr>
      <w:bookmarkStart w:id="115" w:name="_Toc989004"/>
      <w:r>
        <w:rPr>
          <w:rFonts w:ascii="宋体" w:hAnsi="宋体" w:eastAsia="宋体" w:cs="宋体"/>
          <w:b/>
          <w:bCs/>
          <w:sz w:val="21"/>
          <w:szCs w:val="21"/>
        </w:rPr>
        <w:t>10、外币业务和外币报表折算</w:t>
      </w:r>
      <w:bookmarkEnd w:id="115"/>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b w:val="0"/>
          <w:bCs w:val="0"/>
          <w:sz w:val="21"/>
          <w:szCs w:val="21"/>
        </w:rPr>
        <w:t>外币业务采用交易</w:t>
      </w:r>
      <w:r>
        <w:rPr>
          <w:rFonts w:hint="eastAsia" w:ascii="宋体" w:hAnsi="宋体" w:eastAsia="宋体" w:cs="宋体"/>
          <w:sz w:val="21"/>
          <w:szCs w:val="21"/>
        </w:rPr>
        <w:t>发生日的即期汇率作为折算汇率将外币金额折合成人民币记账。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p>
      <w:pPr>
        <w:keepNext/>
        <w:keepLines/>
        <w:spacing w:before="300" w:after="300" w:line="280" w:lineRule="exact"/>
        <w:jc w:val="left"/>
        <w:outlineLvl w:val="2"/>
        <w:rPr>
          <w:rFonts w:ascii="宋体" w:hAnsi="宋体" w:eastAsia="宋体" w:cs="宋体"/>
          <w:b/>
          <w:bCs/>
          <w:sz w:val="21"/>
          <w:szCs w:val="21"/>
        </w:rPr>
      </w:pPr>
      <w:bookmarkStart w:id="116" w:name="_Toc989005"/>
      <w:r>
        <w:rPr>
          <w:rFonts w:ascii="宋体" w:hAnsi="宋体" w:eastAsia="宋体" w:cs="宋体"/>
          <w:b/>
          <w:bCs/>
          <w:sz w:val="21"/>
          <w:szCs w:val="21"/>
        </w:rPr>
        <w:t>11、金融工具</w:t>
      </w:r>
      <w:bookmarkEnd w:id="116"/>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本公司在成为金融工具合同的一方时，确认一项金融资产、金融负债或权益工具。</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金融工具的分类</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本公司将同时符合下列条件且未被指定为以公允价值计量且其变动计入当期损益的金融资产，分类为以摊余成本计量的金融资产：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业务模式是以收取合同现金流量为目标；</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合同现金流量仅为对本金和以未偿付本金金额为基础的利息的支付。</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本公司将同时符合下列条件且未被指定为以公允价值计量且其变动计入当期损益的金融资产，分类为以公允价值计量且其变动计入其他综合收益的金融资产（债务工具）：</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业务模式既以收取合同现金流量又以出售该金融资产为目标；</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合同现金流量仅为对本金和以未偿付本金金额为基础的利息的支付。</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以摊余成本计量或以公允价值计量且其变动计入其他综合收益的金融资产不可撤销地指定为以公允价值计量且其变动计入当期损益的金融资产。</w:t>
      </w:r>
      <w:r>
        <w:rPr>
          <w:rFonts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金融负债于初始确认时分类为：以公允价值计量且其变动计入当期损益的金融负债和以摊余成本计量的金融负债。</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金融工具的确认依据和计量方法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（1）以摊余成本计量的金融资产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r>
        <w:rPr>
          <w:rFonts w:hint="default"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持有期间采用实际利率法计算的利息计入当期损益。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收回或处置时，将取得的价款与该金融资产账面价值之间的差额计入当期损益。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（2）以公允价值计量且其变动计入其他综合收益的金融资产（债务工具）</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w:t>
      </w:r>
      <w:r>
        <w:rPr>
          <w:rFonts w:hint="default"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终止确认时，之前计入其他综合收益的累计利得或损失从其他综合收益中转出，计入当期损益。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（3）以公允价值计量且其变动计入其他综合收益的金融资产（权益工具）</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w:t>
      </w:r>
      <w:r>
        <w:rPr>
          <w:rFonts w:hint="default"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终止确认时，之前计入其他综合收益的累计利得或损失从其他综合收益中转出，计入留存收益。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（4）以公允价值计量且其变动计入当期损益的金融资产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r>
        <w:rPr>
          <w:rFonts w:hint="default"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（5）以公允价值计量且其变动计入当期损益的金融负债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公允价值计量且其变动计入当期损益的金融负债包括交易性金融负债、衍生金融负债等，按公允价值进行初始计量，相关交易费用计入当期损益。该金融负债按公允价值进行后续计量，公允价值变动计入当期损益。</w:t>
      </w:r>
      <w:r>
        <w:rPr>
          <w:rFonts w:hint="default"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终止确认时，其账面价值与支付的对价之间的差额计入当期损益。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（6）以摊余成本计量的金融负债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以摊余成本计量的金融负债包括短期借款、应付票据、应付账款、其他应付款、长期借款、应付债券、长期应付款，按公允价值进行初始计量，相关交易费用计入初始确认金额。</w:t>
      </w:r>
      <w:r>
        <w:rPr>
          <w:rFonts w:hint="default"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持有期间采用实际利率法计算的利息计入当期损益。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终止确认时，将支付的对价与该金融负债账面价值之间的差额计入当期损益。</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金融资产终止确认和金融资产转移的确认依据和计量方法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满足下列条件之一时，本公司终止确认金融资产：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收取金融资产现金流量的合同权利终止；</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金融资产已转移，且已将金融资产所有权上几乎所有的风险和报酬转移给转入方；</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金融资产已转移，虽然本公司既没有转移也没有保留金融资产所有权上几乎所有的风险和报酬，但是未保留对金融资产的控制。</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本公司与交易对手方修改或者重新议定合同而且构成实质性修改的，则终止确认原金融资产，同时按照修改后的条款确认一项新金融资产。</w:t>
      </w:r>
      <w:r>
        <w:rPr>
          <w:rFonts w:hint="default" w:ascii="Times New Roman" w:hAnsi="Times New Roman" w:eastAsia="宋体" w:cs="Times New Roman"/>
          <w:color w:val="000000"/>
          <w:sz w:val="21"/>
          <w:szCs w:val="21"/>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发生金融资产转移时，如保留了金融资产所有权上几乎所有的风险和报酬的，则不终止确认该金融资产。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在判断金融资产转移是否满足上述金融资产终止确认条件时，采用实质重于形式的原则。</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公司将金融资产转移区分为金融资产整体转移和部分转移。金融资产整体转移满足终止确认条件的，将下列两项金额的差额计入当期损益：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w:t>
      </w:r>
      <w:r>
        <w:rPr>
          <w:rFonts w:hint="default" w:ascii="宋体" w:hAnsi="宋体" w:eastAsia="宋体" w:cs="宋体"/>
          <w:color w:val="000000"/>
          <w:sz w:val="21"/>
          <w:szCs w:val="21"/>
        </w:rPr>
        <w:t>1</w:t>
      </w:r>
      <w:r>
        <w:rPr>
          <w:rFonts w:hint="eastAsia" w:ascii="宋体" w:hAnsi="宋体" w:eastAsia="宋体" w:cs="宋体"/>
          <w:color w:val="000000"/>
          <w:sz w:val="21"/>
          <w:szCs w:val="21"/>
        </w:rPr>
        <w:t>）所转移金融资产的账面价值；</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宋体" w:hAnsi="宋体" w:eastAsia="宋体" w:cs="宋体"/>
          <w:color w:val="000000"/>
          <w:sz w:val="21"/>
          <w:szCs w:val="21"/>
        </w:rPr>
        <w:t>2</w:t>
      </w:r>
      <w:r>
        <w:rPr>
          <w:rFonts w:hint="eastAsia" w:ascii="宋体" w:hAnsi="宋体" w:eastAsia="宋体" w:cs="宋体"/>
          <w:color w:val="000000"/>
          <w:sz w:val="21"/>
          <w:szCs w:val="21"/>
        </w:rPr>
        <w:t>）因转移而收到的对价，与原直接计入所有者权益的公允价值变动累计额（涉及转移的金融资产为以公允价值计量且其变动计入其他综合收益的金融资产（债务工具）的情形）之和。</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金融资产部分转移满足终止确认条件的，将所转移金融资产整体的账面价值，在终止确认部分和未终止确认部分之间，按照各自的相对公允价值进行分摊，并将下列两项金额的差额计入当期损益：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w:t>
      </w:r>
      <w:r>
        <w:rPr>
          <w:rFonts w:hint="default" w:ascii="宋体" w:hAnsi="宋体" w:eastAsia="宋体" w:cs="宋体"/>
          <w:color w:val="000000"/>
          <w:sz w:val="21"/>
          <w:szCs w:val="21"/>
        </w:rPr>
        <w:t>1</w:t>
      </w:r>
      <w:r>
        <w:rPr>
          <w:rFonts w:hint="eastAsia" w:ascii="宋体" w:hAnsi="宋体" w:eastAsia="宋体" w:cs="宋体"/>
          <w:color w:val="000000"/>
          <w:sz w:val="21"/>
          <w:szCs w:val="21"/>
        </w:rPr>
        <w:t>）终止确认部分的账面价值；</w:t>
      </w:r>
    </w:p>
    <w:p>
      <w:pPr>
        <w:pStyle w:val="2"/>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w:t>
      </w:r>
      <w:r>
        <w:rPr>
          <w:rFonts w:hint="default" w:ascii="宋体" w:hAnsi="宋体" w:eastAsia="宋体" w:cs="宋体"/>
          <w:color w:val="000000"/>
          <w:sz w:val="21"/>
          <w:szCs w:val="21"/>
        </w:rPr>
        <w:t>2</w:t>
      </w:r>
      <w:r>
        <w:rPr>
          <w:rFonts w:hint="eastAsia" w:ascii="宋体" w:hAnsi="宋体" w:eastAsia="宋体" w:cs="宋体"/>
          <w:color w:val="000000"/>
          <w:sz w:val="21"/>
          <w:szCs w:val="21"/>
        </w:rPr>
        <w:t>）终止确认部分的对价，与原直接计入所有者权益的公允价值变动累计额中对应终止确认部分的金额（涉及转移的金融资产为以公允价值计量且其变动计入其他综合收益的金融资产（债务工具）的情形）之和。</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金融资产转移不满足终止确认条件的，继续确认该金融资产，所收到的对价确认为一项金融负债。</w:t>
      </w:r>
      <w:r>
        <w:rPr>
          <w:rFonts w:hint="default" w:ascii="Times New Roman" w:hAnsi="Times New Roman" w:eastAsia="宋体" w:cs="Times New Roman"/>
          <w:color w:val="000000"/>
          <w:sz w:val="21"/>
          <w:szCs w:val="21"/>
        </w:rPr>
        <w:t> </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金融负债终止确认</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对现存金融负债全部或部分合同条款作出实质性修改的，则终止确认现存金融负债或其一部分，同时将修改条款后的金融负债确认为一项新金融负债。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金融负债全部或部分终止确认时，终止确认的金融负债账面价值与支付对价（包括转出的非现金资产或承担的新金融负债）之间的差额，计入当期损益。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金融资产和金融负债的公允价值的确定方法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金融工具减值的测试方法及会计处理方法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本公司以单项或组合的方式对以摊余成本计量的金融资产、以公允价值计量且其变动计入其他综合收益的金融资产（债务工具）和财务担保合同等的预期信用损失进行估计。</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个月内预期信用损失的金额计量其损失准备。由此形成的损失准备的增加或转回金额，作为减值损失或利得计入当期损益。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w:t>
      </w:r>
      <w:r>
        <w:rPr>
          <w:rFonts w:hint="default" w:ascii="Times New Roman" w:hAnsi="Times New Roman" w:eastAsia="宋体" w:cs="Times New Roman"/>
          <w:color w:val="000000"/>
          <w:sz w:val="21"/>
          <w:szCs w:val="21"/>
        </w:rPr>
        <w:t>30</w:t>
      </w:r>
      <w:r>
        <w:rPr>
          <w:rFonts w:hint="eastAsia" w:ascii="宋体" w:hAnsi="宋体" w:eastAsia="宋体" w:cs="宋体"/>
          <w:color w:val="000000"/>
          <w:sz w:val="21"/>
          <w:szCs w:val="21"/>
        </w:rPr>
        <w:t>日，本公司即认为该金融工具的信用风险已显著增加，除非有确凿证据证明该金融工具的信用风险自初始确认后并未显著增加。</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如果金融工具于资产负债表日的信用风险较低，本公司即认为该金融工具的信用风险自初始确认后并未显著增加。</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如果有客观证据表明某项金融资产已经发生信用减值，则本公司在单项基础上对该金融资产计提减值准备。</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对于由《企业会计准则第</w:t>
      </w:r>
      <w:r>
        <w:rPr>
          <w:rFonts w:hint="default" w:ascii="Times New Roman" w:hAnsi="Times New Roman" w:eastAsia="宋体" w:cs="Times New Roman"/>
          <w:color w:val="000000"/>
          <w:sz w:val="21"/>
          <w:szCs w:val="21"/>
        </w:rPr>
        <w:t>14</w:t>
      </w:r>
      <w:r>
        <w:rPr>
          <w:rFonts w:hint="eastAsia" w:ascii="宋体" w:hAnsi="宋体" w:eastAsia="宋体" w:cs="宋体"/>
          <w:color w:val="000000"/>
          <w:sz w:val="21"/>
          <w:szCs w:val="21"/>
        </w:rPr>
        <w:t>号——收入》规范的交易形成的应收款项和合同资产，无论是否包含重大融资成分，本公司始终按照相当于整个存续期内预期信用损失的金额计量其损失准备。</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对于由《企业会计准则第</w:t>
      </w:r>
      <w:r>
        <w:rPr>
          <w:rFonts w:hint="default" w:ascii="Times New Roman" w:hAnsi="Times New Roman" w:eastAsia="宋体" w:cs="Times New Roman"/>
          <w:color w:val="000000"/>
          <w:sz w:val="21"/>
          <w:szCs w:val="21"/>
        </w:rPr>
        <w:t>21</w:t>
      </w:r>
      <w:r>
        <w:rPr>
          <w:rFonts w:hint="eastAsia" w:ascii="宋体" w:hAnsi="宋体" w:eastAsia="宋体" w:cs="宋体"/>
          <w:color w:val="000000"/>
          <w:sz w:val="21"/>
          <w:szCs w:val="21"/>
        </w:rPr>
        <w:t>号——租赁》规范的交易形成的租赁应收款，本公司选择始终按照相当于整个存续期内预期信用损失的金额计量其损失准备。</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本公司不再合理预期金融资产合同现金流量能够全部或部分收回的，直接减记该金融资产的账面余额。</w:t>
      </w:r>
    </w:p>
    <w:p>
      <w:pPr>
        <w:keepNext/>
        <w:keepLines/>
        <w:spacing w:before="300" w:after="300" w:line="280" w:lineRule="exact"/>
        <w:jc w:val="left"/>
        <w:outlineLvl w:val="2"/>
        <w:rPr>
          <w:rFonts w:ascii="宋体" w:hAnsi="宋体" w:eastAsia="宋体" w:cs="宋体"/>
          <w:b/>
          <w:bCs/>
          <w:sz w:val="21"/>
          <w:szCs w:val="21"/>
        </w:rPr>
      </w:pPr>
      <w:bookmarkStart w:id="117" w:name="_Toc989006"/>
      <w:r>
        <w:rPr>
          <w:rFonts w:ascii="宋体" w:hAnsi="宋体" w:eastAsia="宋体" w:cs="宋体"/>
          <w:b/>
          <w:bCs/>
          <w:sz w:val="21"/>
          <w:szCs w:val="21"/>
        </w:rPr>
        <w:t>12、合同资产</w:t>
      </w:r>
      <w:bookmarkEnd w:id="117"/>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合同资产的确认方法及标准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r>
        <w:rPr>
          <w:rFonts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合同资产预期信用损失的确定方法及会计处理方法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合同资产的预期信用损失的确定方法及会计处理方法详见“附注五、11金融工具减值的测试方法及会计处理方法”。</w:t>
      </w:r>
    </w:p>
    <w:p>
      <w:pPr>
        <w:keepNext/>
        <w:keepLines/>
        <w:spacing w:before="300" w:after="300" w:line="280" w:lineRule="exact"/>
        <w:jc w:val="left"/>
        <w:outlineLvl w:val="2"/>
        <w:rPr>
          <w:rFonts w:ascii="宋体" w:hAnsi="宋体" w:eastAsia="宋体" w:cs="宋体"/>
          <w:b/>
          <w:bCs/>
          <w:sz w:val="21"/>
          <w:szCs w:val="21"/>
        </w:rPr>
      </w:pPr>
      <w:bookmarkStart w:id="118" w:name="_Toc989007"/>
      <w:r>
        <w:rPr>
          <w:rFonts w:ascii="宋体" w:hAnsi="宋体" w:eastAsia="宋体" w:cs="宋体"/>
          <w:b/>
          <w:bCs/>
          <w:sz w:val="21"/>
          <w:szCs w:val="21"/>
        </w:rPr>
        <w:t>13、存货</w:t>
      </w:r>
      <w:bookmarkEnd w:id="118"/>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存货的分类和成本</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存货分类为：原材料、周转材料、库存商品、在产品、发出商品、委托加工物资等。</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存货按成本进行初始计量，存货成本包括采购成本、加工成本和其他使存货达到目前场所和状态所发生的支出。</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发出存货的计价方法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存货发出时按加权平均法计价。</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存货的盘存制度</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采用永续盘存制。</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低值易耗品和包装物的摊销方法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ascii="Calibri" w:hAnsi="Calibri" w:eastAsia="宋体" w:cs="Calibri"/>
          <w:color w:val="000000"/>
          <w:sz w:val="21"/>
          <w:szCs w:val="21"/>
        </w:rPr>
        <w:t>1</w:t>
      </w:r>
      <w:r>
        <w:rPr>
          <w:rFonts w:hint="eastAsia" w:ascii="宋体" w:hAnsi="宋体" w:eastAsia="宋体" w:cs="宋体"/>
          <w:color w:val="000000"/>
          <w:sz w:val="21"/>
          <w:szCs w:val="21"/>
        </w:rPr>
        <w:t>）低值易耗品采用一次转销法；</w:t>
      </w:r>
      <w:r>
        <w:rPr>
          <w:rFonts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Calibri" w:hAnsi="Calibri" w:eastAsia="宋体" w:cs="Calibri"/>
          <w:color w:val="000000"/>
          <w:sz w:val="21"/>
          <w:szCs w:val="21"/>
        </w:rPr>
        <w:t>2</w:t>
      </w:r>
      <w:r>
        <w:rPr>
          <w:rFonts w:hint="eastAsia" w:ascii="宋体" w:hAnsi="宋体" w:eastAsia="宋体" w:cs="宋体"/>
          <w:color w:val="000000"/>
          <w:sz w:val="21"/>
          <w:szCs w:val="21"/>
        </w:rPr>
        <w:t>）包装物采用一次转销法。</w:t>
      </w:r>
      <w:r>
        <w:rPr>
          <w:rFonts w:hint="default" w:ascii="Arial" w:hAnsi="Arial" w:eastAsia="宋体" w:cs="Arial"/>
          <w:color w:val="0000FF"/>
          <w:sz w:val="16"/>
          <w:szCs w:val="16"/>
        </w:rPr>
        <w:t>  </w:t>
      </w:r>
      <w:r>
        <w:rPr>
          <w:rFonts w:hint="default" w:ascii="Times New Roman" w:hAnsi="Times New Roman" w:eastAsia="宋体" w:cs="Times New Roman"/>
          <w:color w:val="000000"/>
          <w:sz w:val="21"/>
          <w:szCs w:val="21"/>
        </w:rPr>
        <w:t> </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存货跌价准备的确认标准和计提方法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按照组合计提存货跌价准备的，组合类别及确定依据以及不同类别存货。计提存货跌价准备后，如果以前减记存货价值的影响因素已经消失，导致存货的可变现净值高于其账面价值的，在原已计提的存货跌价准备金额内予以转回，转回的金额计入当期损益。</w:t>
      </w:r>
    </w:p>
    <w:p>
      <w:pPr>
        <w:keepNext/>
        <w:keepLines/>
        <w:spacing w:before="300" w:after="300" w:line="280" w:lineRule="exact"/>
        <w:jc w:val="left"/>
        <w:outlineLvl w:val="2"/>
        <w:rPr>
          <w:rFonts w:ascii="宋体" w:hAnsi="宋体" w:eastAsia="宋体" w:cs="宋体"/>
          <w:b/>
          <w:bCs/>
          <w:sz w:val="21"/>
          <w:szCs w:val="21"/>
        </w:rPr>
      </w:pPr>
      <w:bookmarkStart w:id="119" w:name="_Toc989008"/>
      <w:r>
        <w:rPr>
          <w:rFonts w:ascii="宋体" w:hAnsi="宋体" w:eastAsia="宋体" w:cs="宋体"/>
          <w:b/>
          <w:bCs/>
          <w:sz w:val="21"/>
          <w:szCs w:val="21"/>
        </w:rPr>
        <w:t>14、持有待售资产</w:t>
      </w:r>
      <w:bookmarkEnd w:id="119"/>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主要通过出售（包括具有商业实质的非货币性资产交换）而非持续使用一项非流动资产或处置组收回其账面价值的，划分为持有待售类别。</w:t>
      </w:r>
    </w:p>
    <w:p>
      <w:pPr>
        <w:pStyle w:val="2"/>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本公司将同时满足下列条件的非流动资产或处置组划分为持有待售类别：</w:t>
      </w:r>
    </w:p>
    <w:p>
      <w:pPr>
        <w:pStyle w:val="2"/>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w:t>
      </w:r>
      <w:r>
        <w:rPr>
          <w:rFonts w:hint="default" w:ascii="宋体" w:hAnsi="宋体" w:eastAsia="宋体" w:cs="宋体"/>
          <w:color w:val="000000"/>
          <w:sz w:val="21"/>
          <w:szCs w:val="21"/>
        </w:rPr>
        <w:t>1</w:t>
      </w:r>
      <w:r>
        <w:rPr>
          <w:rFonts w:hint="eastAsia" w:ascii="宋体" w:hAnsi="宋体" w:eastAsia="宋体" w:cs="宋体"/>
          <w:color w:val="000000"/>
          <w:sz w:val="21"/>
          <w:szCs w:val="21"/>
        </w:rPr>
        <w:t>）根据类似交易中出售此类资产或处置组的惯例，在当前状况下即可立即出售；</w:t>
      </w:r>
    </w:p>
    <w:p>
      <w:pPr>
        <w:pStyle w:val="2"/>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w:t>
      </w:r>
      <w:r>
        <w:rPr>
          <w:rFonts w:hint="default" w:ascii="宋体" w:hAnsi="宋体" w:eastAsia="宋体" w:cs="宋体"/>
          <w:color w:val="000000"/>
          <w:sz w:val="21"/>
          <w:szCs w:val="21"/>
        </w:rPr>
        <w:t>2</w:t>
      </w:r>
      <w:r>
        <w:rPr>
          <w:rFonts w:hint="eastAsia" w:ascii="宋体" w:hAnsi="宋体" w:eastAsia="宋体" w:cs="宋体"/>
          <w:color w:val="000000"/>
          <w:sz w:val="21"/>
          <w:szCs w:val="21"/>
        </w:rPr>
        <w:t>）出售极可能发生，即本公司已经就一项出售计划作出决议且获得确定的购买承诺，预计出售将在一年内完成。有关规定要求本公司相关权力机构或者监管部门批准后方可出售的，已经获得批准。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划分为持有待售的非流动资产（不包括金融资产、递延所得税资产、职工薪酬形成的资产）或处置组，其账面价值高于公允价值减去出售费用后的净额的，账面价值减记至公允价值减去出售费用后的净额，减记的金额确认为资产减值损失，计入当期损益，同时计提持有待售资产减值准备。</w:t>
      </w:r>
    </w:p>
    <w:p>
      <w:pPr>
        <w:keepNext/>
        <w:keepLines/>
        <w:spacing w:before="300" w:after="300" w:line="280" w:lineRule="exact"/>
        <w:jc w:val="left"/>
        <w:outlineLvl w:val="2"/>
        <w:rPr>
          <w:rFonts w:ascii="宋体" w:hAnsi="宋体" w:eastAsia="宋体" w:cs="宋体"/>
          <w:b/>
          <w:bCs/>
          <w:sz w:val="21"/>
          <w:szCs w:val="21"/>
        </w:rPr>
      </w:pPr>
      <w:bookmarkStart w:id="120" w:name="_Toc989009"/>
      <w:r>
        <w:rPr>
          <w:rFonts w:ascii="宋体" w:hAnsi="宋体" w:eastAsia="宋体" w:cs="宋体"/>
          <w:b/>
          <w:bCs/>
          <w:sz w:val="21"/>
          <w:szCs w:val="21"/>
        </w:rPr>
        <w:t>15、长期股权投资</w:t>
      </w:r>
      <w:bookmarkEnd w:id="120"/>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共同控制、重大影响的判断标准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重大影响，是指对被投资单位的财务和经营决策有参与决策的权力，但并不能够控制或者与其他方一起共同控制这些政策的制定。本公司能够对被投资单位施加重大影响的，被投资单位为本公司联营企业。</w:t>
      </w:r>
      <w:r>
        <w:rPr>
          <w:rFonts w:hint="default" w:ascii="Times New Roman" w:hAnsi="Times New Roman" w:eastAsia="宋体" w:cs="Times New Roman"/>
          <w:color w:val="000000"/>
          <w:sz w:val="21"/>
          <w:szCs w:val="21"/>
        </w:rPr>
        <w:t> </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初始投资成本的确定</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）企业合并形成的长期股权投资</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同一控制下的企业合并形成的对子公司的长期股权投资，在合并日按照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一控制下的被投资单位实施控制的，按上述原则确认的长期股权投资的初始投资成本与达到合并前的长期股权投资账面价值加上合并日进一步取得股份新支付对价的账面价值之和的差额，调整股本溢价，股本溢价不足冲减的，冲减留存收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非同一控制下的企业合并形成的对子公司的长期股权投资，按照购买日确定的合并成本作为长期股权投资的初始投资成本。因追加投资等原因能够对非同一控制下的被投资单位实施控制的，按照原持有的股权投资账面价值加上新增投资成本之和作为初始投资成本。</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）通过企业合并以外的其他方式取得的长期股权投资</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以支付现金方式取得的长期股权投资，按照实际支付的购买价款作为初始投资成本。</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以发行权益性证券取得的长期股权投资，按照发行权益性证券的公允价值作为初始投资成本。</w:t>
      </w:r>
      <w:r>
        <w:rPr>
          <w:rFonts w:hint="default" w:ascii="Times New Roman" w:hAnsi="Times New Roman" w:eastAsia="宋体" w:cs="Times New Roman"/>
          <w:color w:val="000000"/>
          <w:sz w:val="21"/>
          <w:szCs w:val="21"/>
        </w:rPr>
        <w:t> </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后续计量及损益确认方法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）成本法核算的长期股权投资</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）权益法核算的长期股权投资</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与联营企业、合营企业之间发生的未实现内部交易损益按照应享有的比例计算归属于公司的部分，予以抵销，在此基础上确认投资收益，但投出或出售的资产构成业务的除外。与被投资单位发生的未实现内部交易损失，属于资产减值损失的，全额确认。</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）长期股权投资的处置</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处置长期股权投资，其账面价值与实际取得价款的差额，计入当期损益。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部分处置权益法核算的长期股权投资，剩余股权仍采用权益法核算的，原权益法核算确认的其他综合收益采用与被投资单位直接处置相关资产或负债相同的基础按相应比例结转，其他所有者权益变动按比例结转入当期损益。</w:t>
      </w:r>
      <w:r>
        <w:rPr>
          <w:rFonts w:ascii="Arial" w:hAnsi="Arial" w:eastAsia="宋体" w:cs="Arial"/>
          <w:color w:val="0000FF"/>
          <w:sz w:val="21"/>
          <w:szCs w:val="21"/>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r>
        <w:rPr>
          <w:rFonts w:hint="default" w:ascii="Arial" w:hAnsi="Arial" w:eastAsia="宋体" w:cs="Arial"/>
          <w:color w:val="0000FF"/>
          <w:sz w:val="21"/>
          <w:szCs w:val="21"/>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变动按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w:t>
      </w:r>
      <w:r>
        <w:rPr>
          <w:rFonts w:hint="default" w:ascii="Arial" w:hAnsi="Arial" w:eastAsia="宋体" w:cs="Arial"/>
          <w:color w:val="0000FF"/>
          <w:sz w:val="21"/>
          <w:szCs w:val="21"/>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p>
      <w:pPr>
        <w:keepNext/>
        <w:keepLines/>
        <w:spacing w:before="300" w:after="300" w:line="280" w:lineRule="exact"/>
        <w:jc w:val="left"/>
        <w:outlineLvl w:val="2"/>
        <w:rPr>
          <w:rFonts w:ascii="宋体" w:hAnsi="宋体" w:eastAsia="宋体" w:cs="宋体"/>
          <w:b/>
          <w:bCs/>
          <w:sz w:val="21"/>
          <w:szCs w:val="21"/>
        </w:rPr>
      </w:pPr>
      <w:bookmarkStart w:id="121" w:name="_Toc989010"/>
      <w:r>
        <w:rPr>
          <w:rFonts w:ascii="宋体" w:hAnsi="宋体" w:eastAsia="宋体" w:cs="宋体"/>
          <w:b/>
          <w:bCs/>
          <w:sz w:val="21"/>
          <w:szCs w:val="21"/>
        </w:rPr>
        <w:t>16、固定资产</w:t>
      </w:r>
      <w:bookmarkEnd w:id="121"/>
    </w:p>
    <w:p>
      <w:pPr>
        <w:keepNext/>
        <w:keepLines/>
        <w:spacing w:before="300" w:after="300" w:line="280" w:lineRule="exact"/>
        <w:jc w:val="left"/>
        <w:outlineLvl w:val="3"/>
        <w:rPr>
          <w:rFonts w:ascii="宋体" w:hAnsi="宋体" w:eastAsia="宋体" w:cs="宋体"/>
          <w:b/>
          <w:bCs/>
          <w:sz w:val="21"/>
          <w:szCs w:val="21"/>
        </w:rPr>
      </w:pPr>
      <w:bookmarkStart w:id="122" w:name="_Toc989011"/>
      <w:r>
        <w:rPr>
          <w:rFonts w:ascii="宋体" w:hAnsi="宋体" w:eastAsia="宋体" w:cs="宋体"/>
          <w:b/>
          <w:bCs/>
          <w:sz w:val="21"/>
          <w:szCs w:val="21"/>
        </w:rPr>
        <w:t>（1） 确认条件</w:t>
      </w:r>
      <w:bookmarkEnd w:id="122"/>
    </w:p>
    <w:p>
      <w:pPr>
        <w:pStyle w:val="2"/>
        <w:keepNext w:val="0"/>
        <w:keepLines w:val="0"/>
        <w:widowControl/>
        <w:suppressLineNumbers w:val="0"/>
        <w:spacing w:before="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rPr>
        <w:t>固定资产的确认和初始计量</w:t>
      </w:r>
    </w:p>
    <w:p>
      <w:pPr>
        <w:pStyle w:val="2"/>
        <w:keepNext w:val="0"/>
        <w:keepLines w:val="0"/>
        <w:widowControl/>
        <w:suppressLineNumbers w:val="0"/>
        <w:spacing w:before="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rPr>
        <w:t>固定资产指为生产商品、提供劳务、出租或经营管理而持有，并且使用寿命超过一个会计年度的有形资产。固定资产在同时满足下列条件时予以确认：</w:t>
      </w:r>
    </w:p>
    <w:p>
      <w:pPr>
        <w:pStyle w:val="2"/>
        <w:keepNext w:val="0"/>
        <w:keepLines w:val="0"/>
        <w:widowControl/>
        <w:suppressLineNumbers w:val="0"/>
        <w:spacing w:before="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 1 \* GB3 \* MERGEFORMAT </w:instrText>
      </w:r>
      <w:r>
        <w:rPr>
          <w:rFonts w:hint="eastAsia" w:ascii="宋体" w:hAnsi="宋体" w:eastAsia="宋体" w:cs="宋体"/>
          <w:color w:val="000000"/>
          <w:sz w:val="21"/>
          <w:szCs w:val="21"/>
        </w:rPr>
        <w:fldChar w:fldCharType="separate"/>
      </w:r>
      <w:r>
        <w:t>①</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与该固定资产有关的经济利益很可能流入企业；</w:t>
      </w:r>
    </w:p>
    <w:p>
      <w:pPr>
        <w:pStyle w:val="2"/>
        <w:keepNext w:val="0"/>
        <w:keepLines w:val="0"/>
        <w:widowControl/>
        <w:suppressLineNumbers w:val="0"/>
        <w:spacing w:before="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 2 \* GB3 \* MERGEFORMAT </w:instrText>
      </w:r>
      <w:r>
        <w:rPr>
          <w:rFonts w:hint="eastAsia" w:ascii="宋体" w:hAnsi="宋体" w:eastAsia="宋体" w:cs="宋体"/>
          <w:color w:val="000000"/>
          <w:sz w:val="21"/>
          <w:szCs w:val="21"/>
        </w:rPr>
        <w:fldChar w:fldCharType="separate"/>
      </w:r>
      <w:r>
        <w:t>②</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该固定资产的成本能够可靠地计量。</w:t>
      </w:r>
    </w:p>
    <w:p>
      <w:pPr>
        <w:pStyle w:val="2"/>
        <w:keepNext w:val="0"/>
        <w:keepLines w:val="0"/>
        <w:widowControl/>
        <w:suppressLineNumbers w:val="0"/>
        <w:spacing w:before="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rPr>
        <w:t>固定资产按成本（并考虑预计弃置费用因素的影响）进行初始计量。</w:t>
      </w:r>
    </w:p>
    <w:p>
      <w:pPr>
        <w:pStyle w:val="2"/>
        <w:keepNext w:val="0"/>
        <w:keepLines w:val="0"/>
        <w:widowControl/>
        <w:suppressLineNumbers w:val="0"/>
        <w:spacing w:before="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与固定资产有关的后续支出，在与其有关的经济利益很可能流入且其成本能够可靠计量时，计入固定资产成本；对于被替换的部分，终止确认其账面价值；所有其他后续支出于发生时计入当期损益。 </w:t>
      </w:r>
    </w:p>
    <w:p>
      <w:pPr>
        <w:keepNext/>
        <w:keepLines/>
        <w:spacing w:before="300" w:after="300" w:line="280" w:lineRule="exact"/>
        <w:jc w:val="left"/>
        <w:outlineLvl w:val="3"/>
        <w:rPr>
          <w:rFonts w:ascii="宋体" w:hAnsi="宋体" w:eastAsia="宋体" w:cs="宋体"/>
          <w:b/>
          <w:bCs/>
          <w:sz w:val="21"/>
          <w:szCs w:val="21"/>
        </w:rPr>
      </w:pPr>
      <w:bookmarkStart w:id="123" w:name="_Toc989012"/>
      <w:r>
        <w:rPr>
          <w:rFonts w:ascii="宋体" w:hAnsi="宋体" w:eastAsia="宋体" w:cs="宋体"/>
          <w:b/>
          <w:bCs/>
          <w:sz w:val="21"/>
          <w:szCs w:val="21"/>
        </w:rPr>
        <w:t>（2） 折旧方法</w:t>
      </w:r>
      <w:bookmarkEnd w:id="123"/>
    </w:p>
    <w:p>
      <w:pPr>
        <w:spacing w:before="0" w:after="0" w:line="0" w:lineRule="exact"/>
        <w:jc w:val="left"/>
      </w:pP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10-40年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2.38-9.50%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3-10年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9.50-31.67%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运输工具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5-10年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9.50-19.00%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办公设备及其他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3-5年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19.00-31.67%</w:t>
            </w:r>
          </w:p>
        </w:tc>
      </w:tr>
    </w:tbl>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固定资产折旧采用年限平均法分类计提，根据固定资产类别、预计使用寿命和预计净残值率确定折旧率。对计提了减值准备的固定资产，则在未来期间按扣除减值准备后的账面价值及依据尚可使用年限确定折旧额。如固定资产各组成部分的使用寿命不同或者以不同方式为企业提供经济利益，则选择不同折旧率或折旧方法，分别计提折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固定资产处置</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color w:val="000000"/>
          <w:sz w:val="21"/>
          <w:szCs w:val="21"/>
        </w:rPr>
        <w:t>当固定资产被处置、或者预期通过使用或处置不能产生经济利益时，终止确认该固定资产。固定资产出售、转让、报废或毁损的处置收入扣除其账面价值和相关税费后的金额计入当期损益。</w:t>
      </w:r>
    </w:p>
    <w:p>
      <w:pPr>
        <w:keepNext/>
        <w:keepLines/>
        <w:spacing w:before="300" w:after="300" w:line="280" w:lineRule="exact"/>
        <w:jc w:val="left"/>
        <w:outlineLvl w:val="2"/>
        <w:rPr>
          <w:rFonts w:ascii="宋体" w:hAnsi="宋体" w:eastAsia="宋体" w:cs="宋体"/>
          <w:b/>
          <w:bCs/>
          <w:sz w:val="21"/>
          <w:szCs w:val="21"/>
        </w:rPr>
      </w:pPr>
      <w:bookmarkStart w:id="124" w:name="_Toc989013"/>
      <w:r>
        <w:rPr>
          <w:rFonts w:ascii="宋体" w:hAnsi="宋体" w:eastAsia="宋体" w:cs="宋体"/>
          <w:b/>
          <w:bCs/>
          <w:sz w:val="21"/>
          <w:szCs w:val="21"/>
        </w:rPr>
        <w:t>17、在建工程</w:t>
      </w:r>
      <w:bookmarkEnd w:id="124"/>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w:t>
      </w:r>
    </w:p>
    <w:p>
      <w:pPr>
        <w:keepNext/>
        <w:keepLines/>
        <w:spacing w:before="300" w:after="300" w:line="280" w:lineRule="exact"/>
        <w:jc w:val="left"/>
        <w:outlineLvl w:val="2"/>
        <w:rPr>
          <w:rFonts w:ascii="宋体" w:hAnsi="宋体" w:eastAsia="宋体" w:cs="宋体"/>
          <w:b/>
          <w:bCs/>
          <w:sz w:val="21"/>
          <w:szCs w:val="21"/>
        </w:rPr>
      </w:pPr>
      <w:bookmarkStart w:id="125" w:name="_Toc989014"/>
      <w:r>
        <w:rPr>
          <w:rFonts w:ascii="宋体" w:hAnsi="宋体" w:eastAsia="宋体" w:cs="宋体"/>
          <w:b/>
          <w:bCs/>
          <w:sz w:val="21"/>
          <w:szCs w:val="21"/>
        </w:rPr>
        <w:t>18、借款费用</w:t>
      </w:r>
      <w:bookmarkEnd w:id="125"/>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借款费用资本化的确认原则</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公司发生的借款费用，可直接归属于符合资本化条件的资产的购建或者生产的，予以资本化，计入相关资产成本；其他借款费用，在发生时根据其发生额确认为费用，计入当期损益。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符合资本化条件的资产，是指需要经过相当长时间的购建或者生产活动才能达到预定可使用或者可销售状态的固定资产、投资性房地产和存货等资产。</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借款费用资本化期间</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资本化期间，指从借款费用开始资本化时点到停止资本化时点的期间，借款费用暂停资本化的期间不包括在内。</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借款费用同时满足下列条件时开始资本化：</w:t>
      </w:r>
      <w:r>
        <w:rPr>
          <w:rFonts w:hint="default" w:ascii="Times New Roman" w:hAnsi="Times New Roman" w:eastAsia="宋体" w:cs="Times New Roman"/>
          <w:color w:val="000000"/>
          <w:sz w:val="21"/>
          <w:szCs w:val="21"/>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 xml:space="preserve">）资产支出已经发生，资产支出包括为购建或者生产符合资本化条件的资产而以支付现金、转移非现金资产或者承担带息债务形式发生的支出；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 xml:space="preserve">）借款费用已经发生；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）为使资产达到预定可使用或者可销售状态所必要的购建或者生产活动已经开始。</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当购建或者生产符合资本化条件的资产达到预定可使用或者可销售状态时，借款费用停止资本化。</w:t>
      </w:r>
      <w:r>
        <w:rPr>
          <w:rFonts w:hint="default" w:ascii="Times New Roman" w:hAnsi="Times New Roman" w:eastAsia="宋体" w:cs="Times New Roman"/>
          <w:color w:val="000000"/>
          <w:sz w:val="21"/>
          <w:szCs w:val="21"/>
        </w:rPr>
        <w:t> </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暂停资本化期间</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符合资本化条件的资产在购建或生产过程中发生的非正常中断、且中断时间连续超过</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借款费用资本化率、资本化金额的计算方法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在资本化期间内，外币专门借款本金及利息的汇兑差额，予以资本化，计入符合资本化条件的资产的成本。除外币专门借款之外的其他外币借款本金及其利息所产生的汇兑差额计入当期损益。</w:t>
      </w:r>
    </w:p>
    <w:p>
      <w:pPr>
        <w:keepNext/>
        <w:keepLines/>
        <w:spacing w:before="300" w:after="300" w:line="280" w:lineRule="exact"/>
        <w:jc w:val="left"/>
        <w:outlineLvl w:val="2"/>
        <w:rPr>
          <w:rFonts w:ascii="宋体" w:hAnsi="宋体" w:eastAsia="宋体" w:cs="宋体"/>
          <w:b/>
          <w:bCs/>
          <w:sz w:val="21"/>
          <w:szCs w:val="21"/>
        </w:rPr>
      </w:pPr>
      <w:bookmarkStart w:id="126" w:name="_Toc989015"/>
      <w:r>
        <w:rPr>
          <w:rFonts w:ascii="宋体" w:hAnsi="宋体" w:eastAsia="宋体" w:cs="宋体"/>
          <w:b/>
          <w:bCs/>
          <w:sz w:val="21"/>
          <w:szCs w:val="21"/>
        </w:rPr>
        <w:t>19、无形资产</w:t>
      </w:r>
      <w:bookmarkEnd w:id="126"/>
    </w:p>
    <w:p>
      <w:pPr>
        <w:keepNext/>
        <w:keepLines/>
        <w:spacing w:before="300" w:after="300" w:line="280" w:lineRule="exact"/>
        <w:jc w:val="left"/>
        <w:outlineLvl w:val="3"/>
        <w:rPr>
          <w:rFonts w:ascii="宋体" w:hAnsi="宋体" w:eastAsia="宋体" w:cs="宋体"/>
          <w:b/>
          <w:bCs/>
          <w:sz w:val="21"/>
          <w:szCs w:val="21"/>
        </w:rPr>
      </w:pPr>
      <w:bookmarkStart w:id="127" w:name="_Toc989016"/>
      <w:r>
        <w:rPr>
          <w:rFonts w:ascii="宋体" w:hAnsi="宋体" w:eastAsia="宋体" w:cs="宋体"/>
          <w:b/>
          <w:bCs/>
          <w:sz w:val="21"/>
          <w:szCs w:val="21"/>
        </w:rPr>
        <w:t>（1） 使用寿命及其确定依据、估计情况、摊销方法或复核程序</w:t>
      </w:r>
      <w:bookmarkEnd w:id="127"/>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rPr>
        <w:t>无形资产的计价方法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ascii="Calibri" w:hAnsi="Calibri" w:eastAsia="宋体" w:cs="Calibri"/>
          <w:color w:val="000000"/>
          <w:sz w:val="21"/>
          <w:szCs w:val="21"/>
        </w:rPr>
        <w:t>①</w:t>
      </w:r>
      <w:r>
        <w:rPr>
          <w:rFonts w:hint="eastAsia" w:ascii="宋体" w:hAnsi="宋体" w:eastAsia="宋体" w:cs="宋体"/>
          <w:color w:val="000000"/>
          <w:sz w:val="21"/>
          <w:szCs w:val="21"/>
        </w:rPr>
        <w:t>公司取得无形资产时按成本进行初始计量；</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外购无形资产的成本，包括购买价款、相关税费以及直接归属于使该项资产达到预定用途所发生的其他支出。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Calibri" w:hAnsi="Calibri" w:eastAsia="宋体" w:cs="Calibri"/>
          <w:color w:val="000000"/>
          <w:sz w:val="21"/>
          <w:szCs w:val="21"/>
        </w:rPr>
        <w:t>②</w:t>
      </w:r>
      <w:r>
        <w:rPr>
          <w:rFonts w:hint="eastAsia" w:ascii="宋体" w:hAnsi="宋体" w:eastAsia="宋体" w:cs="宋体"/>
          <w:color w:val="000000"/>
          <w:sz w:val="21"/>
          <w:szCs w:val="21"/>
        </w:rPr>
        <w:t>后续计量</w:t>
      </w:r>
    </w:p>
    <w:p>
      <w:pPr>
        <w:pStyle w:val="2"/>
        <w:keepNext w:val="0"/>
        <w:keepLines w:val="0"/>
        <w:widowControl/>
        <w:suppressLineNumbers w:val="0"/>
        <w:spacing w:before="0" w:beforeAutospacing="0" w:after="0" w:afterAutospacing="0" w:line="360" w:lineRule="atLeast"/>
        <w:ind w:left="0" w:right="0" w:firstLine="420" w:firstLineChars="200"/>
        <w:jc w:val="left"/>
        <w:rPr>
          <w:rFonts w:hint="default" w:ascii="Times New Roman" w:hAnsi="Times New Roman" w:cs="Times New Roman"/>
          <w:sz w:val="24"/>
          <w:szCs w:val="24"/>
        </w:rPr>
      </w:pPr>
      <w:r>
        <w:rPr>
          <w:rFonts w:hint="eastAsia" w:ascii="宋体" w:hAnsi="宋体" w:eastAsia="宋体" w:cs="宋体"/>
          <w:color w:val="000000"/>
          <w:sz w:val="21"/>
          <w:szCs w:val="21"/>
        </w:rPr>
        <w:t>在取得无形资产时分析判断其使用寿命。</w:t>
      </w:r>
    </w:p>
    <w:p>
      <w:pPr>
        <w:pStyle w:val="2"/>
        <w:keepNext w:val="0"/>
        <w:keepLines w:val="0"/>
        <w:widowControl/>
        <w:suppressLineNumbers w:val="0"/>
        <w:spacing w:before="0" w:beforeAutospacing="0" w:after="0" w:afterAutospacing="0" w:line="360" w:lineRule="atLeast"/>
        <w:ind w:left="0" w:right="0" w:firstLine="420" w:firstLineChars="200"/>
        <w:jc w:val="left"/>
        <w:rPr>
          <w:rFonts w:hint="default" w:ascii="Times New Roman" w:hAnsi="Times New Roman" w:cs="Times New Roman"/>
          <w:sz w:val="24"/>
          <w:szCs w:val="24"/>
        </w:rPr>
      </w:pPr>
      <w:r>
        <w:rPr>
          <w:rFonts w:hint="eastAsia" w:ascii="宋体" w:hAnsi="宋体" w:eastAsia="宋体" w:cs="宋体"/>
          <w:color w:val="000000"/>
          <w:sz w:val="21"/>
          <w:szCs w:val="21"/>
        </w:rPr>
        <w:t>对于使用寿命有限的无形资产，在为企业带来经济利益的期限内摊销；无法预见无形资产为企业带来经济利益期限的，视为使用寿命不确定的无形资产，不予摊销。</w:t>
      </w:r>
    </w:p>
    <w:p>
      <w:pPr>
        <w:pStyle w:val="2"/>
        <w:keepNext w:val="0"/>
        <w:keepLines w:val="0"/>
        <w:widowControl/>
        <w:suppressLineNumbers w:val="0"/>
        <w:spacing w:before="0" w:beforeAutospacing="0" w:after="0" w:afterAutospacing="0" w:line="360" w:lineRule="atLeast"/>
        <w:ind w:left="0" w:right="0" w:firstLine="420" w:firstLineChars="200"/>
        <w:jc w:val="both"/>
        <w:rPr>
          <w:rFonts w:hint="default" w:ascii="Times New Roman" w:hAnsi="Times New Roman" w:cs="Times New Roman"/>
          <w:sz w:val="21"/>
          <w:szCs w:val="21"/>
        </w:rPr>
      </w:pPr>
      <w:r>
        <w:rPr>
          <w:rFonts w:hint="eastAsia" w:ascii="宋体" w:hAnsi="宋体" w:eastAsia="宋体" w:cs="宋体"/>
          <w:color w:val="000000"/>
          <w:sz w:val="21"/>
          <w:szCs w:val="21"/>
        </w:rPr>
        <w:t>使用寿命有限的无形资产的使用寿命估计情况</w:t>
      </w:r>
    </w:p>
    <w:tbl>
      <w:tblPr>
        <w:tblStyle w:val="3"/>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55"/>
        <w:gridCol w:w="1495"/>
        <w:gridCol w:w="1619"/>
        <w:gridCol w:w="1619"/>
        <w:gridCol w:w="25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72"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项目</w:t>
            </w:r>
          </w:p>
        </w:tc>
        <w:tc>
          <w:tcPr>
            <w:tcW w:w="828"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预计使用寿命</w:t>
            </w:r>
          </w:p>
        </w:tc>
        <w:tc>
          <w:tcPr>
            <w:tcW w:w="89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摊销方法</w:t>
            </w:r>
          </w:p>
        </w:tc>
        <w:tc>
          <w:tcPr>
            <w:tcW w:w="89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残值率</w:t>
            </w:r>
          </w:p>
        </w:tc>
        <w:tc>
          <w:tcPr>
            <w:tcW w:w="1405"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预计使用寿命的确定依据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9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土地使用权</w:t>
            </w:r>
          </w:p>
        </w:tc>
        <w:tc>
          <w:tcPr>
            <w:tcW w:w="828"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sz w:val="18"/>
                <w:szCs w:val="18"/>
              </w:rPr>
              <w:t>50</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直线法</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Times New Roman" w:hAnsi="Times New Roman" w:cs="Times New Roman"/>
                <w:sz w:val="18"/>
                <w:szCs w:val="18"/>
              </w:rPr>
              <w:t>0</w:t>
            </w:r>
          </w:p>
        </w:tc>
        <w:tc>
          <w:tcPr>
            <w:tcW w:w="140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土地使用权期限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9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软件</w:t>
            </w:r>
          </w:p>
        </w:tc>
        <w:tc>
          <w:tcPr>
            <w:tcW w:w="828"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sz w:val="18"/>
                <w:szCs w:val="18"/>
              </w:rPr>
              <w:t>10</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直线法</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Times New Roman" w:hAnsi="Times New Roman" w:cs="Times New Roman"/>
                <w:sz w:val="18"/>
                <w:szCs w:val="18"/>
              </w:rPr>
              <w:t>0</w:t>
            </w:r>
          </w:p>
        </w:tc>
        <w:tc>
          <w:tcPr>
            <w:tcW w:w="140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预计更新升级期间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9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专有技术</w:t>
            </w:r>
          </w:p>
        </w:tc>
        <w:tc>
          <w:tcPr>
            <w:tcW w:w="82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sz w:val="18"/>
                <w:szCs w:val="18"/>
              </w:rPr>
              <w:t>10</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直线法</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Times New Roman" w:hAnsi="Times New Roman" w:cs="Times New Roman"/>
                <w:sz w:val="18"/>
                <w:szCs w:val="18"/>
              </w:rPr>
              <w:t>0</w:t>
            </w:r>
          </w:p>
        </w:tc>
        <w:tc>
          <w:tcPr>
            <w:tcW w:w="140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预计更新升级期间</w:t>
            </w:r>
          </w:p>
        </w:tc>
      </w:tr>
    </w:tbl>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rPr>
        <w:t>使用寿命不确定的无形资产的判断依据以及对其使用寿命进行复核的程序</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本公司尚不存在使用寿命不确定的无形资产。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1"/>
          <w:szCs w:val="21"/>
        </w:rPr>
        <w:t> </w:t>
      </w:r>
      <w:r>
        <w:rPr>
          <w:rFonts w:hint="eastAsia" w:ascii="宋体" w:hAnsi="宋体" w:eastAsia="宋体" w:cs="宋体"/>
          <w:color w:val="000000"/>
          <w:sz w:val="21"/>
          <w:szCs w:val="21"/>
        </w:rPr>
        <w:t>研发支出的归集范围</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公司进行研究与开发过程中发生的支出包括从事研发活动的人员的相关职工薪酬、耗用材料、相关折旧摊销费用、水电燃料等相关支出。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划分研究阶段和开发阶段的具体标准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公司内部研究开发项目的支出分为研究阶段支出和开发阶段支出。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研究阶段：为获取并理解新的科学或技术知识等而进行的独创性的有计划调查、研究活动的阶段。</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开发阶段：在进行商业性生产或使用前，将研究成果或其他知识应用于某项计划或设计，以生产出新的或具有实质性改进的材料、装置、产品等活动的阶段。</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开发阶段支出资本化的具体条件</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研究阶段的支出，于发生时计入当期损益。开发阶段的支出同时满足下列条件的，确认为无形资产，不能满足下述条件的开发阶段的支出计入当期损益：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 xml:space="preserve">(1) </w:t>
      </w:r>
      <w:r>
        <w:rPr>
          <w:rFonts w:hint="eastAsia" w:ascii="宋体" w:hAnsi="宋体" w:eastAsia="宋体" w:cs="宋体"/>
          <w:color w:val="000000"/>
          <w:sz w:val="21"/>
          <w:szCs w:val="21"/>
        </w:rPr>
        <w:t>完成该无形资产以使其能够使用或出售在技术上具有可行性；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 xml:space="preserve">(2) </w:t>
      </w:r>
      <w:r>
        <w:rPr>
          <w:rFonts w:hint="eastAsia" w:ascii="宋体" w:hAnsi="宋体" w:eastAsia="宋体" w:cs="宋体"/>
          <w:color w:val="000000"/>
          <w:sz w:val="21"/>
          <w:szCs w:val="21"/>
        </w:rPr>
        <w:t>具有完成该无形资产并使用或出售的意图；</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 xml:space="preserve">(3) </w:t>
      </w:r>
      <w:r>
        <w:rPr>
          <w:rFonts w:hint="eastAsia" w:ascii="宋体" w:hAnsi="宋体" w:eastAsia="宋体" w:cs="宋体"/>
          <w:color w:val="000000"/>
          <w:sz w:val="21"/>
          <w:szCs w:val="21"/>
        </w:rPr>
        <w:t>无形资产产生经济利益的方式，包括能够证明运用该无形资产生产的产品存在市场或无形资产自身存在市场，无形资产将在内部使用的，能够证明其有用性；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 xml:space="preserve">(4) </w:t>
      </w:r>
      <w:r>
        <w:rPr>
          <w:rFonts w:hint="eastAsia" w:ascii="宋体" w:hAnsi="宋体" w:eastAsia="宋体" w:cs="宋体"/>
          <w:color w:val="000000"/>
          <w:sz w:val="21"/>
          <w:szCs w:val="21"/>
        </w:rPr>
        <w:t>有足够的技术、财务资源和其他资源支持，以完成该无形资产的开发，并有能力使用或出售该无形资产；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 xml:space="preserve">(5) </w:t>
      </w:r>
      <w:r>
        <w:rPr>
          <w:rFonts w:hint="eastAsia" w:ascii="宋体" w:hAnsi="宋体" w:eastAsia="宋体" w:cs="宋体"/>
          <w:color w:val="000000"/>
          <w:sz w:val="21"/>
          <w:szCs w:val="21"/>
        </w:rPr>
        <w:t>归属于该无形资产开发阶段的支出能够可靠地计量。</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无法区分研究阶段支出和开发阶段支出的，将发生的研发支出全部计入当期损益。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公司主要研发项目分为航天类新产品研制、新型飞机刹车材料研制、飞机刹车材料改进研制、新型飞机机轮及刹车系统研制、飞机机轮及刹车系统改进研制、高性能硬质合金材料及其部件制备技术研发等，其中：</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航天类新产品、新型飞机刹车材料研制项目，主要有市场调研、可行性研究、结构设计、材料选择及相关制造技术研究、形成飞机刹车技术规范、试验件的制造、地面试验、飞行试验、产品取证等阶段，本公司认为形成飞机刹车材料技术规范时，下一步研发已具备针对性，且形成成果的可能性较大时，作为资本化时点；</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）飞机刹车材料改进研制项目，是基于在已研制完成项目基础上进行改进，故将实质性研发支出直接资本化；</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新型飞机机轮及刹车系统研制项目，主要有市场调研、可行性研究；确定功能基线，编制设计和开发计划，编制研制方案以及各类型文件大纲；绘制研发项目产品图样，编制产品规范、工艺规程、检验规程等整套技术文件，形成分配基线；对产品图样、工艺规程等进行工艺评审，满足设计要求及其合理性与经济性、可生产性与可检验性的能力；完成产品样机试制，编写可靠性、维修性、安全性、保障性文件，完成研制产品首件鉴定、研制试验、首飞安全试验、系统匹配性试验以及技术审查（</w:t>
      </w:r>
      <w:r>
        <w:rPr>
          <w:rFonts w:hint="default" w:ascii="Times New Roman" w:hAnsi="Times New Roman" w:eastAsia="宋体" w:cs="Times New Roman"/>
          <w:sz w:val="21"/>
          <w:szCs w:val="21"/>
        </w:rPr>
        <w:t>C</w:t>
      </w:r>
      <w:r>
        <w:rPr>
          <w:rFonts w:hint="eastAsia" w:ascii="宋体" w:hAnsi="宋体" w:eastAsia="宋体" w:cs="宋体"/>
          <w:sz w:val="21"/>
          <w:szCs w:val="21"/>
        </w:rPr>
        <w:t>阶段转</w:t>
      </w:r>
      <w:r>
        <w:rPr>
          <w:rFonts w:hint="default" w:ascii="Times New Roman" w:hAnsi="Times New Roman" w:eastAsia="宋体" w:cs="Times New Roman"/>
          <w:sz w:val="21"/>
          <w:szCs w:val="21"/>
        </w:rPr>
        <w:t>S</w:t>
      </w:r>
      <w:r>
        <w:rPr>
          <w:rFonts w:hint="eastAsia" w:ascii="宋体" w:hAnsi="宋体" w:eastAsia="宋体" w:cs="宋体"/>
          <w:sz w:val="21"/>
          <w:szCs w:val="21"/>
        </w:rPr>
        <w:t>阶段）、首飞准备审查，本公司认为完成可行性研究后，确定功能基线时，研发已具备针对性，且形成成果的可能性较大时，作为资本化时点；</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4</w:t>
      </w:r>
      <w:r>
        <w:rPr>
          <w:rFonts w:hint="eastAsia" w:ascii="宋体" w:hAnsi="宋体" w:eastAsia="宋体" w:cs="宋体"/>
          <w:sz w:val="21"/>
          <w:szCs w:val="21"/>
        </w:rPr>
        <w:t>）飞机机轮及刹车系统改进研制项目，是基于在已研制完成项目基础上进行局部重大升级改进或较大范围的升级改进，故将实质性研发支出直接资本化。</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5</w:t>
      </w:r>
      <w:r>
        <w:rPr>
          <w:rFonts w:hint="eastAsia" w:ascii="宋体" w:hAnsi="宋体" w:eastAsia="宋体" w:cs="宋体"/>
          <w:sz w:val="21"/>
          <w:szCs w:val="21"/>
        </w:rPr>
        <w:t>）高性能硬质合金材料研发，以完成配方试验作为资本化时点。</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6</w:t>
      </w:r>
      <w:r>
        <w:rPr>
          <w:rFonts w:hint="eastAsia" w:ascii="宋体" w:hAnsi="宋体" w:eastAsia="宋体" w:cs="宋体"/>
          <w:sz w:val="21"/>
          <w:szCs w:val="21"/>
        </w:rPr>
        <w:t>）高性能硬质合金工艺技术研发，以形成工艺标准为资本化时点。</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7</w:t>
      </w:r>
      <w:r>
        <w:rPr>
          <w:rFonts w:hint="eastAsia" w:ascii="宋体" w:hAnsi="宋体" w:eastAsia="宋体" w:cs="宋体"/>
          <w:sz w:val="21"/>
          <w:szCs w:val="21"/>
        </w:rPr>
        <w:t>）硬质合金部件研发，以形成产品品号为资本化时点。</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上述研发项目以完成研发成果鉴定、验收或取得</w:t>
      </w:r>
      <w:r>
        <w:rPr>
          <w:rFonts w:hint="default" w:ascii="Times New Roman" w:hAnsi="Times New Roman" w:eastAsia="宋体" w:cs="Times New Roman"/>
          <w:sz w:val="21"/>
          <w:szCs w:val="21"/>
        </w:rPr>
        <w:t>PMA</w:t>
      </w:r>
      <w:r>
        <w:rPr>
          <w:rFonts w:hint="eastAsia" w:ascii="宋体" w:hAnsi="宋体" w:eastAsia="宋体" w:cs="宋体"/>
          <w:sz w:val="21"/>
          <w:szCs w:val="21"/>
        </w:rPr>
        <w:t>证书等作为转入无形资产核算时点。</w:t>
      </w:r>
    </w:p>
    <w:p>
      <w:pPr>
        <w:keepNext/>
        <w:keepLines/>
        <w:spacing w:before="300" w:after="300" w:line="280" w:lineRule="exact"/>
        <w:jc w:val="left"/>
        <w:outlineLvl w:val="2"/>
        <w:rPr>
          <w:rFonts w:ascii="宋体" w:hAnsi="宋体" w:eastAsia="宋体" w:cs="宋体"/>
          <w:b/>
          <w:bCs/>
          <w:sz w:val="21"/>
          <w:szCs w:val="21"/>
        </w:rPr>
      </w:pPr>
      <w:bookmarkStart w:id="128" w:name="_Toc989017"/>
      <w:r>
        <w:rPr>
          <w:rFonts w:ascii="宋体" w:hAnsi="宋体" w:eastAsia="宋体" w:cs="宋体"/>
          <w:b/>
          <w:bCs/>
          <w:sz w:val="21"/>
          <w:szCs w:val="21"/>
        </w:rPr>
        <w:t>20、长期资产减值</w:t>
      </w:r>
      <w:bookmarkEnd w:id="128"/>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长期股权投资、固定资产、在建工程、使用权资产、使用寿命有限的无形资产、油气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对于因企业合并形成的商誉、使用寿命不确定的无形资产、尚未达到可使用状态的无形资产，无论是否存在减值迹象，至少在每年年度终了进行减值测试。</w:t>
      </w:r>
      <w:r>
        <w:rPr>
          <w:rFonts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进行商誉减值测试，对于因企业合并形成的商誉的账面价值，自购买日起按照合理的方法分摊至相关的资产组；难以分摊至相关的资产组的，将其分摊至相关的资产组组合。相关的资产组或者资产组组合，是能够从企业合并的协同效应中受益的资产组或者资产组组合。</w:t>
      </w:r>
      <w:r>
        <w:rPr>
          <w:rFonts w:hint="default"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然后对包含商誉的资产组或者资产组组合进行减值测试，比较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上述资产减值损失一经确认，在以后会计期间不予转回。</w:t>
      </w:r>
    </w:p>
    <w:p>
      <w:pPr>
        <w:keepNext/>
        <w:keepLines/>
        <w:spacing w:before="300" w:after="300" w:line="280" w:lineRule="exact"/>
        <w:jc w:val="left"/>
        <w:outlineLvl w:val="2"/>
        <w:rPr>
          <w:rFonts w:ascii="宋体" w:hAnsi="宋体" w:eastAsia="宋体" w:cs="宋体"/>
          <w:b/>
          <w:bCs/>
          <w:sz w:val="21"/>
          <w:szCs w:val="21"/>
        </w:rPr>
      </w:pPr>
      <w:bookmarkStart w:id="129" w:name="_Toc989018"/>
      <w:r>
        <w:rPr>
          <w:rFonts w:ascii="宋体" w:hAnsi="宋体" w:eastAsia="宋体" w:cs="宋体"/>
          <w:b/>
          <w:bCs/>
          <w:sz w:val="21"/>
          <w:szCs w:val="21"/>
        </w:rPr>
        <w:t>21、长期待摊费用</w:t>
      </w:r>
      <w:bookmarkEnd w:id="129"/>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长期待摊费用为已经发生但应由本期和以后各期负担的分摊期限在一年以上的各项费用。</w:t>
      </w:r>
    </w:p>
    <w:p>
      <w:pPr>
        <w:keepNext/>
        <w:keepLines/>
        <w:spacing w:before="300" w:after="300" w:line="280" w:lineRule="exact"/>
        <w:jc w:val="left"/>
        <w:outlineLvl w:val="2"/>
        <w:rPr>
          <w:rFonts w:ascii="宋体" w:hAnsi="宋体" w:eastAsia="宋体" w:cs="宋体"/>
          <w:b/>
          <w:bCs/>
          <w:sz w:val="21"/>
          <w:szCs w:val="21"/>
        </w:rPr>
      </w:pPr>
      <w:bookmarkStart w:id="130" w:name="_Toc989019"/>
      <w:r>
        <w:rPr>
          <w:rFonts w:ascii="宋体" w:hAnsi="宋体" w:eastAsia="宋体" w:cs="宋体"/>
          <w:b/>
          <w:bCs/>
          <w:sz w:val="21"/>
          <w:szCs w:val="21"/>
        </w:rPr>
        <w:t>22、合同负债</w:t>
      </w:r>
      <w:bookmarkEnd w:id="130"/>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r>
        <w:rPr>
          <w:rFonts w:ascii="Arial" w:hAnsi="Arial" w:eastAsia="宋体" w:cs="Arial"/>
          <w:color w:val="0000FF"/>
          <w:sz w:val="16"/>
          <w:szCs w:val="16"/>
        </w:rPr>
        <w:t>  </w:t>
      </w:r>
    </w:p>
    <w:p>
      <w:pPr>
        <w:keepNext/>
        <w:keepLines/>
        <w:spacing w:before="300" w:after="300" w:line="280" w:lineRule="exact"/>
        <w:jc w:val="left"/>
        <w:outlineLvl w:val="2"/>
        <w:rPr>
          <w:rFonts w:ascii="宋体" w:hAnsi="宋体" w:eastAsia="宋体" w:cs="宋体"/>
          <w:b/>
          <w:bCs/>
          <w:sz w:val="21"/>
          <w:szCs w:val="21"/>
        </w:rPr>
      </w:pPr>
      <w:bookmarkStart w:id="131" w:name="_Toc989020"/>
      <w:r>
        <w:rPr>
          <w:rFonts w:ascii="宋体" w:hAnsi="宋体" w:eastAsia="宋体" w:cs="宋体"/>
          <w:b/>
          <w:bCs/>
          <w:sz w:val="21"/>
          <w:szCs w:val="21"/>
        </w:rPr>
        <w:t>23、职工薪酬</w:t>
      </w:r>
      <w:bookmarkEnd w:id="131"/>
    </w:p>
    <w:p>
      <w:pPr>
        <w:keepNext/>
        <w:keepLines/>
        <w:pageBreakBefore w:val="0"/>
        <w:kinsoku/>
        <w:wordWrap/>
        <w:overflowPunct/>
        <w:topLinePunct w:val="0"/>
        <w:autoSpaceDE/>
        <w:autoSpaceDN/>
        <w:bidi w:val="0"/>
        <w:adjustRightInd/>
        <w:snapToGrid/>
        <w:spacing w:line="280" w:lineRule="exact"/>
        <w:ind w:firstLine="420" w:firstLineChars="200"/>
        <w:jc w:val="left"/>
        <w:textAlignment w:val="auto"/>
        <w:outlineLvl w:val="3"/>
        <w:rPr>
          <w:rFonts w:hint="eastAsia" w:ascii="宋体" w:hAnsi="宋体" w:eastAsia="宋体" w:cs="宋体"/>
          <w:color w:val="000000"/>
          <w:kern w:val="0"/>
          <w:sz w:val="21"/>
          <w:szCs w:val="21"/>
          <w:lang w:val="en-US" w:eastAsia="zh-CN" w:bidi="ar"/>
        </w:rPr>
      </w:pPr>
      <w:bookmarkStart w:id="132" w:name="_Toc989021"/>
      <w:r>
        <w:rPr>
          <w:rFonts w:hint="eastAsia" w:ascii="宋体" w:hAnsi="宋体" w:eastAsia="宋体" w:cs="宋体"/>
          <w:color w:val="000000"/>
          <w:kern w:val="0"/>
          <w:sz w:val="21"/>
          <w:szCs w:val="21"/>
          <w:lang w:val="en-US" w:eastAsia="zh-CN" w:bidi="ar"/>
        </w:rPr>
        <w:t>（1） 短期薪酬的会计处理方法</w:t>
      </w:r>
      <w:bookmarkEnd w:id="132"/>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本公司在职工为本公司提供服务的会计期间，将实际发生的短期薪酬确认为负债，并计入当期损益或相关资产成本。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本公司为职工缴纳的社会保险费和住房公积金，以及按规定提取的工会经费和职工教育经费，在职工为本公司提供服务的会计期间，根据规定的计提基础和计提比例计算确定相应的职工薪酬金额。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本公司发生的职工福利费，在实际发生时根据实际发生额计入当期损益或相关资产成本，其中，非货币性福利按照公允价值计量。</w:t>
      </w:r>
    </w:p>
    <w:p>
      <w:pPr>
        <w:keepNext/>
        <w:keepLines/>
        <w:pageBreakBefore w:val="0"/>
        <w:kinsoku/>
        <w:wordWrap/>
        <w:overflowPunct/>
        <w:topLinePunct w:val="0"/>
        <w:autoSpaceDE/>
        <w:autoSpaceDN/>
        <w:bidi w:val="0"/>
        <w:adjustRightInd/>
        <w:snapToGrid/>
        <w:spacing w:line="280" w:lineRule="exact"/>
        <w:ind w:firstLine="420" w:firstLineChars="200"/>
        <w:jc w:val="left"/>
        <w:textAlignment w:val="auto"/>
        <w:outlineLvl w:val="3"/>
        <w:rPr>
          <w:rFonts w:hint="eastAsia" w:ascii="宋体" w:hAnsi="宋体" w:eastAsia="宋体" w:cs="宋体"/>
          <w:color w:val="000000"/>
          <w:kern w:val="0"/>
          <w:sz w:val="21"/>
          <w:szCs w:val="21"/>
          <w:lang w:val="en-US" w:eastAsia="zh-CN" w:bidi="ar"/>
        </w:rPr>
      </w:pPr>
      <w:bookmarkStart w:id="133" w:name="_Toc989022"/>
      <w:r>
        <w:rPr>
          <w:rFonts w:hint="eastAsia" w:ascii="宋体" w:hAnsi="宋体" w:eastAsia="宋体" w:cs="宋体"/>
          <w:color w:val="000000"/>
          <w:kern w:val="0"/>
          <w:sz w:val="21"/>
          <w:szCs w:val="21"/>
          <w:lang w:val="en-US" w:eastAsia="zh-CN" w:bidi="ar"/>
        </w:rPr>
        <w:t>（2） 离职后福利的会计处理方法</w:t>
      </w:r>
      <w:bookmarkEnd w:id="133"/>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fldChar w:fldCharType="begin"/>
      </w:r>
      <w:r>
        <w:rPr>
          <w:rFonts w:hint="eastAsia" w:ascii="宋体" w:hAnsi="宋体" w:eastAsia="宋体" w:cs="宋体"/>
          <w:color w:val="000000"/>
          <w:kern w:val="0"/>
          <w:sz w:val="21"/>
          <w:szCs w:val="21"/>
          <w:lang w:val="en-US" w:eastAsia="zh-CN" w:bidi="ar"/>
        </w:rPr>
        <w:instrText xml:space="preserve"> = 1 \* GB3 \* MERGEFORMAT </w:instrText>
      </w:r>
      <w:r>
        <w:rPr>
          <w:rFonts w:hint="eastAsia" w:ascii="宋体" w:hAnsi="宋体" w:eastAsia="宋体" w:cs="宋体"/>
          <w:color w:val="000000"/>
          <w:kern w:val="0"/>
          <w:sz w:val="21"/>
          <w:szCs w:val="21"/>
          <w:lang w:val="en-US" w:eastAsia="zh-CN" w:bidi="ar"/>
        </w:rPr>
        <w:fldChar w:fldCharType="separate"/>
      </w:r>
      <w:r>
        <w:rPr>
          <w:rFonts w:hint="eastAsia" w:ascii="宋体" w:hAnsi="宋体" w:eastAsia="宋体" w:cs="宋体"/>
          <w:color w:val="000000"/>
          <w:kern w:val="0"/>
          <w:sz w:val="21"/>
          <w:szCs w:val="21"/>
          <w:lang w:val="en-US" w:eastAsia="zh-CN" w:bidi="ar"/>
        </w:rPr>
        <w:t>①</w:t>
      </w:r>
      <w:r>
        <w:rPr>
          <w:rFonts w:hint="eastAsia" w:ascii="宋体" w:hAnsi="宋体" w:eastAsia="宋体" w:cs="宋体"/>
          <w:color w:val="000000"/>
          <w:kern w:val="0"/>
          <w:sz w:val="21"/>
          <w:szCs w:val="21"/>
          <w:lang w:val="en-US" w:eastAsia="zh-CN" w:bidi="ar"/>
        </w:rPr>
        <w:fldChar w:fldCharType="end"/>
      </w:r>
      <w:r>
        <w:rPr>
          <w:rFonts w:hint="eastAsia" w:ascii="宋体" w:hAnsi="宋体" w:eastAsia="宋体" w:cs="宋体"/>
          <w:color w:val="000000"/>
          <w:kern w:val="0"/>
          <w:sz w:val="21"/>
          <w:szCs w:val="21"/>
          <w:lang w:val="en-US" w:eastAsia="zh-CN" w:bidi="ar"/>
        </w:rPr>
        <w:t>设定提存计划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补充养老保险基金。本公司按职工工资总额的一定比例向年金计划</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当地社会保险机构缴费，相应支出计入当期损益或相关资产成本。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fldChar w:fldCharType="begin"/>
      </w:r>
      <w:r>
        <w:rPr>
          <w:rFonts w:hint="eastAsia" w:ascii="宋体" w:hAnsi="宋体" w:eastAsia="宋体" w:cs="宋体"/>
          <w:color w:val="000000"/>
          <w:kern w:val="0"/>
          <w:sz w:val="21"/>
          <w:szCs w:val="21"/>
          <w:lang w:val="en-US" w:eastAsia="zh-CN" w:bidi="ar"/>
        </w:rPr>
        <w:instrText xml:space="preserve"> = 2 \* GB3 \* MERGEFORMAT </w:instrText>
      </w:r>
      <w:r>
        <w:rPr>
          <w:rFonts w:hint="eastAsia" w:ascii="宋体" w:hAnsi="宋体" w:eastAsia="宋体" w:cs="宋体"/>
          <w:color w:val="000000"/>
          <w:kern w:val="0"/>
          <w:sz w:val="21"/>
          <w:szCs w:val="21"/>
          <w:lang w:val="en-US" w:eastAsia="zh-CN" w:bidi="ar"/>
        </w:rPr>
        <w:fldChar w:fldCharType="separate"/>
      </w:r>
      <w:r>
        <w:rPr>
          <w:rFonts w:hint="eastAsia" w:ascii="宋体" w:hAnsi="宋体" w:eastAsia="宋体" w:cs="宋体"/>
          <w:color w:val="000000"/>
          <w:kern w:val="0"/>
          <w:sz w:val="21"/>
          <w:szCs w:val="21"/>
          <w:lang w:val="en-US" w:eastAsia="zh-CN" w:bidi="ar"/>
        </w:rPr>
        <w:t>②</w:t>
      </w:r>
      <w:r>
        <w:rPr>
          <w:rFonts w:hint="eastAsia" w:ascii="宋体" w:hAnsi="宋体" w:eastAsia="宋体" w:cs="宋体"/>
          <w:color w:val="000000"/>
          <w:kern w:val="0"/>
          <w:sz w:val="21"/>
          <w:szCs w:val="21"/>
          <w:lang w:val="en-US" w:eastAsia="zh-CN" w:bidi="ar"/>
        </w:rPr>
        <w:fldChar w:fldCharType="end"/>
      </w:r>
      <w:r>
        <w:rPr>
          <w:rFonts w:hint="eastAsia" w:ascii="宋体" w:hAnsi="宋体" w:eastAsia="宋体" w:cs="宋体"/>
          <w:color w:val="000000"/>
          <w:kern w:val="0"/>
          <w:sz w:val="21"/>
          <w:szCs w:val="21"/>
          <w:lang w:val="en-US" w:eastAsia="zh-CN" w:bidi="ar"/>
        </w:rPr>
        <w:t>设定受益计划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本公司根据预期累计福利单位法确定的公式将设定受益计划产生的福利义务归属于职工提供服务的期间，并计入当期损益或相关资产成本。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在设定受益计划结算时，按在结算日确定的设定受益计划义务现值和结算价格两者的差额，确认结算利得或损失。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eastAsia" w:ascii="宋体" w:hAnsi="宋体" w:eastAsia="宋体" w:cs="宋体"/>
          <w:color w:val="000000"/>
          <w:kern w:val="0"/>
          <w:sz w:val="21"/>
          <w:szCs w:val="21"/>
          <w:lang w:val="en-US" w:eastAsia="zh-CN" w:bidi="ar"/>
        </w:rPr>
      </w:pPr>
      <w:bookmarkStart w:id="134" w:name="_Toc989023"/>
      <w:r>
        <w:rPr>
          <w:rFonts w:hint="eastAsia" w:ascii="宋体" w:hAnsi="宋体" w:eastAsia="宋体" w:cs="宋体"/>
          <w:color w:val="000000"/>
          <w:kern w:val="0"/>
          <w:sz w:val="21"/>
          <w:szCs w:val="21"/>
          <w:lang w:val="en-US" w:eastAsia="zh-CN" w:bidi="ar"/>
        </w:rPr>
        <w:t>（3） 辞退福利的会计处理方法</w:t>
      </w:r>
      <w:bookmarkEnd w:id="134"/>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eastAsia" w:ascii="宋体" w:hAnsi="宋体" w:eastAsia="宋体" w:cs="宋体"/>
          <w:color w:val="000000"/>
          <w:kern w:val="0"/>
          <w:sz w:val="21"/>
          <w:szCs w:val="21"/>
          <w:lang w:val="en-US" w:eastAsia="zh-CN" w:bidi="ar"/>
        </w:rPr>
      </w:pPr>
      <w:bookmarkStart w:id="135" w:name="_Toc989024"/>
      <w:r>
        <w:rPr>
          <w:rFonts w:hint="eastAsia" w:ascii="宋体" w:hAnsi="宋体" w:eastAsia="宋体" w:cs="宋体"/>
          <w:color w:val="000000"/>
          <w:kern w:val="0"/>
          <w:sz w:val="21"/>
          <w:szCs w:val="21"/>
          <w:lang w:val="en-US" w:eastAsia="zh-CN" w:bidi="ar"/>
        </w:rPr>
        <w:t>（4） 其他长期职工福利的会计处理方法</w:t>
      </w:r>
      <w:bookmarkEnd w:id="135"/>
    </w:p>
    <w:p>
      <w:pPr>
        <w:keepNext/>
        <w:keepLines/>
        <w:spacing w:before="300" w:after="300" w:line="280" w:lineRule="exact"/>
        <w:jc w:val="left"/>
        <w:outlineLvl w:val="2"/>
        <w:rPr>
          <w:rFonts w:ascii="宋体" w:hAnsi="宋体" w:eastAsia="宋体" w:cs="宋体"/>
          <w:b/>
          <w:bCs/>
          <w:sz w:val="21"/>
          <w:szCs w:val="21"/>
        </w:rPr>
      </w:pPr>
      <w:bookmarkStart w:id="136" w:name="_Toc989025"/>
      <w:r>
        <w:rPr>
          <w:rFonts w:ascii="宋体" w:hAnsi="宋体" w:eastAsia="宋体" w:cs="宋体"/>
          <w:b/>
          <w:bCs/>
          <w:sz w:val="21"/>
          <w:szCs w:val="21"/>
        </w:rPr>
        <w:t>24、预计负债</w:t>
      </w:r>
      <w:bookmarkEnd w:id="136"/>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与或有事项相关的义务同时满足下列条件时，本公司将其确认为预计负债：</w:t>
      </w:r>
      <w:r>
        <w:rPr>
          <w:rFonts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）该义务是本公司承担的现时义务；</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）履行该义务很可能导致经济利益流出本公司；</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）该义务的金额能够可靠地计量。</w:t>
      </w:r>
      <w:r>
        <w:rPr>
          <w:rFonts w:hint="default" w:ascii="Times New Roman" w:hAnsi="Times New Roman" w:eastAsia="宋体" w:cs="Times New Roman"/>
          <w:color w:val="000000"/>
          <w:sz w:val="21"/>
          <w:szCs w:val="21"/>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预计负债按履行相关现时义务所需的支出的最佳估计数进行初始计量。</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在确定最佳估计数时，综合考虑与或有事项有关的风险、不确定性和货币时间价值等因素。对于货币时间价值影响重大的，通过对相关未来现金流出进行折现后确定最佳估计数。</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所需支出存在一个连续范围，且该范围内各种结果发生的可能性相同的，最佳估计数按照该范围内的中间值确定；在其他情况下，最佳估计数分别下列情况处理：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或有事项涉及单个项目的，按照最可能发生金额确定。</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或有事项涉及多个项目的，按照各种可能结果及相关概率计算确定。</w:t>
      </w:r>
      <w:r>
        <w:rPr>
          <w:rFonts w:hint="eastAsia" w:ascii="宋体" w:hAnsi="宋体" w:eastAsia="宋体" w:cs="宋体"/>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清偿预计负债所需支出全部或部分预期由第三方补偿的，补偿金额在基本确定能够收到时，作为资产单独确认，确认的补偿金额不超过预计负债的账面价值。</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本公司在资产负债表日对预计负债的账面价值进行复核，有确凿证据表明该账面价值不能反映当前最佳估计数的，按照当前最佳估计数对该账面价值进行调整。</w:t>
      </w:r>
    </w:p>
    <w:p>
      <w:pPr>
        <w:keepNext/>
        <w:keepLines/>
        <w:spacing w:before="300" w:after="300" w:line="280" w:lineRule="exact"/>
        <w:jc w:val="left"/>
        <w:outlineLvl w:val="2"/>
        <w:rPr>
          <w:rFonts w:ascii="宋体" w:hAnsi="宋体" w:eastAsia="宋体" w:cs="宋体"/>
          <w:b/>
          <w:bCs/>
          <w:sz w:val="21"/>
          <w:szCs w:val="21"/>
        </w:rPr>
      </w:pPr>
      <w:bookmarkStart w:id="137" w:name="_Toc989026"/>
      <w:r>
        <w:rPr>
          <w:rFonts w:ascii="宋体" w:hAnsi="宋体" w:eastAsia="宋体" w:cs="宋体"/>
          <w:b/>
          <w:bCs/>
          <w:sz w:val="21"/>
          <w:szCs w:val="21"/>
        </w:rPr>
        <w:t>25、收入</w:t>
      </w:r>
      <w:bookmarkEnd w:id="137"/>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按照业务类型披露收入确认和计量所采用的会计政策</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b w:val="0"/>
          <w:bCs w:val="0"/>
          <w:sz w:val="24"/>
          <w:szCs w:val="24"/>
        </w:rPr>
      </w:pPr>
      <w:r>
        <w:rPr>
          <w:rFonts w:hint="eastAsia" w:ascii="宋体" w:hAnsi="宋体" w:eastAsia="宋体" w:cs="宋体"/>
          <w:b w:val="0"/>
          <w:bCs w:val="0"/>
          <w:sz w:val="21"/>
          <w:szCs w:val="21"/>
        </w:rPr>
        <w:t>收入确认和计量所采用的会计政策</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本公司在履行了合同中的履约义务，即在客户取得相关商品或服务控制权时确认收入。取得相关商品或服务控制权，是指能够主导该商品或服务的使用并从中获得几乎全部的经济利益。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满足下列条件之一的，属于在某一时段内履行履约义务，否则，属于在某一时点履行履约义务：</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客户在本公司履约的同时即取得并消耗本公司履约所带来的经济利益。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客户能够控制本公司履约过程中在建的商品。</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本公司履约过程中所产出的商品具有不可替代用途，且本公司在整个合同期内有权就累计至今已完成的履约部分收取款项。</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对于在某一时点履行的履约义务，本公司在客户取得相关商品或服务控制权时点确认收入。在判断客户是否已取得商品或服务控制权时，本公司考虑下列迹象：</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本公司就该商品或服务享有现时收款权利，即客户就该商品或服务负有现时付款义务。</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本公司已将该商品的法定所有权转移给客户，即客户已拥有该商品的法定所有权。</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本公司已将该商品实物转移给客户，即客户已实物占有该商品。</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本公司已将该商品所有权上的主要风险和报酬转移给客户，即客户已取得该商品所有权上的主要风险和报酬。</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客户已接受该商品或服务等。</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本公司主要产品为飞机刹车材料、航天及民用碳</w:t>
      </w:r>
      <w:r>
        <w:rPr>
          <w:rFonts w:hint="default" w:ascii="Times New Roman" w:hAnsi="Times New Roman" w:eastAsia="宋体" w:cs="Times New Roman"/>
          <w:sz w:val="21"/>
          <w:szCs w:val="21"/>
        </w:rPr>
        <w:t>\</w:t>
      </w:r>
      <w:r>
        <w:rPr>
          <w:rFonts w:hint="eastAsia" w:ascii="宋体" w:hAnsi="宋体" w:eastAsia="宋体" w:cs="宋体"/>
          <w:sz w:val="21"/>
          <w:szCs w:val="21"/>
        </w:rPr>
        <w:t>碳复合材料、高性能模具材料。</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本公司主要产品内销收入具体政策如下：</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飞机刹车材料：飞机刹车副，一般为客户收货后，公司开具发票，故公司主要以客户收货作为产品风险及报酬转移时点确认收入，若为寄售销售，公司向客户发出货物，由客户代为保管，客户使用后，统计当月消耗数量，于次月向公司提供结算单，公司复核无误后开具发票，故公司在寄售销售模式下以收到客户的结算单作为收入确认时点；飞机刹车系统，以客户验收作为收入确认时点。</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航天及民用碳</w:t>
      </w:r>
      <w:r>
        <w:rPr>
          <w:rFonts w:hint="default" w:ascii="Times New Roman" w:hAnsi="Times New Roman" w:eastAsia="宋体" w:cs="Times New Roman"/>
          <w:sz w:val="21"/>
          <w:szCs w:val="21"/>
        </w:rPr>
        <w:t>\</w:t>
      </w:r>
      <w:r>
        <w:rPr>
          <w:rFonts w:hint="eastAsia" w:ascii="宋体" w:hAnsi="宋体" w:eastAsia="宋体" w:cs="宋体"/>
          <w:sz w:val="21"/>
          <w:szCs w:val="21"/>
        </w:rPr>
        <w:t>碳复合材料：根据合同是否约定验收合格条款而分别以客户确认收货或客户验收合格作为收入确认时点。</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高性能硬质合金材料：主要采取快递的运输方式，待客户确认收货后公司开具发票，故公司以客户确认收货作为收入确认时点。</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稀有金属粉体新材料：公司将产品交付客户，经客户验收合格后确认收入。</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出口销售：主要为</w:t>
      </w:r>
      <w:r>
        <w:rPr>
          <w:rFonts w:hint="default" w:ascii="Times New Roman" w:hAnsi="Times New Roman" w:eastAsia="宋体" w:cs="Times New Roman"/>
          <w:sz w:val="21"/>
          <w:szCs w:val="21"/>
        </w:rPr>
        <w:t>FCA</w:t>
      </w:r>
      <w:r>
        <w:rPr>
          <w:rFonts w:hint="eastAsia" w:ascii="宋体" w:hAnsi="宋体" w:eastAsia="宋体" w:cs="宋体"/>
          <w:sz w:val="21"/>
          <w:szCs w:val="21"/>
        </w:rPr>
        <w:t>、</w:t>
      </w:r>
      <w:r>
        <w:rPr>
          <w:rFonts w:hint="default" w:ascii="Times New Roman" w:hAnsi="Times New Roman" w:eastAsia="宋体" w:cs="Times New Roman"/>
          <w:sz w:val="21"/>
          <w:szCs w:val="21"/>
        </w:rPr>
        <w:t>FOB</w:t>
      </w:r>
      <w:r>
        <w:rPr>
          <w:rFonts w:hint="eastAsia" w:ascii="宋体" w:hAnsi="宋体" w:eastAsia="宋体" w:cs="宋体"/>
          <w:sz w:val="21"/>
          <w:szCs w:val="21"/>
        </w:rPr>
        <w:t>两种模式，出口报关后凭报关单、装箱单、运输发票等原始凭证确认收入。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同类业务采用不同经营模式涉及不同收入确认方式及计量方法的情况</w:t>
      </w:r>
    </w:p>
    <w:p>
      <w:pPr>
        <w:keepNext/>
        <w:keepLines/>
        <w:spacing w:before="300" w:after="300" w:line="280" w:lineRule="exact"/>
        <w:jc w:val="left"/>
        <w:outlineLvl w:val="2"/>
        <w:rPr>
          <w:rFonts w:ascii="宋体" w:hAnsi="宋体" w:eastAsia="宋体" w:cs="宋体"/>
          <w:b/>
          <w:bCs/>
          <w:sz w:val="21"/>
          <w:szCs w:val="21"/>
        </w:rPr>
      </w:pPr>
      <w:bookmarkStart w:id="138" w:name="_Toc989027"/>
      <w:r>
        <w:rPr>
          <w:rFonts w:ascii="宋体" w:hAnsi="宋体" w:eastAsia="宋体" w:cs="宋体"/>
          <w:b/>
          <w:bCs/>
          <w:sz w:val="21"/>
          <w:szCs w:val="21"/>
        </w:rPr>
        <w:t>26、合同成本</w:t>
      </w:r>
      <w:bookmarkEnd w:id="138"/>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合同成本包括合同履约成本与合同取得成本。</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本公司为履行合同而发生的成本，不属于存货、固定资产或无形资产等相关准则规范范围的，在满足下列条件时作为合同履约成本确认为一项资产：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xml:space="preserve">• </w:t>
      </w: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该成本与一份当前或预期取得的合同直接相关。</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xml:space="preserve">• </w:t>
      </w: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该成本增加了本公司未来用于履行履约义务的资源。</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xml:space="preserve">• </w:t>
      </w: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该成本预期能够收回。</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本公司为取得合同发生的增量成本预期能够收回的，作为合同取得成本确认为一项资产。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与合同成本有关的资产采用与该资产相关的商品或服务收入确认相同的基础进行摊销；但是对于合同取得成本摊销期限未超过一年的，本公司在发生时将其计入当期损益。</w:t>
      </w:r>
      <w:r>
        <w:rPr>
          <w:rFonts w:ascii="Arial" w:hAnsi="Arial" w:eastAsia="宋体" w:cs="Arial"/>
          <w:color w:val="0000FF"/>
          <w:sz w:val="16"/>
          <w:szCs w:val="16"/>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与合同成本有关的资产，其账面价值高于下列两项的差额的，本公司对超出部分计提减值准备，并确认为资产减值损失：</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、因转让与该资产相关的商品或服务预期能够取得的剩余对价；</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、为转让该相关商品或服务估计将要发生的成本。</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p>
    <w:p>
      <w:pPr>
        <w:keepNext/>
        <w:keepLines/>
        <w:spacing w:before="300" w:after="300" w:line="280" w:lineRule="exact"/>
        <w:jc w:val="left"/>
        <w:outlineLvl w:val="2"/>
        <w:rPr>
          <w:rFonts w:ascii="宋体" w:hAnsi="宋体" w:eastAsia="宋体" w:cs="宋体"/>
          <w:b/>
          <w:bCs/>
          <w:sz w:val="21"/>
          <w:szCs w:val="21"/>
        </w:rPr>
      </w:pPr>
      <w:bookmarkStart w:id="139" w:name="_Toc989028"/>
      <w:r>
        <w:rPr>
          <w:rFonts w:ascii="宋体" w:hAnsi="宋体" w:eastAsia="宋体" w:cs="宋体"/>
          <w:b/>
          <w:bCs/>
          <w:sz w:val="21"/>
          <w:szCs w:val="21"/>
        </w:rPr>
        <w:t>27、政府补助</w:t>
      </w:r>
      <w:bookmarkEnd w:id="139"/>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类型</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政府补助，是本公司从政府无偿取得的货币性资产或非货币性资产，分为与资产相关的政府补助和与收益相关的政府补助。</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与资产相关的政府补助，是指本公司取得的、用于购建或以其他方式形成长期资产的政府补助。与收益相关的政府补助，是指除与资产相关的政府补助之外的政府补助。</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确认时点</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政府补助在本公司能够满足其所附的条件并且能够收到时，予以确认。</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会计处理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本公司取得的政策性优惠贷款贴息，区分以下两种情况，分别进行会计处理：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）财政将贴息资金拨付给贷款银行，由贷款银行以政策性优惠利率向本公司提供贷款的，本公司以实际收到的借款金额作为借款的入账价值，按照借款本金和该政策性优惠利率计算相关借款费用。</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w:t>
      </w:r>
      <w:r>
        <w:rPr>
          <w:rFonts w:ascii="Calibri" w:hAnsi="Calibri" w:eastAsia="宋体" w:cs="Calibri"/>
          <w:sz w:val="21"/>
          <w:szCs w:val="21"/>
        </w:rPr>
        <w:t>2</w:t>
      </w:r>
      <w:r>
        <w:rPr>
          <w:rFonts w:hint="eastAsia" w:ascii="宋体" w:hAnsi="宋体" w:eastAsia="宋体" w:cs="宋体"/>
          <w:sz w:val="21"/>
          <w:szCs w:val="21"/>
        </w:rPr>
        <w:t>）财政将贴息资金直接拨付给本公司的，本公司将对应的贴息冲减相关借款费用。</w:t>
      </w:r>
    </w:p>
    <w:p>
      <w:pPr>
        <w:keepNext/>
        <w:keepLines/>
        <w:spacing w:before="300" w:after="300" w:line="280" w:lineRule="exact"/>
        <w:jc w:val="left"/>
        <w:outlineLvl w:val="2"/>
        <w:rPr>
          <w:rFonts w:ascii="宋体" w:hAnsi="宋体" w:eastAsia="宋体" w:cs="宋体"/>
          <w:b/>
          <w:bCs/>
          <w:sz w:val="21"/>
          <w:szCs w:val="21"/>
        </w:rPr>
      </w:pPr>
      <w:bookmarkStart w:id="140" w:name="_Toc989029"/>
      <w:r>
        <w:rPr>
          <w:rFonts w:ascii="宋体" w:hAnsi="宋体" w:eastAsia="宋体" w:cs="宋体"/>
          <w:b/>
          <w:bCs/>
          <w:sz w:val="21"/>
          <w:szCs w:val="21"/>
        </w:rPr>
        <w:t>28、递延所得税资产/递延所得税负债</w:t>
      </w:r>
      <w:bookmarkEnd w:id="140"/>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所得税包括当期所得税和递延所得税。除因企业合并和直接计入所有者权益</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包括其他综合收益</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的交易或者事项产生的所得税外，本公司将当期所得税和递延所得税计入当期损益。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递延所得税资产和递延所得税负债根据资产和负债的计税基础与其账面价值的差额</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暂时性差异</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计算确认。</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对于应纳税暂时性差异，除特殊情况外，确认递延所得税负债。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不确认递延所得税资产或递延所得税负债的特殊情况包括：</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 商誉的初始确认；</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 既不是企业合并、发生时也不影响会计利润和应纳税所得额</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或可抵扣亏损</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，且初始确认的资产和负债未导致产生等额应纳税暂时性差异和可抵扣暂时性差异的交易或事项。</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资产负债表日，对于递延所得税资产和递延所得税负债，根据税法规定，按照预期收回相关资产或清偿相关负债期间的适用税率计量。</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当拥有以净额结算的法定权利，且意图以净额结算或取得资产、清偿负债同时进行时，当期所得税资产及当期所得税负债以抵销后的净额列报。</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资产负债表日，递延所得税资产及递延所得税负债在同时满足以下条件时以抵销后的净额列示：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 纳税主体拥有以净额结算当期所得税资产及当期所得税负债的法定权利；</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 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p>
      <w:pPr>
        <w:keepNext/>
        <w:keepLines/>
        <w:spacing w:before="300" w:after="300" w:line="280" w:lineRule="exact"/>
        <w:jc w:val="left"/>
        <w:outlineLvl w:val="2"/>
        <w:rPr>
          <w:rFonts w:ascii="宋体" w:hAnsi="宋体" w:eastAsia="宋体" w:cs="宋体"/>
          <w:b/>
          <w:bCs/>
          <w:sz w:val="21"/>
          <w:szCs w:val="21"/>
        </w:rPr>
      </w:pPr>
      <w:bookmarkStart w:id="141" w:name="_Toc989030"/>
      <w:r>
        <w:rPr>
          <w:rFonts w:ascii="宋体" w:hAnsi="宋体" w:eastAsia="宋体" w:cs="宋体"/>
          <w:b/>
          <w:bCs/>
          <w:sz w:val="21"/>
          <w:szCs w:val="21"/>
        </w:rPr>
        <w:t>29、租赁</w:t>
      </w:r>
      <w:bookmarkEnd w:id="141"/>
    </w:p>
    <w:p>
      <w:pPr>
        <w:keepNext/>
        <w:keepLines/>
        <w:spacing w:before="300" w:after="300" w:line="280" w:lineRule="exact"/>
        <w:jc w:val="left"/>
        <w:outlineLvl w:val="3"/>
        <w:rPr>
          <w:rFonts w:ascii="宋体" w:hAnsi="宋体" w:eastAsia="宋体" w:cs="宋体"/>
          <w:b/>
          <w:bCs/>
          <w:sz w:val="21"/>
          <w:szCs w:val="21"/>
        </w:rPr>
      </w:pPr>
      <w:bookmarkStart w:id="142" w:name="_Toc989031"/>
      <w:r>
        <w:rPr>
          <w:rFonts w:ascii="宋体" w:hAnsi="宋体" w:eastAsia="宋体" w:cs="宋体"/>
          <w:b/>
          <w:bCs/>
          <w:sz w:val="21"/>
          <w:szCs w:val="21"/>
        </w:rPr>
        <w:t>（1） 作为承租方租赁的会计处理方法</w:t>
      </w:r>
      <w:bookmarkEnd w:id="142"/>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租赁，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合同中同时包含多项单独租赁的，本公司将合同予以分拆，并分别各项单独租赁进行会计处理。合同中同时包含租赁和非租赁部分的，承租人和出租人将租赁和非租赁部分进行分拆。</w:t>
      </w:r>
      <w:r>
        <w:rPr>
          <w:rFonts w:hint="default" w:ascii="Times New Roman" w:hAnsi="Times New Roman" w:eastAsia="宋体" w:cs="Times New Roman"/>
          <w:color w:val="000000"/>
          <w:sz w:val="21"/>
          <w:szCs w:val="21"/>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本公司作为承租人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 1 \* GB3 \* MERGEFORMAT </w:instrText>
      </w:r>
      <w:r>
        <w:rPr>
          <w:rFonts w:hint="eastAsia" w:ascii="宋体" w:hAnsi="宋体" w:eastAsia="宋体" w:cs="宋体"/>
          <w:color w:val="000000"/>
          <w:sz w:val="21"/>
          <w:szCs w:val="21"/>
        </w:rPr>
        <w:fldChar w:fldCharType="separate"/>
      </w:r>
      <w:r>
        <w:t>①</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使用权资产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在租赁期开始日，本公司对除短期租赁和低价值资产租赁以外的租赁确认使用权资产。使用权资产按照成本进行初始计量。该成本包括：</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租赁负债的初始计量金额；</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在租赁期开始日或之前支付的租赁付款额，存在租赁激励的，扣除已享受的租赁激励相关金额；</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本公司发生的初始直接费用；</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本公司为拆卸及移除租赁资产、复原租赁资产所在场地或将租赁资产恢复至租赁条款约定状态预计将发生的成本，但不包括属于为生产存货而发生的成本。</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后续采用直线法对使用权资产计提折旧。对能够合理确定租赁期届满时取得租赁资产所有权的，本公司在租赁资产剩余使用寿命内计提折旧；否则，租赁资产在租赁期与租赁资产剩余使用寿命两者孰短的期间内计提折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本公司按照本附注“五、20长期资产减值”所述原则来确定使用权资产是否已发生减值，并对已识别的减值损失进行会计处理。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b w:val="0"/>
          <w:bCs w:val="0"/>
          <w:color w:val="000000"/>
          <w:sz w:val="21"/>
          <w:szCs w:val="21"/>
        </w:rPr>
        <w:fldChar w:fldCharType="begin"/>
      </w:r>
      <w:r>
        <w:rPr>
          <w:rFonts w:hint="eastAsia" w:ascii="宋体" w:hAnsi="宋体" w:eastAsia="宋体" w:cs="宋体"/>
          <w:b w:val="0"/>
          <w:bCs w:val="0"/>
          <w:color w:val="000000"/>
          <w:sz w:val="21"/>
          <w:szCs w:val="21"/>
        </w:rPr>
        <w:instrText xml:space="preserve"> = 2 \* GB3 \* MERGEFORMAT </w:instrText>
      </w:r>
      <w:r>
        <w:rPr>
          <w:rFonts w:hint="eastAsia" w:ascii="宋体" w:hAnsi="宋体" w:eastAsia="宋体" w:cs="宋体"/>
          <w:b w:val="0"/>
          <w:bCs w:val="0"/>
          <w:color w:val="000000"/>
          <w:sz w:val="21"/>
          <w:szCs w:val="21"/>
        </w:rPr>
        <w:fldChar w:fldCharType="separate"/>
      </w:r>
      <w:r>
        <w:t>②</w:t>
      </w:r>
      <w:r>
        <w:rPr>
          <w:rFonts w:hint="eastAsia" w:ascii="宋体" w:hAnsi="宋体" w:eastAsia="宋体" w:cs="宋体"/>
          <w:b w:val="0"/>
          <w:bCs w:val="0"/>
          <w:color w:val="000000"/>
          <w:sz w:val="21"/>
          <w:szCs w:val="21"/>
        </w:rPr>
        <w:fldChar w:fldCharType="end"/>
      </w:r>
      <w:r>
        <w:rPr>
          <w:rFonts w:hint="eastAsia" w:ascii="宋体" w:hAnsi="宋体" w:eastAsia="宋体" w:cs="宋体"/>
          <w:b w:val="0"/>
          <w:bCs w:val="0"/>
          <w:color w:val="000000"/>
          <w:sz w:val="21"/>
          <w:szCs w:val="21"/>
        </w:rPr>
        <w:t>租赁负债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在租赁期开始日，本公司对除短期租赁和低价值资产租赁以外的租赁确认租赁负债。租赁负债按照尚未支付的租赁付款额的现值进行初始计量。租赁付款额包括：</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固定付款额（包括实质固定付款额），存在租赁激励的，扣除租赁激励相关金额；</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取决于指数或比率的可变租赁付款额；</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根据公司提供的担保余值预计应支付的款项；</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购买选择权的行权价格，前提是公司合理确定将行使该选择权；</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行使终止租赁选择权需支付的款项，前提是租赁期反映出公司将行使终止租赁选择权。</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本公司采用租赁内含利率作为折现率，但如果无法合理确定租赁内含利率的，则采用本公司的增量借款利率作为折现率。</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本公司按照固定的周期性利率计算租赁负债在租赁期内各期间的利息费用，并计入当期损益或相关资产成本。</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未纳入租赁负债计量的可变租赁付款额在实际发生时计入当期损益或相关资产成本。</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在租赁期开始日后，发生下列情形的，本公司重新计量租赁负债，并调整相应的使用权资产，若使用权资产的账面价值已调减至零，但租赁负债仍需进一步调减的，将差额计入当期损益：</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当购买选择权、续租选择权或终止选择权的评估结果发生变化，或前述选择权的实际行权情况与原评估结果不一致的，本公司按变动后租赁付款额和修订后的折现率计算的现值重新计量租赁负债；</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 3 \* GB3 \* MERGEFORMAT </w:instrText>
      </w:r>
      <w:r>
        <w:rPr>
          <w:rFonts w:hint="eastAsia" w:ascii="宋体" w:hAnsi="宋体" w:eastAsia="宋体" w:cs="宋体"/>
          <w:color w:val="000000"/>
          <w:sz w:val="21"/>
          <w:szCs w:val="21"/>
        </w:rPr>
        <w:fldChar w:fldCharType="separate"/>
      </w:r>
      <w:r>
        <w:t>③</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短期租赁和低价值资产租赁</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本公司选择对短期租赁和低价值资产租赁不确认使用权资产和租赁负债的，将相关的租赁付款额在租赁期内各个期间按照直线法计入当期损益或相关资产成本。短期租赁，是指在租赁期开始日，租赁期不超过</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个月且不包含购买选择权的租赁。低价值资产租赁，是指单项租赁资产为全新资产时价值较低的租赁。公司转租或预期转租租赁资产的，原租赁不属于低价值资产租赁。</w:t>
      </w:r>
      <w:r>
        <w:rPr>
          <w:rFonts w:hint="default" w:ascii="Times New Roman" w:hAnsi="Times New Roman" w:eastAsia="宋体" w:cs="Times New Roman"/>
          <w:color w:val="000000"/>
          <w:sz w:val="21"/>
          <w:szCs w:val="21"/>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 4 \* GB3 \* MERGEFORMAT </w:instrText>
      </w:r>
      <w:r>
        <w:rPr>
          <w:rFonts w:hint="eastAsia" w:ascii="宋体" w:hAnsi="宋体" w:eastAsia="宋体" w:cs="宋体"/>
          <w:color w:val="000000"/>
          <w:sz w:val="21"/>
          <w:szCs w:val="21"/>
        </w:rPr>
        <w:fldChar w:fldCharType="separate"/>
      </w:r>
      <w:r>
        <w:t>④</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租赁变更</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租赁发生变更且同时符合下列条件的，公司将该租赁变更作为一项单独租赁进行会计处理：</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该租赁变更通过增加一项或多项租赁资产的使用权而扩大了租赁范围；</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增加的对价与租赁范围扩大部分的单独价格按该合同情况调整后的金额相当。</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租赁变更未作为一项单独租赁进行会计处理的，在租赁变更生效日，公司重新分摊变更后合同的对价，重新确定租赁期，并按照变更后租赁付款额和修订后的折现率计算的现值重新计量租赁负债。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keepNext/>
        <w:keepLines/>
        <w:spacing w:before="300" w:after="300" w:line="280" w:lineRule="exact"/>
        <w:jc w:val="left"/>
        <w:outlineLvl w:val="3"/>
        <w:rPr>
          <w:rFonts w:ascii="宋体" w:hAnsi="宋体" w:eastAsia="宋体" w:cs="宋体"/>
          <w:b/>
          <w:bCs/>
          <w:sz w:val="21"/>
          <w:szCs w:val="21"/>
        </w:rPr>
      </w:pPr>
      <w:bookmarkStart w:id="143" w:name="_Toc989032"/>
      <w:r>
        <w:rPr>
          <w:rFonts w:ascii="宋体" w:hAnsi="宋体" w:eastAsia="宋体" w:cs="宋体"/>
          <w:b/>
          <w:bCs/>
          <w:sz w:val="21"/>
          <w:szCs w:val="21"/>
        </w:rPr>
        <w:t>（2） 作为出租方租赁的会计处理方法</w:t>
      </w:r>
      <w:bookmarkEnd w:id="143"/>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本公司作为出租人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 1 \* GB3 \* MERGEFORMAT </w:instrText>
      </w:r>
      <w:r>
        <w:rPr>
          <w:rFonts w:hint="eastAsia" w:ascii="宋体" w:hAnsi="宋体" w:eastAsia="宋体" w:cs="宋体"/>
          <w:color w:val="000000"/>
          <w:sz w:val="21"/>
          <w:szCs w:val="21"/>
        </w:rPr>
        <w:fldChar w:fldCharType="separate"/>
      </w:r>
      <w:r>
        <w:t>①</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经营租赁会计处理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经营租赁的租赁收款额在租赁期内各个期间按照直线法确认为租金收入。本公司将发生的与经营租赁有关的初始直接费用予以资本化，在租赁期内按照与租金收入确认相同的基础分摊计入当期损益。未计入租赁收款额的可变租赁付款额在实际发生时计入当期损益。经营租赁发生变更的，公司自变更生效日起将其作为一项新租赁进行会计处理，与变更前租赁有关的预收或应收租赁收款额视为新租赁的收款额。</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 2 \* GB3 \* MERGEFORMAT </w:instrText>
      </w:r>
      <w:r>
        <w:rPr>
          <w:rFonts w:hint="eastAsia" w:ascii="宋体" w:hAnsi="宋体" w:eastAsia="宋体" w:cs="宋体"/>
          <w:color w:val="000000"/>
          <w:sz w:val="21"/>
          <w:szCs w:val="21"/>
        </w:rPr>
        <w:fldChar w:fldCharType="separate"/>
      </w:r>
      <w:r>
        <w:t>②</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融资租赁会计处理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租赁收款额按照租赁内含利率折现的现值之和。</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本公司按照固定的周期性利率计算并确认租赁期内各个期间的利息收入。应收融资租赁款的终止确认和减值按照本附注“五、11 金融工具”进行会计处理。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未纳入租赁投资净额计量的可变租赁付款额在实际发生时计入当期损益。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融资租赁发生变更且同时符合下列条件的，本公司将该变更作为一项单独租赁进行会计处理：</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该变更通过增加一项或多项租赁资产的使用权而扩大了租赁范围；</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增加的对价与租赁范围扩大部分的单独价格按该合同情况调整后的金额相当。</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融资租赁的变更未作为一项单独租赁进行会计处理的，本公司分别下列情形对变更后的租赁进行处理：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假如变更在租赁开始日生效，该租赁会被分类为经营租赁的，本公司自租赁变更生效日开始将其作为一项新租赁进行会计处理，并以租赁变更生效日前的租赁投资净额作为租赁资产的账面价值；</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假如变更在租赁开始日生效，该租赁会被分类为融资租赁的，本公司按照本附注“五、11 金融工具”关于修改或重新议定合同的政策进行会计处理。</w:t>
      </w:r>
    </w:p>
    <w:p>
      <w:pPr>
        <w:keepNext/>
        <w:keepLines/>
        <w:spacing w:before="300" w:after="300" w:line="280" w:lineRule="exact"/>
        <w:jc w:val="left"/>
        <w:outlineLvl w:val="2"/>
        <w:rPr>
          <w:rFonts w:ascii="宋体" w:hAnsi="宋体" w:eastAsia="宋体" w:cs="宋体"/>
          <w:b/>
          <w:bCs/>
          <w:sz w:val="21"/>
          <w:szCs w:val="21"/>
        </w:rPr>
      </w:pPr>
      <w:bookmarkStart w:id="144" w:name="_Toc989033"/>
      <w:r>
        <w:rPr>
          <w:rFonts w:ascii="宋体" w:hAnsi="宋体" w:eastAsia="宋体" w:cs="宋体"/>
          <w:b/>
          <w:bCs/>
          <w:sz w:val="21"/>
          <w:szCs w:val="21"/>
        </w:rPr>
        <w:t>30、分部报告</w:t>
      </w:r>
      <w:bookmarkEnd w:id="144"/>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本公司以内部组织结构、管理要求、内部报告制度为依据确定经营分部，以经营分部为基础确定报告分部并披露分部信息。</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经营分部是指本公司内同时满足下列条件的组成部分：</w:t>
      </w:r>
      <w:r>
        <w:rPr>
          <w:rFonts w:hint="default" w:ascii="Times New Roman" w:hAnsi="Times New Roman" w:eastAsia="仿宋" w:cs="Times New Roman"/>
          <w:color w:val="000000"/>
          <w:sz w:val="21"/>
          <w:szCs w:val="21"/>
        </w:rPr>
        <w:t xml:space="preserve">(1) </w:t>
      </w:r>
      <w:r>
        <w:rPr>
          <w:rFonts w:hint="eastAsia" w:ascii="宋体" w:hAnsi="宋体" w:eastAsia="宋体" w:cs="宋体"/>
          <w:color w:val="000000"/>
          <w:sz w:val="21"/>
          <w:szCs w:val="21"/>
        </w:rPr>
        <w:t>该组成部分能够在日常活动中产生收入、发生费用；</w:t>
      </w:r>
      <w:r>
        <w:rPr>
          <w:rFonts w:hint="default" w:ascii="Times New Roman" w:hAnsi="Times New Roman" w:eastAsia="仿宋" w:cs="Times New Roman"/>
          <w:color w:val="000000"/>
          <w:sz w:val="21"/>
          <w:szCs w:val="21"/>
        </w:rPr>
        <w:t xml:space="preserve">(2) </w:t>
      </w:r>
      <w:r>
        <w:rPr>
          <w:rFonts w:hint="eastAsia" w:ascii="宋体" w:hAnsi="宋体" w:eastAsia="宋体" w:cs="宋体"/>
          <w:color w:val="000000"/>
          <w:sz w:val="21"/>
          <w:szCs w:val="21"/>
        </w:rPr>
        <w:t>本公司管理层能够定期评价该组成部分的经营成果，以决定向其配置资源、评价其业绩；</w:t>
      </w:r>
      <w:r>
        <w:rPr>
          <w:rFonts w:hint="default" w:ascii="Times New Roman" w:hAnsi="Times New Roman" w:eastAsia="仿宋" w:cs="Times New Roman"/>
          <w:color w:val="000000"/>
          <w:sz w:val="21"/>
          <w:szCs w:val="21"/>
        </w:rPr>
        <w:t xml:space="preserve">(3) </w:t>
      </w:r>
      <w:r>
        <w:rPr>
          <w:rFonts w:hint="eastAsia" w:ascii="宋体" w:hAnsi="宋体" w:eastAsia="宋体" w:cs="宋体"/>
          <w:color w:val="000000"/>
          <w:sz w:val="21"/>
          <w:szCs w:val="21"/>
        </w:rPr>
        <w:t>本公司能够取得该组成部分的财务状况、经营成果和现金流量等有关会计信息。两个或多个经营分部具有相似的经济特征，并且满足一定条件的，则可合并为一个经营分部。</w:t>
      </w:r>
    </w:p>
    <w:p>
      <w:pPr>
        <w:keepNext/>
        <w:keepLines/>
        <w:spacing w:before="300" w:after="300" w:line="280" w:lineRule="exact"/>
        <w:jc w:val="left"/>
        <w:outlineLvl w:val="2"/>
        <w:rPr>
          <w:rFonts w:ascii="宋体" w:hAnsi="宋体" w:eastAsia="宋体" w:cs="宋体"/>
          <w:b/>
          <w:bCs/>
          <w:sz w:val="21"/>
          <w:szCs w:val="21"/>
        </w:rPr>
      </w:pPr>
      <w:bookmarkStart w:id="145" w:name="_Toc989034"/>
      <w:r>
        <w:rPr>
          <w:rFonts w:ascii="宋体" w:hAnsi="宋体" w:eastAsia="宋体" w:cs="宋体"/>
          <w:b/>
          <w:bCs/>
          <w:sz w:val="21"/>
          <w:szCs w:val="21"/>
        </w:rPr>
        <w:t>31、其他重要的会计政策和会计估计</w:t>
      </w:r>
      <w:bookmarkEnd w:id="145"/>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本公司本报告期无需披露的其他重要会计政策和会计估计。</w:t>
      </w:r>
    </w:p>
    <w:p>
      <w:pPr>
        <w:keepNext/>
        <w:keepLines/>
        <w:spacing w:before="300" w:after="300" w:line="280" w:lineRule="exact"/>
        <w:jc w:val="left"/>
        <w:outlineLvl w:val="2"/>
        <w:rPr>
          <w:rFonts w:ascii="宋体" w:hAnsi="宋体" w:eastAsia="宋体" w:cs="宋体"/>
          <w:b/>
          <w:bCs/>
          <w:sz w:val="21"/>
          <w:szCs w:val="21"/>
        </w:rPr>
      </w:pPr>
      <w:bookmarkStart w:id="146" w:name="_Toc989035"/>
      <w:r>
        <w:rPr>
          <w:rFonts w:ascii="宋体" w:hAnsi="宋体" w:eastAsia="宋体" w:cs="宋体"/>
          <w:b/>
          <w:bCs/>
          <w:sz w:val="21"/>
          <w:szCs w:val="21"/>
        </w:rPr>
        <w:t>32、重要性标准确定方法与选择依据</w:t>
      </w:r>
      <w:bookmarkEnd w:id="146"/>
    </w:p>
    <w:tbl>
      <w:tblPr>
        <w:tblStyle w:val="3"/>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125"/>
        <w:gridCol w:w="49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项目</w:t>
            </w:r>
          </w:p>
        </w:tc>
        <w:tc>
          <w:tcPr>
            <w:tcW w:w="2714"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重要性标准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重要的单项计提坏账准备的应收账款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w:t>
            </w:r>
            <w:r>
              <w:rPr>
                <w:rFonts w:hint="default" w:ascii="Times New Roman" w:hAnsi="Times New Roman" w:cs="Times New Roman"/>
                <w:color w:val="000000"/>
                <w:sz w:val="18"/>
                <w:szCs w:val="18"/>
              </w:rPr>
              <w:t>500</w:t>
            </w:r>
            <w:r>
              <w:rPr>
                <w:rFonts w:hint="eastAsia" w:ascii="宋体" w:hAnsi="宋体" w:eastAsia="宋体" w:cs="宋体"/>
                <w:color w:val="000000"/>
                <w:sz w:val="18"/>
                <w:szCs w:val="18"/>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重要的单项计提坏账准备的其他应收款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w:t>
            </w:r>
            <w:r>
              <w:rPr>
                <w:rFonts w:hint="default" w:ascii="Times New Roman" w:hAnsi="Times New Roman" w:cs="Times New Roman"/>
                <w:color w:val="000000"/>
                <w:sz w:val="18"/>
                <w:szCs w:val="18"/>
              </w:rPr>
              <w:t>80</w:t>
            </w:r>
            <w:r>
              <w:rPr>
                <w:rFonts w:hint="eastAsia" w:ascii="宋体" w:hAnsi="宋体" w:eastAsia="宋体" w:cs="宋体"/>
                <w:color w:val="000000"/>
                <w:sz w:val="18"/>
                <w:szCs w:val="18"/>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重要的应收账款坏账准备转回或核销</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w:t>
            </w:r>
            <w:r>
              <w:rPr>
                <w:rFonts w:hint="default" w:ascii="Times New Roman" w:hAnsi="Times New Roman" w:cs="Times New Roman"/>
                <w:color w:val="000000"/>
                <w:sz w:val="18"/>
                <w:szCs w:val="18"/>
              </w:rPr>
              <w:t>500</w:t>
            </w:r>
            <w:r>
              <w:rPr>
                <w:rFonts w:hint="eastAsia" w:ascii="宋体" w:hAnsi="宋体" w:eastAsia="宋体" w:cs="宋体"/>
                <w:color w:val="000000"/>
                <w:sz w:val="18"/>
                <w:szCs w:val="18"/>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重要的其他应收款坏账准备转回或核销</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w:t>
            </w:r>
            <w:r>
              <w:rPr>
                <w:rFonts w:hint="default" w:ascii="Times New Roman" w:hAnsi="Times New Roman" w:cs="Times New Roman"/>
                <w:color w:val="000000"/>
                <w:sz w:val="18"/>
                <w:szCs w:val="18"/>
              </w:rPr>
              <w:t>80</w:t>
            </w:r>
            <w:r>
              <w:rPr>
                <w:rFonts w:hint="eastAsia" w:ascii="宋体" w:hAnsi="宋体" w:eastAsia="宋体" w:cs="宋体"/>
                <w:color w:val="000000"/>
                <w:sz w:val="18"/>
                <w:szCs w:val="18"/>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账龄超过</w:t>
            </w: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年的重要预付账款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单项余额大于或等于预付账款余额的</w:t>
            </w:r>
            <w:r>
              <w:rPr>
                <w:rFonts w:hint="default" w:ascii="Times New Roman" w:hAnsi="Times New Roman" w:cs="Times New Roman"/>
                <w:color w:val="000000"/>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账龄超过</w:t>
            </w: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年的重要应付账款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单项余额大于或等于应付账款余额的</w:t>
            </w:r>
            <w:r>
              <w:rPr>
                <w:rFonts w:hint="default" w:ascii="Times New Roman" w:hAnsi="Times New Roman" w:cs="Times New Roman"/>
                <w:color w:val="000000"/>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账龄超过</w:t>
            </w: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年的重要其他应付款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单项余额大于或等于其他应付款余额的</w:t>
            </w:r>
            <w:r>
              <w:rPr>
                <w:rFonts w:hint="default" w:ascii="Times New Roman" w:hAnsi="Times New Roman" w:cs="Times New Roman"/>
                <w:color w:val="000000"/>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账龄超过</w:t>
            </w: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年的重要合同负债</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单项余额大于或等于合同负债余额的</w:t>
            </w:r>
            <w:r>
              <w:rPr>
                <w:rFonts w:hint="default" w:ascii="Times New Roman" w:hAnsi="Times New Roman" w:cs="Times New Roman"/>
                <w:color w:val="000000"/>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重要的在建工程</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期末余额、本期变动金额大于或等于1000万元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收到的重要投资活动有关的现金</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单项投资活动收到的金额大于或等于1000万元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支付的重要投资活动有关的现金</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单项投资活动支付的金额大于或等于1000万元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重要的非全资子公司</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少数股东损益或权益金额大于或等于合并财务报表相应项目</w:t>
            </w:r>
            <w:r>
              <w:rPr>
                <w:rFonts w:ascii="TimesNewRomanPSMT" w:hAnsi="TimesNewRomanPSMT" w:eastAsia="TimesNewRomanPSMT" w:cs="TimesNewRomanPSMT"/>
                <w:color w:val="000000"/>
                <w:sz w:val="18"/>
                <w:szCs w:val="18"/>
              </w:rPr>
              <w:t>10%</w:t>
            </w:r>
            <w:r>
              <w:rPr>
                <w:rFonts w:hint="eastAsia" w:ascii="宋体" w:hAnsi="宋体" w:eastAsia="宋体" w:cs="宋体"/>
                <w:color w:val="000000"/>
                <w:sz w:val="18"/>
                <w:szCs w:val="18"/>
              </w:rPr>
              <w:t>以上的子公司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重要的合营企业或联营企业</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合营企业或联营企业的净利润或净资产对合并财务报表相应项目的影响在</w:t>
            </w:r>
            <w:r>
              <w:rPr>
                <w:rFonts w:hint="default" w:ascii="TimesNewRomanPSMT" w:hAnsi="TimesNewRomanPSMT" w:eastAsia="TimesNewRomanPSMT" w:cs="TimesNewRomanPSMT"/>
                <w:color w:val="000000"/>
                <w:sz w:val="18"/>
                <w:szCs w:val="18"/>
              </w:rPr>
              <w:t>5%</w:t>
            </w:r>
            <w:r>
              <w:rPr>
                <w:rFonts w:hint="eastAsia" w:ascii="宋体" w:hAnsi="宋体" w:eastAsia="宋体" w:cs="宋体"/>
                <w:color w:val="000000"/>
                <w:sz w:val="18"/>
                <w:szCs w:val="18"/>
              </w:rPr>
              <w:t>以上</w:t>
            </w:r>
          </w:p>
        </w:tc>
      </w:tr>
    </w:tbl>
    <w:p>
      <w:pPr>
        <w:keepNext/>
        <w:keepLines/>
        <w:spacing w:before="300" w:after="300" w:line="280" w:lineRule="exact"/>
        <w:jc w:val="left"/>
        <w:outlineLvl w:val="2"/>
        <w:rPr>
          <w:rFonts w:ascii="宋体" w:hAnsi="宋体" w:eastAsia="宋体" w:cs="宋体"/>
          <w:b/>
          <w:bCs/>
          <w:sz w:val="21"/>
          <w:szCs w:val="21"/>
        </w:rPr>
      </w:pPr>
      <w:bookmarkStart w:id="147" w:name="_Toc989036"/>
      <w:r>
        <w:rPr>
          <w:rFonts w:ascii="宋体" w:hAnsi="宋体" w:eastAsia="宋体" w:cs="宋体"/>
          <w:b/>
          <w:bCs/>
          <w:sz w:val="21"/>
          <w:szCs w:val="21"/>
        </w:rPr>
        <w:t>33、重要会计政策和会计估计变更</w:t>
      </w:r>
      <w:bookmarkEnd w:id="147"/>
    </w:p>
    <w:p>
      <w:pPr>
        <w:keepNext/>
        <w:keepLines/>
        <w:spacing w:before="300" w:after="300" w:line="280" w:lineRule="exact"/>
        <w:jc w:val="left"/>
        <w:outlineLvl w:val="3"/>
        <w:rPr>
          <w:rFonts w:ascii="宋体" w:hAnsi="宋体" w:eastAsia="宋体" w:cs="宋体"/>
          <w:b/>
          <w:bCs/>
          <w:sz w:val="18"/>
          <w:szCs w:val="18"/>
        </w:rPr>
      </w:pPr>
      <w:bookmarkStart w:id="148" w:name="_Toc989037"/>
      <w:r>
        <w:rPr>
          <w:rFonts w:ascii="宋体" w:hAnsi="宋体" w:eastAsia="宋体" w:cs="宋体"/>
          <w:b/>
          <w:bCs/>
          <w:sz w:val="18"/>
          <w:szCs w:val="18"/>
        </w:rPr>
        <w:t>（1） 重要会计政策变更</w:t>
      </w:r>
      <w:bookmarkEnd w:id="148"/>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会计政策变更的内容和原因</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受重要影响的报表项目名称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影响金额</w:t>
            </w:r>
          </w:p>
        </w:tc>
      </w:tr>
    </w:tbl>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ascii="Calibri" w:hAnsi="Calibri" w:eastAsia="宋体" w:cs="Calibri"/>
          <w:color w:val="000000"/>
          <w:sz w:val="21"/>
          <w:szCs w:val="21"/>
        </w:rPr>
        <w:t>①</w:t>
      </w:r>
      <w:r>
        <w:rPr>
          <w:rFonts w:hint="eastAsia" w:ascii="宋体" w:hAnsi="宋体" w:eastAsia="宋体" w:cs="宋体"/>
          <w:color w:val="000000"/>
          <w:sz w:val="21"/>
          <w:szCs w:val="21"/>
        </w:rPr>
        <w:t>执行《企业会计准则解释第</w:t>
      </w:r>
      <w:r>
        <w:rPr>
          <w:rFonts w:hint="default" w:ascii="Times New Roman" w:hAnsi="Times New Roman" w:eastAsia="宋体" w:cs="Times New Roman"/>
          <w:color w:val="000000"/>
          <w:sz w:val="21"/>
          <w:szCs w:val="21"/>
        </w:rPr>
        <w:t>16</w:t>
      </w:r>
      <w:r>
        <w:rPr>
          <w:rFonts w:hint="eastAsia" w:ascii="宋体" w:hAnsi="宋体" w:eastAsia="宋体" w:cs="宋体"/>
          <w:color w:val="000000"/>
          <w:sz w:val="21"/>
          <w:szCs w:val="21"/>
        </w:rPr>
        <w:t>号》“关于单项交易产生的资产和负债相关的递延所得税不适用初始确认豁免的会计处理”的规定。</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财政部于</w:t>
      </w:r>
      <w:r>
        <w:rPr>
          <w:rFonts w:hint="default" w:ascii="Times New Roman" w:hAnsi="Times New Roman" w:eastAsia="宋体" w:cs="Times New Roman"/>
          <w:color w:val="000000"/>
          <w:sz w:val="21"/>
          <w:szCs w:val="21"/>
        </w:rPr>
        <w:t>2022</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11</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30</w:t>
      </w:r>
      <w:r>
        <w:rPr>
          <w:rFonts w:hint="eastAsia" w:ascii="宋体" w:hAnsi="宋体" w:eastAsia="宋体" w:cs="宋体"/>
          <w:color w:val="000000"/>
          <w:sz w:val="21"/>
          <w:szCs w:val="21"/>
        </w:rPr>
        <w:t>日公布了《企业会计准则解释第</w:t>
      </w:r>
      <w:r>
        <w:rPr>
          <w:rFonts w:hint="default" w:ascii="Times New Roman" w:hAnsi="Times New Roman" w:eastAsia="宋体" w:cs="Times New Roman"/>
          <w:color w:val="000000"/>
          <w:sz w:val="21"/>
          <w:szCs w:val="21"/>
        </w:rPr>
        <w:t>16</w:t>
      </w:r>
      <w:r>
        <w:rPr>
          <w:rFonts w:hint="eastAsia" w:ascii="宋体" w:hAnsi="宋体" w:eastAsia="宋体" w:cs="宋体"/>
          <w:color w:val="000000"/>
          <w:sz w:val="21"/>
          <w:szCs w:val="21"/>
        </w:rPr>
        <w:t>号》（财会〔</w:t>
      </w:r>
      <w:r>
        <w:rPr>
          <w:rFonts w:hint="default" w:ascii="Times New Roman" w:hAnsi="Times New Roman" w:eastAsia="宋体" w:cs="Times New Roman"/>
          <w:color w:val="000000"/>
          <w:sz w:val="21"/>
          <w:szCs w:val="21"/>
        </w:rPr>
        <w:t>2022</w:t>
      </w: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31</w:t>
      </w:r>
      <w:r>
        <w:rPr>
          <w:rFonts w:hint="eastAsia" w:ascii="宋体" w:hAnsi="宋体" w:eastAsia="宋体" w:cs="宋体"/>
          <w:color w:val="000000"/>
          <w:sz w:val="21"/>
          <w:szCs w:val="21"/>
        </w:rPr>
        <w:t>号，以下简称“解释第</w:t>
      </w:r>
      <w:r>
        <w:rPr>
          <w:rFonts w:hint="default" w:ascii="Times New Roman" w:hAnsi="Times New Roman" w:eastAsia="宋体" w:cs="Times New Roman"/>
          <w:color w:val="000000"/>
          <w:sz w:val="21"/>
          <w:szCs w:val="21"/>
        </w:rPr>
        <w:t>16</w:t>
      </w:r>
      <w:r>
        <w:rPr>
          <w:rFonts w:hint="eastAsia" w:ascii="宋体" w:hAnsi="宋体" w:eastAsia="宋体" w:cs="宋体"/>
          <w:color w:val="000000"/>
          <w:sz w:val="21"/>
          <w:szCs w:val="21"/>
        </w:rPr>
        <w:t>号”），其中“关于单项交易产生的资产和负债相关的递延所得税不适用初始确认豁免的会计处理”的规定自</w:t>
      </w:r>
      <w:r>
        <w:rPr>
          <w:rFonts w:hint="default" w:ascii="Times New Roman" w:hAnsi="Times New Roman" w:eastAsia="宋体" w:cs="Times New Roman"/>
          <w:color w:val="000000"/>
          <w:sz w:val="21"/>
          <w:szCs w:val="21"/>
        </w:rPr>
        <w:t>2023</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日起施行。</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解释第</w:t>
      </w:r>
      <w:r>
        <w:rPr>
          <w:rFonts w:hint="default" w:ascii="Times New Roman" w:hAnsi="Times New Roman" w:eastAsia="宋体" w:cs="Times New Roman"/>
          <w:color w:val="000000"/>
          <w:sz w:val="21"/>
          <w:szCs w:val="21"/>
        </w:rPr>
        <w:t>16</w:t>
      </w:r>
      <w:r>
        <w:rPr>
          <w:rFonts w:hint="eastAsia" w:ascii="宋体" w:hAnsi="宋体" w:eastAsia="宋体" w:cs="宋体"/>
          <w:color w:val="000000"/>
          <w:sz w:val="21"/>
          <w:szCs w:val="21"/>
        </w:rPr>
        <w:t>号规定，对于不是企业合并、交易发生时既不影响会计利润也不影响应纳税所得额（或可抵扣亏损）、且初始确认的资产和负债导致产生等额应纳税暂时性差异和可抵扣暂时性差异的单项交易（包括承租人在租赁期开始日初始确认租赁负债并计入使用权资产的租赁交易，以及因固定资产等存在弃置义务而确认预计负债并计入相关资产成本的交易等单项交易），不适用豁免初始确认递延所得税负债和递延所得税资产的规定，企业在交易发生时应当根据《企业会计准则第</w:t>
      </w:r>
      <w:r>
        <w:rPr>
          <w:rFonts w:hint="default" w:ascii="Times New Roman" w:hAnsi="Times New Roman" w:eastAsia="宋体" w:cs="Times New Roman"/>
          <w:color w:val="000000"/>
          <w:sz w:val="21"/>
          <w:szCs w:val="21"/>
        </w:rPr>
        <w:t>18</w:t>
      </w:r>
      <w:r>
        <w:rPr>
          <w:rFonts w:hint="eastAsia" w:ascii="宋体" w:hAnsi="宋体" w:eastAsia="宋体" w:cs="宋体"/>
          <w:color w:val="000000"/>
          <w:sz w:val="21"/>
          <w:szCs w:val="21"/>
        </w:rPr>
        <w:t>号——所得税》等有关规定，分别确认相应的递延所得税负债和递延所得税资产。</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在首次施行该规定的财务报表列报最早期间的期初至施行日之间发生的适用该规定的单项交易，以及财务报表列报最早期间的期初因适用该规定的单项交易而确认的租赁负债和使用权资产，以及确认的弃置义务相关预计负债和对应的相关资产，产生应纳税暂时性差异和可抵扣暂时性差异的，企业应当按照该规定进行调整。</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本公司执行该规定对公司合并及公司财务报表列报无影响。</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Calibri" w:hAnsi="Calibri" w:eastAsia="宋体" w:cs="Calibri"/>
          <w:color w:val="000000"/>
          <w:sz w:val="21"/>
          <w:szCs w:val="21"/>
        </w:rPr>
        <w:t>②</w:t>
      </w:r>
      <w:r>
        <w:rPr>
          <w:rFonts w:hint="eastAsia" w:ascii="宋体" w:hAnsi="宋体" w:eastAsia="宋体" w:cs="宋体"/>
          <w:color w:val="000000"/>
          <w:sz w:val="21"/>
          <w:szCs w:val="21"/>
        </w:rPr>
        <w:t>执行《企业会计准则解释第</w:t>
      </w:r>
      <w:r>
        <w:rPr>
          <w:rFonts w:hint="default" w:ascii="Times New Roman" w:hAnsi="Times New Roman" w:eastAsia="宋体" w:cs="Times New Roman"/>
          <w:color w:val="000000"/>
          <w:sz w:val="21"/>
          <w:szCs w:val="21"/>
        </w:rPr>
        <w:t>17</w:t>
      </w:r>
      <w:r>
        <w:rPr>
          <w:rFonts w:hint="eastAsia" w:ascii="宋体" w:hAnsi="宋体" w:eastAsia="宋体" w:cs="宋体"/>
          <w:color w:val="000000"/>
          <w:sz w:val="21"/>
          <w:szCs w:val="21"/>
        </w:rPr>
        <w:t>号》“关于售后租回交易的会计处理”的规定。</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财政部于</w:t>
      </w:r>
      <w:r>
        <w:rPr>
          <w:rFonts w:hint="default" w:ascii="Times New Roman" w:hAnsi="Times New Roman" w:eastAsia="宋体" w:cs="Times New Roman"/>
          <w:color w:val="000000"/>
          <w:sz w:val="21"/>
          <w:szCs w:val="21"/>
        </w:rPr>
        <w:t>2023</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10</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25</w:t>
      </w:r>
      <w:r>
        <w:rPr>
          <w:rFonts w:hint="eastAsia" w:ascii="宋体" w:hAnsi="宋体" w:eastAsia="宋体" w:cs="宋体"/>
          <w:color w:val="000000"/>
          <w:sz w:val="21"/>
          <w:szCs w:val="21"/>
        </w:rPr>
        <w:t>日公布了《企业会计准则解释第</w:t>
      </w:r>
      <w:r>
        <w:rPr>
          <w:rFonts w:hint="default" w:ascii="Times New Roman" w:hAnsi="Times New Roman" w:eastAsia="宋体" w:cs="Times New Roman"/>
          <w:color w:val="000000"/>
          <w:sz w:val="21"/>
          <w:szCs w:val="21"/>
        </w:rPr>
        <w:t>17</w:t>
      </w:r>
      <w:r>
        <w:rPr>
          <w:rFonts w:hint="eastAsia" w:ascii="宋体" w:hAnsi="宋体" w:eastAsia="宋体" w:cs="宋体"/>
          <w:color w:val="000000"/>
          <w:sz w:val="21"/>
          <w:szCs w:val="21"/>
        </w:rPr>
        <w:t>号》（财会〔</w:t>
      </w:r>
      <w:r>
        <w:rPr>
          <w:rFonts w:hint="default" w:ascii="Times New Roman" w:hAnsi="Times New Roman" w:eastAsia="宋体" w:cs="Times New Roman"/>
          <w:color w:val="000000"/>
          <w:sz w:val="21"/>
          <w:szCs w:val="21"/>
        </w:rPr>
        <w:t>2023</w:t>
      </w: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21</w:t>
      </w:r>
      <w:r>
        <w:rPr>
          <w:rFonts w:hint="eastAsia" w:ascii="宋体" w:hAnsi="宋体" w:eastAsia="宋体" w:cs="宋体"/>
          <w:color w:val="000000"/>
          <w:sz w:val="21"/>
          <w:szCs w:val="21"/>
        </w:rPr>
        <w:t>号，以下简称“解释第</w:t>
      </w:r>
      <w:r>
        <w:rPr>
          <w:rFonts w:hint="default" w:ascii="Times New Roman" w:hAnsi="Times New Roman" w:eastAsia="宋体" w:cs="Times New Roman"/>
          <w:color w:val="000000"/>
          <w:sz w:val="21"/>
          <w:szCs w:val="21"/>
        </w:rPr>
        <w:t>17</w:t>
      </w:r>
      <w:r>
        <w:rPr>
          <w:rFonts w:hint="eastAsia" w:ascii="宋体" w:hAnsi="宋体" w:eastAsia="宋体" w:cs="宋体"/>
          <w:color w:val="000000"/>
          <w:sz w:val="21"/>
          <w:szCs w:val="21"/>
        </w:rPr>
        <w:t>号”），自</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日起施行。其中“关于售后租回交易的会计处理”的规定允许企业自发布年度提前执行。</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解释第</w:t>
      </w:r>
      <w:r>
        <w:rPr>
          <w:rFonts w:hint="default" w:ascii="Times New Roman" w:hAnsi="Times New Roman" w:eastAsia="宋体" w:cs="Times New Roman"/>
          <w:color w:val="000000"/>
          <w:sz w:val="21"/>
          <w:szCs w:val="21"/>
        </w:rPr>
        <w:t>17</w:t>
      </w:r>
      <w:r>
        <w:rPr>
          <w:rFonts w:hint="eastAsia" w:ascii="宋体" w:hAnsi="宋体" w:eastAsia="宋体" w:cs="宋体"/>
          <w:color w:val="000000"/>
          <w:sz w:val="21"/>
          <w:szCs w:val="21"/>
        </w:rPr>
        <w:t xml:space="preserve">号规定，承租人在对售后租回所形成的租赁负债进行后续计量时，确定租赁付款额或变更后租赁付款额的方式不得导致其确认与租回所获得的使用权有关的利得或损失。企业在首次执行该规定时，应当对《企业会计准则第 </w:t>
      </w:r>
      <w:r>
        <w:rPr>
          <w:rFonts w:hint="default" w:ascii="Times New Roman" w:hAnsi="Times New Roman" w:eastAsia="宋体" w:cs="Times New Roman"/>
          <w:color w:val="000000"/>
          <w:sz w:val="21"/>
          <w:szCs w:val="21"/>
        </w:rPr>
        <w:t xml:space="preserve">21 </w:t>
      </w:r>
      <w:r>
        <w:rPr>
          <w:rFonts w:hint="eastAsia" w:ascii="宋体" w:hAnsi="宋体" w:eastAsia="宋体" w:cs="宋体"/>
          <w:color w:val="000000"/>
          <w:sz w:val="21"/>
          <w:szCs w:val="21"/>
        </w:rPr>
        <w:t>号——租赁》首次执行日后开展的售后租回交易进行追溯调整。</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本公司执行该规定对公司合并及公司财务报表列报无影响。</w:t>
      </w:r>
    </w:p>
    <w:p>
      <w:pPr>
        <w:keepNext/>
        <w:keepLines/>
        <w:spacing w:before="300" w:after="300" w:line="280" w:lineRule="exact"/>
        <w:jc w:val="left"/>
        <w:outlineLvl w:val="3"/>
        <w:rPr>
          <w:rFonts w:ascii="宋体" w:hAnsi="宋体" w:eastAsia="宋体" w:cs="宋体"/>
          <w:b/>
          <w:bCs/>
          <w:sz w:val="18"/>
          <w:szCs w:val="18"/>
        </w:rPr>
      </w:pPr>
      <w:bookmarkStart w:id="149" w:name="_Toc989038"/>
      <w:r>
        <w:rPr>
          <w:rFonts w:ascii="宋体" w:hAnsi="宋体" w:eastAsia="宋体" w:cs="宋体"/>
          <w:b/>
          <w:bCs/>
          <w:sz w:val="18"/>
          <w:szCs w:val="18"/>
        </w:rPr>
        <w:t>（2） 重要会计估计变更</w:t>
      </w:r>
      <w:bookmarkEnd w:id="14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150" w:name="_Toc989039"/>
      <w:r>
        <w:rPr>
          <w:rFonts w:ascii="宋体" w:hAnsi="宋体" w:eastAsia="宋体" w:cs="宋体"/>
          <w:b/>
          <w:bCs/>
          <w:sz w:val="18"/>
          <w:szCs w:val="18"/>
        </w:rPr>
        <w:t>（3） 2024年起首次执行新会计准则调整首次执行当年年初财务报表相关项目情况</w:t>
      </w:r>
      <w:bookmarkEnd w:id="15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51" w:name="_Toc989040"/>
      <w:r>
        <w:rPr>
          <w:rFonts w:ascii="宋体" w:hAnsi="宋体" w:eastAsia="宋体" w:cs="宋体"/>
          <w:b/>
          <w:bCs/>
          <w:sz w:val="21"/>
          <w:szCs w:val="21"/>
        </w:rPr>
        <w:t>34、其他</w:t>
      </w:r>
      <w:bookmarkEnd w:id="151"/>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本公司本报告期无需要披露的其他事项。</w:t>
      </w:r>
    </w:p>
    <w:p>
      <w:pPr>
        <w:keepNext/>
        <w:keepLines/>
        <w:spacing w:before="300" w:after="300" w:line="320" w:lineRule="exact"/>
        <w:jc w:val="left"/>
        <w:outlineLvl w:val="1"/>
        <w:rPr>
          <w:rFonts w:ascii="宋体" w:hAnsi="宋体" w:eastAsia="宋体" w:cs="宋体"/>
          <w:b/>
          <w:bCs/>
          <w:sz w:val="24"/>
          <w:szCs w:val="24"/>
        </w:rPr>
      </w:pPr>
      <w:bookmarkStart w:id="152" w:name="_Toc989041"/>
      <w:r>
        <w:rPr>
          <w:rFonts w:ascii="宋体" w:hAnsi="宋体" w:eastAsia="宋体" w:cs="宋体"/>
          <w:b/>
          <w:bCs/>
          <w:sz w:val="24"/>
          <w:szCs w:val="24"/>
        </w:rPr>
        <w:t>六、税项</w:t>
      </w:r>
      <w:bookmarkEnd w:id="152"/>
    </w:p>
    <w:p>
      <w:pPr>
        <w:keepNext/>
        <w:keepLines/>
        <w:spacing w:before="300" w:after="300" w:line="280" w:lineRule="exact"/>
        <w:jc w:val="left"/>
        <w:outlineLvl w:val="2"/>
        <w:rPr>
          <w:rFonts w:ascii="宋体" w:hAnsi="宋体" w:eastAsia="宋体" w:cs="宋体"/>
          <w:b/>
          <w:bCs/>
          <w:sz w:val="21"/>
          <w:szCs w:val="21"/>
        </w:rPr>
      </w:pPr>
      <w:bookmarkStart w:id="153" w:name="_Toc989042"/>
      <w:r>
        <w:rPr>
          <w:rFonts w:ascii="宋体" w:hAnsi="宋体" w:eastAsia="宋体" w:cs="宋体"/>
          <w:b/>
          <w:bCs/>
          <w:sz w:val="21"/>
          <w:szCs w:val="21"/>
        </w:rPr>
        <w:t>1、主要税种及税率</w:t>
      </w:r>
      <w:bookmarkEnd w:id="153"/>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按税法规定计算的销售货物和应税劳务收入为基础计算销项税额，在扣除当期允许抵扣的进项税额后，差额部分为应交增值税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0%、6%、9%、13%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按实际缴纳的增值税及消费税计缴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按应纳税所得额计缴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存在不同企业所得税税率纳税主体的，披露情况说明</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所得税税率</w:t>
            </w:r>
          </w:p>
        </w:tc>
      </w:tr>
    </w:tbl>
    <w:p>
      <w:pPr>
        <w:keepNext/>
        <w:keepLines/>
        <w:spacing w:before="300" w:after="300" w:line="280" w:lineRule="exact"/>
        <w:jc w:val="left"/>
        <w:outlineLvl w:val="2"/>
        <w:rPr>
          <w:rFonts w:ascii="宋体" w:hAnsi="宋体" w:eastAsia="宋体" w:cs="宋体"/>
          <w:b/>
          <w:bCs/>
          <w:sz w:val="21"/>
          <w:szCs w:val="21"/>
        </w:rPr>
      </w:pPr>
      <w:bookmarkStart w:id="154" w:name="_Toc989043"/>
      <w:r>
        <w:rPr>
          <w:rFonts w:ascii="宋体" w:hAnsi="宋体" w:eastAsia="宋体" w:cs="宋体"/>
          <w:b/>
          <w:bCs/>
          <w:sz w:val="21"/>
          <w:szCs w:val="21"/>
        </w:rPr>
        <w:t>2、税收优惠</w:t>
      </w:r>
      <w:bookmarkEnd w:id="154"/>
    </w:p>
    <w:p>
      <w:pPr>
        <w:pStyle w:val="2"/>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w:t>
      </w:r>
      <w:r>
        <w:rPr>
          <w:rFonts w:hint="eastAsia" w:ascii="宋体" w:hAnsi="宋体" w:eastAsia="宋体" w:cs="宋体"/>
          <w:sz w:val="21"/>
          <w:szCs w:val="21"/>
        </w:rPr>
        <w:t>本公司及子公司湖南博云东方粉末冶金有限公司、长沙伟徽高科技新材料有限公司和长沙鑫航机轮刹车有限公司，均经湖南省科学技术厅、湖南省财政厅、湖南省国家税务局、湖南省地方税务局联合认定为高新技术企业，有效期三年，本期均适用</w:t>
      </w:r>
      <w:r>
        <w:rPr>
          <w:rFonts w:hint="default" w:ascii="Times New Roman" w:hAnsi="Times New Roman" w:eastAsia="宋体" w:cs="Times New Roman"/>
          <w:sz w:val="21"/>
          <w:szCs w:val="21"/>
        </w:rPr>
        <w:t>15%</w:t>
      </w:r>
      <w:r>
        <w:rPr>
          <w:rFonts w:hint="eastAsia" w:ascii="宋体" w:hAnsi="宋体" w:eastAsia="宋体" w:cs="宋体"/>
          <w:sz w:val="21"/>
          <w:szCs w:val="21"/>
        </w:rPr>
        <w:t>的企业所得税优惠税率。各公司获得高新技术证书的具体日期及证书号如下：</w:t>
      </w:r>
    </w:p>
    <w:tbl>
      <w:tblPr>
        <w:tblStyle w:val="3"/>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28"/>
        <w:gridCol w:w="3267"/>
        <w:gridCol w:w="19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2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1"/>
              <w:jc w:val="center"/>
              <w:rPr>
                <w:rFonts w:hint="default" w:ascii="Times New Roman" w:hAnsi="Times New Roman" w:cs="Times New Roman"/>
                <w:sz w:val="24"/>
                <w:szCs w:val="24"/>
              </w:rPr>
            </w:pPr>
            <w:r>
              <w:rPr>
                <w:rFonts w:hint="eastAsia" w:ascii="宋体" w:hAnsi="宋体" w:eastAsia="宋体" w:cs="宋体"/>
                <w:b/>
                <w:bCs/>
                <w:color w:val="000000"/>
                <w:sz w:val="18"/>
                <w:szCs w:val="18"/>
              </w:rPr>
              <w:t>公</w:t>
            </w:r>
            <w:r>
              <w:rPr>
                <w:rFonts w:hint="default" w:ascii="Times New Roman" w:hAnsi="Times New Roman" w:cs="Times New Roman"/>
                <w:b/>
                <w:bCs/>
                <w:color w:val="000000"/>
                <w:sz w:val="18"/>
                <w:szCs w:val="18"/>
              </w:rPr>
              <w:t>  </w:t>
            </w:r>
            <w:r>
              <w:rPr>
                <w:rFonts w:hint="eastAsia" w:ascii="宋体" w:hAnsi="宋体" w:eastAsia="宋体" w:cs="宋体"/>
                <w:b/>
                <w:bCs/>
                <w:color w:val="000000"/>
                <w:sz w:val="18"/>
                <w:szCs w:val="18"/>
              </w:rPr>
              <w:t>司</w:t>
            </w:r>
          </w:p>
        </w:tc>
        <w:tc>
          <w:tcPr>
            <w:tcW w:w="181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1"/>
              <w:jc w:val="center"/>
              <w:rPr>
                <w:rFonts w:hint="default" w:ascii="Times New Roman" w:hAnsi="Times New Roman" w:cs="Times New Roman"/>
                <w:sz w:val="24"/>
                <w:szCs w:val="24"/>
              </w:rPr>
            </w:pPr>
            <w:r>
              <w:rPr>
                <w:rFonts w:hint="eastAsia" w:ascii="宋体" w:hAnsi="宋体" w:eastAsia="宋体" w:cs="宋体"/>
                <w:b/>
                <w:bCs/>
                <w:color w:val="000000"/>
                <w:sz w:val="18"/>
                <w:szCs w:val="18"/>
              </w:rPr>
              <w:t>获得高新技术证书的具体日期</w:t>
            </w:r>
          </w:p>
        </w:tc>
        <w:tc>
          <w:tcPr>
            <w:tcW w:w="106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1"/>
              <w:jc w:val="center"/>
              <w:rPr>
                <w:rFonts w:hint="default" w:ascii="Times New Roman" w:hAnsi="Times New Roman" w:cs="Times New Roman"/>
                <w:sz w:val="24"/>
                <w:szCs w:val="24"/>
              </w:rPr>
            </w:pPr>
            <w:r>
              <w:rPr>
                <w:rFonts w:hint="eastAsia" w:ascii="宋体" w:hAnsi="宋体" w:eastAsia="宋体" w:cs="宋体"/>
                <w:b/>
                <w:bCs/>
                <w:color w:val="000000"/>
                <w:sz w:val="18"/>
                <w:szCs w:val="18"/>
              </w:rPr>
              <w:t>证书号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0"/>
              <w:jc w:val="both"/>
              <w:rPr>
                <w:rFonts w:hint="default" w:ascii="Times New Roman" w:hAnsi="Times New Roman" w:cs="Times New Roman"/>
                <w:sz w:val="24"/>
                <w:szCs w:val="24"/>
              </w:rPr>
            </w:pPr>
            <w:r>
              <w:rPr>
                <w:rFonts w:hint="eastAsia" w:ascii="宋体" w:hAnsi="宋体" w:eastAsia="宋体" w:cs="宋体"/>
                <w:color w:val="000000"/>
                <w:sz w:val="18"/>
                <w:szCs w:val="18"/>
              </w:rPr>
              <w:t>湖南博云新材料股份有限公司</w:t>
            </w:r>
          </w:p>
        </w:tc>
        <w:tc>
          <w:tcPr>
            <w:tcW w:w="18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0"/>
              <w:jc w:val="both"/>
              <w:rPr>
                <w:rFonts w:hint="default" w:ascii="Times New Roman" w:hAnsi="Times New Roman" w:cs="Times New Roman"/>
                <w:sz w:val="24"/>
                <w:szCs w:val="24"/>
              </w:rPr>
            </w:pPr>
            <w:r>
              <w:rPr>
                <w:rFonts w:hint="default" w:ascii="Times New Roman" w:hAnsi="Times New Roman" w:cs="Times New Roman"/>
                <w:color w:val="000000"/>
                <w:sz w:val="18"/>
                <w:szCs w:val="18"/>
              </w:rPr>
              <w:t>2023</w:t>
            </w:r>
            <w:r>
              <w:rPr>
                <w:rFonts w:hint="eastAsia" w:ascii="宋体" w:hAnsi="宋体" w:eastAsia="宋体" w:cs="宋体"/>
                <w:color w:val="000000"/>
                <w:sz w:val="18"/>
                <w:szCs w:val="18"/>
              </w:rPr>
              <w:t>年</w:t>
            </w:r>
            <w:r>
              <w:rPr>
                <w:rFonts w:hint="default" w:ascii="Times New Roman" w:hAnsi="Times New Roman" w:cs="Times New Roman"/>
                <w:color w:val="000000"/>
                <w:sz w:val="18"/>
                <w:szCs w:val="18"/>
              </w:rPr>
              <w:t>10</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16</w:t>
            </w:r>
            <w:r>
              <w:rPr>
                <w:rFonts w:hint="eastAsia" w:ascii="宋体" w:hAnsi="宋体" w:eastAsia="宋体" w:cs="宋体"/>
                <w:color w:val="000000"/>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GR202343000922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0"/>
              <w:jc w:val="both"/>
              <w:rPr>
                <w:rFonts w:hint="default" w:ascii="Times New Roman" w:hAnsi="Times New Roman" w:cs="Times New Roman"/>
                <w:sz w:val="24"/>
                <w:szCs w:val="24"/>
              </w:rPr>
            </w:pPr>
            <w:r>
              <w:rPr>
                <w:rFonts w:hint="eastAsia" w:ascii="宋体" w:hAnsi="宋体" w:eastAsia="宋体" w:cs="宋体"/>
                <w:color w:val="000000"/>
                <w:sz w:val="18"/>
                <w:szCs w:val="18"/>
              </w:rPr>
              <w:t>湖南博云东方粉末冶金有限公司</w:t>
            </w:r>
          </w:p>
        </w:tc>
        <w:tc>
          <w:tcPr>
            <w:tcW w:w="18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0"/>
              <w:jc w:val="both"/>
              <w:rPr>
                <w:rFonts w:hint="default" w:ascii="Times New Roman" w:hAnsi="Times New Roman" w:cs="Times New Roman"/>
                <w:sz w:val="24"/>
                <w:szCs w:val="24"/>
              </w:rPr>
            </w:pPr>
            <w:r>
              <w:rPr>
                <w:rFonts w:hint="default" w:ascii="Times New Roman" w:hAnsi="Times New Roman" w:cs="Times New Roman"/>
                <w:color w:val="000000"/>
                <w:sz w:val="18"/>
                <w:szCs w:val="18"/>
              </w:rPr>
              <w:t>2023</w:t>
            </w:r>
            <w:r>
              <w:rPr>
                <w:rFonts w:hint="eastAsia" w:ascii="宋体" w:hAnsi="宋体" w:eastAsia="宋体" w:cs="宋体"/>
                <w:color w:val="000000"/>
                <w:sz w:val="18"/>
                <w:szCs w:val="18"/>
              </w:rPr>
              <w:t>年</w:t>
            </w:r>
            <w:r>
              <w:rPr>
                <w:rFonts w:hint="default" w:ascii="Times New Roman" w:hAnsi="Times New Roman" w:cs="Times New Roman"/>
                <w:color w:val="000000"/>
                <w:sz w:val="18"/>
                <w:szCs w:val="18"/>
              </w:rPr>
              <w:t>10</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16</w:t>
            </w:r>
            <w:r>
              <w:rPr>
                <w:rFonts w:hint="eastAsia" w:ascii="宋体" w:hAnsi="宋体" w:eastAsia="宋体" w:cs="宋体"/>
                <w:color w:val="000000"/>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GR202343003684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1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0"/>
              <w:jc w:val="both"/>
              <w:rPr>
                <w:rFonts w:hint="default" w:ascii="Times New Roman" w:hAnsi="Times New Roman" w:cs="Times New Roman"/>
                <w:sz w:val="24"/>
                <w:szCs w:val="24"/>
              </w:rPr>
            </w:pPr>
            <w:r>
              <w:rPr>
                <w:rFonts w:hint="eastAsia" w:ascii="宋体" w:hAnsi="宋体" w:eastAsia="宋体" w:cs="宋体"/>
                <w:color w:val="000000"/>
                <w:sz w:val="18"/>
                <w:szCs w:val="18"/>
              </w:rPr>
              <w:t>长沙伟徽高科技新材料有限公司</w:t>
            </w:r>
          </w:p>
        </w:tc>
        <w:tc>
          <w:tcPr>
            <w:tcW w:w="18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0"/>
              <w:jc w:val="both"/>
              <w:rPr>
                <w:rFonts w:hint="default" w:ascii="Times New Roman" w:hAnsi="Times New Roman" w:cs="Times New Roman"/>
                <w:sz w:val="24"/>
                <w:szCs w:val="24"/>
              </w:rPr>
            </w:pPr>
            <w:r>
              <w:rPr>
                <w:rFonts w:hint="default" w:ascii="Times New Roman" w:hAnsi="Times New Roman" w:cs="Times New Roman"/>
                <w:color w:val="000000"/>
                <w:sz w:val="18"/>
                <w:szCs w:val="18"/>
              </w:rPr>
              <w:t>2023</w:t>
            </w:r>
            <w:r>
              <w:rPr>
                <w:rFonts w:hint="eastAsia" w:ascii="宋体" w:hAnsi="宋体" w:eastAsia="宋体" w:cs="宋体"/>
                <w:color w:val="000000"/>
                <w:sz w:val="18"/>
                <w:szCs w:val="18"/>
              </w:rPr>
              <w:t>年</w:t>
            </w:r>
            <w:r>
              <w:rPr>
                <w:rFonts w:hint="default" w:ascii="Times New Roman" w:hAnsi="Times New Roman" w:cs="Times New Roman"/>
                <w:color w:val="000000"/>
                <w:sz w:val="18"/>
                <w:szCs w:val="18"/>
              </w:rPr>
              <w:t>10</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16</w:t>
            </w:r>
            <w:r>
              <w:rPr>
                <w:rFonts w:hint="eastAsia" w:ascii="宋体" w:hAnsi="宋体" w:eastAsia="宋体" w:cs="宋体"/>
                <w:color w:val="000000"/>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GR202343003142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1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0"/>
              <w:jc w:val="both"/>
              <w:rPr>
                <w:rFonts w:hint="default" w:ascii="Times New Roman" w:hAnsi="Times New Roman" w:cs="Times New Roman"/>
                <w:sz w:val="24"/>
                <w:szCs w:val="24"/>
              </w:rPr>
            </w:pPr>
            <w:r>
              <w:rPr>
                <w:rFonts w:hint="eastAsia" w:ascii="宋体" w:hAnsi="宋体" w:eastAsia="宋体" w:cs="宋体"/>
                <w:color w:val="000000"/>
                <w:sz w:val="18"/>
                <w:szCs w:val="18"/>
              </w:rPr>
              <w:t>长沙鑫航机轮刹车有限公司</w:t>
            </w:r>
          </w:p>
        </w:tc>
        <w:tc>
          <w:tcPr>
            <w:tcW w:w="18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0"/>
              <w:jc w:val="both"/>
              <w:rPr>
                <w:rFonts w:hint="default" w:ascii="Times New Roman" w:hAnsi="Times New Roman" w:cs="Times New Roman"/>
                <w:sz w:val="24"/>
                <w:szCs w:val="24"/>
              </w:rPr>
            </w:pPr>
            <w:r>
              <w:rPr>
                <w:rFonts w:hint="default" w:ascii="Times New Roman" w:hAnsi="Times New Roman" w:cs="Times New Roman"/>
                <w:color w:val="000000"/>
                <w:sz w:val="18"/>
                <w:szCs w:val="18"/>
              </w:rPr>
              <w:t>2021</w:t>
            </w:r>
            <w:r>
              <w:rPr>
                <w:rFonts w:hint="eastAsia" w:ascii="宋体" w:hAnsi="宋体" w:eastAsia="宋体" w:cs="宋体"/>
                <w:color w:val="000000"/>
                <w:sz w:val="18"/>
                <w:szCs w:val="18"/>
              </w:rPr>
              <w:t>年</w:t>
            </w:r>
            <w:r>
              <w:rPr>
                <w:rFonts w:hint="default" w:ascii="Times New Roman" w:hAnsi="Times New Roman" w:cs="Times New Roman"/>
                <w:color w:val="000000"/>
                <w:sz w:val="18"/>
                <w:szCs w:val="18"/>
              </w:rPr>
              <w:t>9</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18</w:t>
            </w:r>
            <w:r>
              <w:rPr>
                <w:rFonts w:hint="eastAsia" w:ascii="宋体" w:hAnsi="宋体" w:eastAsia="宋体" w:cs="宋体"/>
                <w:color w:val="000000"/>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36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GR202143000150</w:t>
            </w:r>
          </w:p>
        </w:tc>
      </w:tr>
    </w:tbl>
    <w:p>
      <w:pPr>
        <w:pStyle w:val="2"/>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2、根据《财政部、税务总局公告2023年第7号 财政部 税务总局关于进一步完善研发费用税前加计扣除政策的公告》，企业开展研发活动中实际发生的研发费用，未形成无形资产计入当期损益的，在按规定据实扣除的基础上，自2023年1月1日起，再按照实际发生额的100%在税前加计扣除;形成无形资产的，自2023年1月1日起，按照无形资产成本的200%在税前摊销。</w:t>
      </w:r>
    </w:p>
    <w:p>
      <w:pPr>
        <w:keepNext/>
        <w:keepLines/>
        <w:spacing w:before="300" w:after="300" w:line="280" w:lineRule="exact"/>
        <w:jc w:val="left"/>
        <w:outlineLvl w:val="2"/>
        <w:rPr>
          <w:rFonts w:ascii="宋体" w:hAnsi="宋体" w:eastAsia="宋体" w:cs="宋体"/>
          <w:b/>
          <w:bCs/>
          <w:sz w:val="21"/>
          <w:szCs w:val="21"/>
        </w:rPr>
      </w:pPr>
      <w:bookmarkStart w:id="155" w:name="_Toc989044"/>
      <w:r>
        <w:rPr>
          <w:rFonts w:ascii="宋体" w:hAnsi="宋体" w:eastAsia="宋体" w:cs="宋体"/>
          <w:b/>
          <w:bCs/>
          <w:sz w:val="21"/>
          <w:szCs w:val="21"/>
        </w:rPr>
        <w:t>3、其他</w:t>
      </w:r>
      <w:bookmarkEnd w:id="155"/>
    </w:p>
    <w:p>
      <w:pPr>
        <w:keepNext/>
        <w:keepLines/>
        <w:spacing w:before="300" w:after="300" w:line="320" w:lineRule="exact"/>
        <w:jc w:val="left"/>
        <w:outlineLvl w:val="1"/>
        <w:rPr>
          <w:rFonts w:ascii="宋体" w:hAnsi="宋体" w:eastAsia="宋体" w:cs="宋体"/>
          <w:b/>
          <w:bCs/>
          <w:sz w:val="24"/>
          <w:szCs w:val="24"/>
        </w:rPr>
      </w:pPr>
      <w:bookmarkStart w:id="156" w:name="_Toc989045"/>
      <w:r>
        <w:rPr>
          <w:rFonts w:ascii="宋体" w:hAnsi="宋体" w:eastAsia="宋体" w:cs="宋体"/>
          <w:b/>
          <w:bCs/>
          <w:sz w:val="24"/>
          <w:szCs w:val="24"/>
        </w:rPr>
        <w:t>七、合并财务报表项目注释</w:t>
      </w:r>
      <w:bookmarkEnd w:id="156"/>
    </w:p>
    <w:p>
      <w:pPr>
        <w:keepNext/>
        <w:keepLines/>
        <w:spacing w:before="300" w:after="300" w:line="280" w:lineRule="exact"/>
        <w:jc w:val="left"/>
        <w:outlineLvl w:val="2"/>
        <w:rPr>
          <w:rFonts w:ascii="宋体" w:hAnsi="宋体" w:eastAsia="宋体" w:cs="宋体"/>
          <w:b/>
          <w:bCs/>
          <w:sz w:val="21"/>
          <w:szCs w:val="21"/>
        </w:rPr>
      </w:pPr>
      <w:bookmarkStart w:id="157" w:name="_Toc989046"/>
      <w:r>
        <w:rPr>
          <w:rFonts w:ascii="宋体" w:hAnsi="宋体" w:eastAsia="宋体" w:cs="宋体"/>
          <w:b/>
          <w:bCs/>
          <w:sz w:val="21"/>
          <w:szCs w:val="21"/>
        </w:rPr>
        <w:t>1、货币资金</w:t>
      </w:r>
      <w:bookmarkEnd w:id="15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442,310,129.79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29,033,179.00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47,576,382.95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471,343,308.79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512,127,325.16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pPr>
      <w:r>
        <w:rPr>
          <w:rFonts w:hint="eastAsia" w:ascii="宋体" w:hAnsi="宋体" w:eastAsia="宋体" w:cs="宋体"/>
          <w:sz w:val="18"/>
          <w:szCs w:val="18"/>
        </w:rPr>
        <w:t> </w:t>
      </w:r>
    </w:p>
    <w:p>
      <w:pPr>
        <w:pStyle w:val="2"/>
        <w:keepNext w:val="0"/>
        <w:keepLines w:val="0"/>
        <w:widowControl/>
        <w:suppressLineNumbers w:val="0"/>
        <w:spacing w:before="100" w:beforeAutospacing="0" w:after="10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其中因抵押、质押或冻结等对使用有限制，因资金集中管理支取受限，以及放在境外且资金汇回受到限制的货币资金明细如下：</w:t>
      </w:r>
    </w:p>
    <w:tbl>
      <w:tblPr>
        <w:tblStyle w:val="3"/>
        <w:tblW w:w="95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04"/>
        <w:gridCol w:w="3135"/>
        <w:gridCol w:w="42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 w:hRule="atLeast"/>
        </w:trPr>
        <w:tc>
          <w:tcPr>
            <w:tcW w:w="22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项目</w:t>
            </w:r>
          </w:p>
        </w:tc>
        <w:tc>
          <w:tcPr>
            <w:tcW w:w="3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期末余额</w:t>
            </w:r>
          </w:p>
        </w:tc>
        <w:tc>
          <w:tcPr>
            <w:tcW w:w="421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 w:hRule="atLeast"/>
        </w:trPr>
        <w:tc>
          <w:tcPr>
            <w:tcW w:w="22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银行承兑汇票保证金</w:t>
            </w:r>
          </w:p>
        </w:tc>
        <w:tc>
          <w:tcPr>
            <w:tcW w:w="3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8,149,228.64</w:t>
            </w:r>
          </w:p>
        </w:tc>
        <w:tc>
          <w:tcPr>
            <w:tcW w:w="4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23,165,236.26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 w:hRule="atLeast"/>
        </w:trPr>
        <w:tc>
          <w:tcPr>
            <w:tcW w:w="22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信用证保证金</w:t>
            </w:r>
          </w:p>
        </w:tc>
        <w:tc>
          <w:tcPr>
            <w:tcW w:w="3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20,883,950.36</w:t>
            </w:r>
          </w:p>
        </w:tc>
        <w:tc>
          <w:tcPr>
            <w:tcW w:w="4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23,943,458.33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 w:hRule="atLeast"/>
        </w:trPr>
        <w:tc>
          <w:tcPr>
            <w:tcW w:w="22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保函保证金</w:t>
            </w:r>
          </w:p>
        </w:tc>
        <w:tc>
          <w:tcPr>
            <w:tcW w:w="3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color w:val="000000"/>
                <w:sz w:val="18"/>
                <w:szCs w:val="18"/>
              </w:rPr>
            </w:pPr>
          </w:p>
        </w:tc>
        <w:tc>
          <w:tcPr>
            <w:tcW w:w="4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467,688.36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 w:hRule="atLeast"/>
        </w:trPr>
        <w:tc>
          <w:tcPr>
            <w:tcW w:w="22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合计</w:t>
            </w:r>
          </w:p>
        </w:tc>
        <w:tc>
          <w:tcPr>
            <w:tcW w:w="3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29,033,179.00</w:t>
            </w:r>
          </w:p>
        </w:tc>
        <w:tc>
          <w:tcPr>
            <w:tcW w:w="4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47,576,382.95</w:t>
            </w:r>
          </w:p>
        </w:tc>
      </w:tr>
    </w:tbl>
    <w:p>
      <w:pPr>
        <w:pStyle w:val="2"/>
        <w:keepNext w:val="0"/>
        <w:keepLines w:val="0"/>
        <w:widowControl/>
        <w:suppressLineNumbers w:val="0"/>
        <w:spacing w:before="100" w:beforeAutospacing="0" w:after="100" w:afterAutospacing="0"/>
        <w:ind w:left="0" w:right="0"/>
        <w:jc w:val="left"/>
        <w:rPr>
          <w:rFonts w:hint="default" w:ascii="宋体" w:hAnsi="宋体" w:eastAsia="宋体" w:cs="宋体"/>
          <w:sz w:val="21"/>
          <w:szCs w:val="21"/>
        </w:rPr>
      </w:pPr>
    </w:p>
    <w:p>
      <w:pPr>
        <w:keepNext/>
        <w:keepLines/>
        <w:spacing w:before="300" w:after="300" w:line="280" w:lineRule="exact"/>
        <w:jc w:val="left"/>
        <w:outlineLvl w:val="2"/>
        <w:rPr>
          <w:rFonts w:ascii="宋体" w:hAnsi="宋体" w:eastAsia="宋体" w:cs="宋体"/>
          <w:b/>
          <w:bCs/>
          <w:sz w:val="21"/>
          <w:szCs w:val="21"/>
        </w:rPr>
      </w:pPr>
      <w:bookmarkStart w:id="158" w:name="_Toc989047"/>
      <w:r>
        <w:rPr>
          <w:rFonts w:ascii="宋体" w:hAnsi="宋体" w:eastAsia="宋体" w:cs="宋体"/>
          <w:b/>
          <w:bCs/>
          <w:sz w:val="21"/>
          <w:szCs w:val="21"/>
        </w:rPr>
        <w:t>2、应收票据</w:t>
      </w:r>
      <w:bookmarkEnd w:id="158"/>
    </w:p>
    <w:p>
      <w:pPr>
        <w:keepNext/>
        <w:keepLines/>
        <w:spacing w:before="300" w:after="300" w:line="280" w:lineRule="exact"/>
        <w:jc w:val="left"/>
        <w:outlineLvl w:val="3"/>
        <w:rPr>
          <w:rFonts w:ascii="宋体" w:hAnsi="宋体" w:eastAsia="宋体" w:cs="宋体"/>
          <w:b/>
          <w:bCs/>
          <w:sz w:val="21"/>
          <w:szCs w:val="21"/>
        </w:rPr>
      </w:pPr>
      <w:bookmarkStart w:id="159" w:name="_Toc989048"/>
      <w:r>
        <w:rPr>
          <w:rFonts w:ascii="宋体" w:hAnsi="宋体" w:eastAsia="宋体" w:cs="宋体"/>
          <w:b/>
          <w:bCs/>
          <w:sz w:val="21"/>
          <w:szCs w:val="21"/>
        </w:rPr>
        <w:t>（1） 应收票据分类列示</w:t>
      </w:r>
      <w:bookmarkEnd w:id="1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44,047,043.22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53,273,853.82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7,270,805.98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36,916,113.13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51,317,849.20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90,189,966.95</w:t>
            </w:r>
          </w:p>
        </w:tc>
      </w:tr>
    </w:tbl>
    <w:p>
      <w:pPr>
        <w:keepNext/>
        <w:keepLines/>
        <w:spacing w:before="300" w:after="300" w:line="280" w:lineRule="exact"/>
        <w:jc w:val="left"/>
        <w:outlineLvl w:val="3"/>
        <w:rPr>
          <w:rFonts w:ascii="宋体" w:hAnsi="宋体" w:eastAsia="宋体" w:cs="宋体"/>
          <w:b/>
          <w:bCs/>
          <w:sz w:val="21"/>
          <w:szCs w:val="21"/>
        </w:rPr>
      </w:pPr>
      <w:bookmarkStart w:id="160" w:name="_Toc989049"/>
      <w:r>
        <w:rPr>
          <w:rFonts w:ascii="宋体" w:hAnsi="宋体" w:eastAsia="宋体" w:cs="宋体"/>
          <w:b/>
          <w:bCs/>
          <w:sz w:val="21"/>
          <w:szCs w:val="21"/>
        </w:rPr>
        <w:t>（2） 按坏账计提方法分类披露</w:t>
      </w:r>
      <w:bookmarkEnd w:id="16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51,747,891.62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430,042.42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51,317,849.20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92,600,975.22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2,411,008.27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90,189,966.95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其中：银行承兑汇票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44,047,043.22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44,047,043.22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53,273,853.82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53,273,853.82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其中：商业承兑汇票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7,700,848.40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430,042.42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7,270,805.98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39,327,121.40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2,411,008.27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36,916,113.13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51,747,891.62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430,042.42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51,317,849.20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92,600,975.22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2,411,008.27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90,189,966.95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按组合计提坏账准备类别名称：430,042.42元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44,047,043.22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商业承兑汇票</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7,700,848.40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430,042.42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51,747,891.62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430,042.42</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如是按照预期信用损失一般模型计提应收票据坏账准备：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61" w:name="_Toc989050"/>
      <w:r>
        <w:rPr>
          <w:rFonts w:ascii="宋体" w:hAnsi="宋体" w:eastAsia="宋体" w:cs="宋体"/>
          <w:b/>
          <w:bCs/>
          <w:sz w:val="21"/>
          <w:szCs w:val="21"/>
        </w:rPr>
        <w:t>（3） 本期计提、收回或转回的坏账准备情况</w:t>
      </w:r>
      <w:bookmarkEnd w:id="161"/>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2,411,008.27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300,321.75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2,281,287.60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430,042.42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2,411,008.27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300,321.75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2,281,287.60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430,042.42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62" w:name="_Toc989051"/>
      <w:r>
        <w:rPr>
          <w:rFonts w:ascii="宋体" w:hAnsi="宋体" w:eastAsia="宋体" w:cs="宋体"/>
          <w:b/>
          <w:bCs/>
          <w:sz w:val="21"/>
          <w:szCs w:val="21"/>
        </w:rPr>
        <w:t>（4） 期末公司已背书或贴现且在资产负债表日尚未到期的应收票据</w:t>
      </w:r>
      <w:bookmarkEnd w:id="1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36,799,654.21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4,190,000.00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40,989,654.21</w:t>
            </w:r>
          </w:p>
        </w:tc>
      </w:tr>
    </w:tbl>
    <w:p>
      <w:pPr>
        <w:keepNext/>
        <w:keepLines/>
        <w:spacing w:before="300" w:after="300" w:line="280" w:lineRule="exact"/>
        <w:jc w:val="left"/>
        <w:outlineLvl w:val="2"/>
        <w:rPr>
          <w:rFonts w:ascii="宋体" w:hAnsi="宋体" w:eastAsia="宋体" w:cs="宋体"/>
          <w:b/>
          <w:bCs/>
          <w:sz w:val="21"/>
          <w:szCs w:val="21"/>
        </w:rPr>
      </w:pPr>
      <w:bookmarkStart w:id="163" w:name="_Toc989052"/>
      <w:r>
        <w:rPr>
          <w:rFonts w:ascii="宋体" w:hAnsi="宋体" w:eastAsia="宋体" w:cs="宋体"/>
          <w:b/>
          <w:bCs/>
          <w:sz w:val="21"/>
          <w:szCs w:val="21"/>
        </w:rPr>
        <w:t>3、应收账款</w:t>
      </w:r>
      <w:bookmarkEnd w:id="163"/>
    </w:p>
    <w:p>
      <w:pPr>
        <w:keepNext/>
        <w:keepLines/>
        <w:spacing w:before="300" w:after="300" w:line="280" w:lineRule="exact"/>
        <w:jc w:val="left"/>
        <w:outlineLvl w:val="3"/>
        <w:rPr>
          <w:rFonts w:ascii="宋体" w:hAnsi="宋体" w:eastAsia="宋体" w:cs="宋体"/>
          <w:b/>
          <w:bCs/>
          <w:sz w:val="21"/>
          <w:szCs w:val="21"/>
        </w:rPr>
      </w:pPr>
      <w:bookmarkStart w:id="164" w:name="_Toc989053"/>
      <w:r>
        <w:rPr>
          <w:rFonts w:ascii="宋体" w:hAnsi="宋体" w:eastAsia="宋体" w:cs="宋体"/>
          <w:b/>
          <w:bCs/>
          <w:sz w:val="21"/>
          <w:szCs w:val="21"/>
        </w:rPr>
        <w:t>（1） 按账龄披露</w:t>
      </w:r>
      <w:bookmarkEnd w:id="164"/>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293,566,150.21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261,447,207.25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19,711,896.76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44,647,553.10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4,766,710.74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7,222,768.37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59,278,345.05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58,442,952.14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4,067,608.06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5,915,717.89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2,927,004.92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780,379.45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52,283,732.07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51,746,854.80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377,323,102.76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371,760,480.86</w:t>
            </w:r>
          </w:p>
        </w:tc>
      </w:tr>
    </w:tbl>
    <w:p>
      <w:pPr>
        <w:keepNext/>
        <w:keepLines/>
        <w:spacing w:before="300" w:after="300" w:line="280" w:lineRule="exact"/>
        <w:jc w:val="left"/>
        <w:outlineLvl w:val="3"/>
        <w:rPr>
          <w:rFonts w:ascii="宋体" w:hAnsi="宋体" w:eastAsia="宋体" w:cs="宋体"/>
          <w:b/>
          <w:bCs/>
          <w:sz w:val="21"/>
          <w:szCs w:val="21"/>
        </w:rPr>
      </w:pPr>
      <w:bookmarkStart w:id="165" w:name="_Toc989054"/>
      <w:r>
        <w:rPr>
          <w:rFonts w:ascii="宋体" w:hAnsi="宋体" w:eastAsia="宋体" w:cs="宋体"/>
          <w:b/>
          <w:bCs/>
          <w:sz w:val="21"/>
          <w:szCs w:val="21"/>
        </w:rPr>
        <w:t>（2） 按坏账计提方法分类披露</w:t>
      </w:r>
      <w:bookmarkEnd w:id="1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49,653,619.34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49,653,619.34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49,342,219.64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49,342,219.64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327,669,483.42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86.84%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23,166,445.24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304,503,038.18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322,418,261.22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24,001,600.80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298,416,660.42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377,323,102.76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72,820,064.58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304,503,038.18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371,760,480.86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73,343,820.44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298,416,660.42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按单项计提坏账准备类别名称：49,653,619.34元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33,825,627.64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33,825,627.64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34,137,027.34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34,137,027.34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49,342,219.64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49,342,219.64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49,653,619.34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49,653,619.34</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按组合计提坏账准备类别名称：23,166,445.24元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一年以内</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293,566,150.21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14,678,307.76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一至二年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19,711,896.76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1,971,189.70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二至三年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4,766,710.74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953,342.16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三至四年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4,067,608.06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1,220,282.41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四至五年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2,427,588.92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1,213,794.48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3,129,528.73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3,129,528.73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327,669,483.42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23,166,445.24</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66" w:name="_Toc989055"/>
      <w:r>
        <w:rPr>
          <w:rFonts w:ascii="宋体" w:hAnsi="宋体" w:eastAsia="宋体" w:cs="宋体"/>
          <w:b/>
          <w:bCs/>
          <w:sz w:val="21"/>
          <w:szCs w:val="21"/>
        </w:rPr>
        <w:t>（3） 本期计提、收回或转回的坏账准备情况</w:t>
      </w:r>
      <w:bookmarkEnd w:id="166"/>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49,342,219.64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311,399.70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49,653,619.34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24,001,600.80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-835,155.56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23,166,445.24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73,343,820.44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-523,755.86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72,820,064.58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确定原坏账准备计提比例的依据及其合理性</w:t>
            </w:r>
          </w:p>
        </w:tc>
      </w:tr>
    </w:tbl>
    <w:p>
      <w:pPr>
        <w:spacing w:before="100" w:after="100" w:line="0" w:lineRule="exact"/>
        <w:jc w:val="left"/>
      </w:pPr>
    </w:p>
    <w:p>
      <w:pPr>
        <w:pStyle w:val="2"/>
        <w:keepNext w:val="0"/>
        <w:keepLines w:val="0"/>
        <w:widowControl/>
        <w:suppressLineNumbers w:val="0"/>
        <w:spacing w:before="0" w:beforeAutospacing="1" w:after="0" w:afterAutospacing="1"/>
        <w:ind w:left="0" w:right="0" w:firstLine="420"/>
      </w:pPr>
      <w:r>
        <w:rPr>
          <w:rFonts w:hint="eastAsia" w:ascii="宋体" w:hAnsi="宋体" w:eastAsia="宋体" w:cs="宋体"/>
          <w:color w:val="000000"/>
          <w:sz w:val="21"/>
          <w:szCs w:val="21"/>
        </w:rPr>
        <w:t>按欠款方归集的期末余额前五名应收账款和合同资产汇总金额</w:t>
      </w:r>
      <w:r>
        <w:rPr>
          <w:rFonts w:hint="default" w:ascii="Times New Roman" w:hAnsi="Times New Roman" w:eastAsia="宋体" w:cs="Times New Roman"/>
          <w:color w:val="000000"/>
          <w:sz w:val="21"/>
          <w:szCs w:val="21"/>
        </w:rPr>
        <w:t>134,047,976.24</w:t>
      </w:r>
      <w:r>
        <w:rPr>
          <w:rFonts w:hint="eastAsia" w:ascii="宋体" w:hAnsi="宋体" w:eastAsia="宋体" w:cs="宋体"/>
          <w:color w:val="000000"/>
          <w:sz w:val="21"/>
          <w:szCs w:val="21"/>
        </w:rPr>
        <w:t>元，占应收账款和合同资产期末余额合计数的比例</w:t>
      </w:r>
      <w:r>
        <w:rPr>
          <w:rFonts w:hint="default" w:ascii="Times New Roman" w:hAnsi="Times New Roman" w:eastAsia="宋体" w:cs="Times New Roman"/>
          <w:color w:val="000000"/>
          <w:sz w:val="21"/>
          <w:szCs w:val="21"/>
        </w:rPr>
        <w:t>35.31%</w:t>
      </w:r>
      <w:r>
        <w:rPr>
          <w:rFonts w:hint="eastAsia" w:ascii="宋体" w:hAnsi="宋体" w:eastAsia="宋体" w:cs="宋体"/>
          <w:color w:val="000000"/>
          <w:sz w:val="21"/>
          <w:szCs w:val="21"/>
        </w:rPr>
        <w:t>，相应计提的坏账准备期末余额汇总金额</w:t>
      </w:r>
      <w:r>
        <w:rPr>
          <w:rFonts w:hint="default" w:ascii="Times New Roman" w:hAnsi="Times New Roman" w:eastAsia="宋体" w:cs="Times New Roman"/>
          <w:color w:val="000000"/>
          <w:sz w:val="21"/>
          <w:szCs w:val="21"/>
        </w:rPr>
        <w:t>7,106,442.29</w:t>
      </w:r>
      <w:r>
        <w:rPr>
          <w:rFonts w:hint="eastAsia" w:ascii="宋体" w:hAnsi="宋体" w:eastAsia="宋体" w:cs="宋体"/>
          <w:color w:val="000000"/>
          <w:sz w:val="21"/>
          <w:szCs w:val="21"/>
        </w:rPr>
        <w:t>元。</w:t>
      </w:r>
    </w:p>
    <w:p>
      <w:pPr>
        <w:keepNext/>
        <w:keepLines/>
        <w:spacing w:before="300" w:after="300" w:line="280" w:lineRule="exact"/>
        <w:jc w:val="left"/>
        <w:outlineLvl w:val="3"/>
        <w:rPr>
          <w:rFonts w:ascii="宋体" w:hAnsi="宋体" w:eastAsia="宋体" w:cs="宋体"/>
          <w:b/>
          <w:bCs/>
          <w:sz w:val="21"/>
          <w:szCs w:val="21"/>
        </w:rPr>
      </w:pPr>
      <w:bookmarkStart w:id="167" w:name="_Toc989056"/>
      <w:r>
        <w:rPr>
          <w:rFonts w:ascii="宋体" w:hAnsi="宋体" w:eastAsia="宋体" w:cs="宋体"/>
          <w:b/>
          <w:bCs/>
          <w:sz w:val="21"/>
          <w:szCs w:val="21"/>
        </w:rPr>
        <w:t>（4） 按欠款方归集的期末余额前五名的应收账款和合同资产情况</w:t>
      </w:r>
      <w:bookmarkEnd w:id="1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应收账款坏账准备和合同资产减值准备期末余额</w:t>
            </w:r>
          </w:p>
        </w:tc>
      </w:tr>
    </w:tbl>
    <w:p>
      <w:pPr>
        <w:keepNext/>
        <w:keepLines/>
        <w:spacing w:before="300" w:after="300" w:line="280" w:lineRule="exact"/>
        <w:jc w:val="left"/>
        <w:outlineLvl w:val="2"/>
        <w:rPr>
          <w:rFonts w:ascii="宋体" w:hAnsi="宋体" w:eastAsia="宋体" w:cs="宋体"/>
          <w:b/>
          <w:bCs/>
          <w:sz w:val="21"/>
          <w:szCs w:val="21"/>
        </w:rPr>
      </w:pPr>
      <w:bookmarkStart w:id="168" w:name="_Toc989057"/>
      <w:r>
        <w:rPr>
          <w:rFonts w:ascii="宋体" w:hAnsi="宋体" w:eastAsia="宋体" w:cs="宋体"/>
          <w:b/>
          <w:bCs/>
          <w:sz w:val="21"/>
          <w:szCs w:val="21"/>
        </w:rPr>
        <w:t>4、合同资产</w:t>
      </w:r>
      <w:bookmarkEnd w:id="168"/>
    </w:p>
    <w:p>
      <w:pPr>
        <w:keepNext/>
        <w:keepLines/>
        <w:spacing w:before="300" w:after="300" w:line="280" w:lineRule="exact"/>
        <w:jc w:val="left"/>
        <w:outlineLvl w:val="3"/>
        <w:rPr>
          <w:rFonts w:ascii="宋体" w:hAnsi="宋体" w:eastAsia="宋体" w:cs="宋体"/>
          <w:b/>
          <w:bCs/>
          <w:sz w:val="21"/>
          <w:szCs w:val="21"/>
        </w:rPr>
      </w:pPr>
      <w:bookmarkStart w:id="169" w:name="_Toc989058"/>
      <w:r>
        <w:rPr>
          <w:rFonts w:ascii="宋体" w:hAnsi="宋体" w:eastAsia="宋体" w:cs="宋体"/>
          <w:b/>
          <w:bCs/>
          <w:sz w:val="21"/>
          <w:szCs w:val="21"/>
        </w:rPr>
        <w:t>（1） 合同资产情况</w:t>
      </w:r>
      <w:bookmarkEnd w:id="1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未到期质保金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2,403,888.60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143,318.82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2,260,569.78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2,480,809.58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127,137.95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2,353,671.63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2,403,888.60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143,318.82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2,260,569.78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2,480,809.58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127,137.95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2,353,671.63</w:t>
            </w:r>
          </w:p>
        </w:tc>
      </w:tr>
    </w:tbl>
    <w:p>
      <w:pPr>
        <w:keepNext/>
        <w:keepLines/>
        <w:spacing w:before="300" w:after="300" w:line="280" w:lineRule="exact"/>
        <w:jc w:val="left"/>
        <w:outlineLvl w:val="3"/>
        <w:rPr>
          <w:rFonts w:ascii="宋体" w:hAnsi="宋体" w:eastAsia="宋体" w:cs="宋体"/>
          <w:b/>
          <w:bCs/>
          <w:sz w:val="21"/>
          <w:szCs w:val="21"/>
        </w:rPr>
      </w:pPr>
      <w:bookmarkStart w:id="170" w:name="_Toc989059"/>
      <w:r>
        <w:rPr>
          <w:rFonts w:ascii="宋体" w:hAnsi="宋体" w:eastAsia="宋体" w:cs="宋体"/>
          <w:b/>
          <w:bCs/>
          <w:sz w:val="21"/>
          <w:szCs w:val="21"/>
        </w:rPr>
        <w:t>（2） 报告期内账面价值发生的重大变动金额和原因</w:t>
      </w:r>
      <w:bookmarkEnd w:id="170"/>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keepNext/>
        <w:keepLines/>
        <w:spacing w:before="300" w:after="300" w:line="280" w:lineRule="exact"/>
        <w:jc w:val="left"/>
        <w:outlineLvl w:val="3"/>
        <w:rPr>
          <w:rFonts w:ascii="宋体" w:hAnsi="宋体" w:eastAsia="宋体" w:cs="宋体"/>
          <w:b/>
          <w:bCs/>
          <w:sz w:val="21"/>
          <w:szCs w:val="21"/>
        </w:rPr>
      </w:pPr>
      <w:bookmarkStart w:id="171" w:name="_Toc989060"/>
      <w:r>
        <w:rPr>
          <w:rFonts w:ascii="宋体" w:hAnsi="宋体" w:eastAsia="宋体" w:cs="宋体"/>
          <w:b/>
          <w:bCs/>
          <w:sz w:val="21"/>
          <w:szCs w:val="21"/>
        </w:rPr>
        <w:t>（3） 按坏账计提方法分类披露</w:t>
      </w:r>
      <w:bookmarkEnd w:id="171"/>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2,403,888.60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143,318.82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2,260,569.78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2,480,809.58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127,137.95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2,353,671.63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2,403,888.60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143,318.82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2,260,569.78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2,480,809.58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127,137.95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2,353,671.63</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按组合计提坏账准备类别名称：143,318.82元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未到期质保金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2,403,888.60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143,318.82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2,403,888.60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143,318.82</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按预期信用损失一般模型计提坏账准备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72" w:name="_Toc989061"/>
      <w:r>
        <w:rPr>
          <w:rFonts w:ascii="宋体" w:hAnsi="宋体" w:eastAsia="宋体" w:cs="宋体"/>
          <w:b/>
          <w:bCs/>
          <w:sz w:val="21"/>
          <w:szCs w:val="21"/>
        </w:rPr>
        <w:t>（4） 本期计提、收回或转回的坏账准备情况</w:t>
      </w:r>
      <w:bookmarkEnd w:id="172"/>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本期收回或转回</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未到期质保金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16,180.87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16,180.87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确定原坏账准备计提比例的依据及其合理性</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73" w:name="_Toc989062"/>
      <w:r>
        <w:rPr>
          <w:rFonts w:ascii="宋体" w:hAnsi="宋体" w:eastAsia="宋体" w:cs="宋体"/>
          <w:b/>
          <w:bCs/>
          <w:sz w:val="21"/>
          <w:szCs w:val="21"/>
        </w:rPr>
        <w:t>5、应收款项融资</w:t>
      </w:r>
      <w:bookmarkEnd w:id="173"/>
    </w:p>
    <w:p>
      <w:pPr>
        <w:keepNext/>
        <w:keepLines/>
        <w:spacing w:before="300" w:after="300" w:line="280" w:lineRule="exact"/>
        <w:jc w:val="left"/>
        <w:outlineLvl w:val="3"/>
        <w:rPr>
          <w:rFonts w:ascii="宋体" w:hAnsi="宋体" w:eastAsia="宋体" w:cs="宋体"/>
          <w:b/>
          <w:bCs/>
          <w:sz w:val="21"/>
          <w:szCs w:val="21"/>
        </w:rPr>
      </w:pPr>
      <w:bookmarkStart w:id="174" w:name="_Toc989063"/>
      <w:r>
        <w:rPr>
          <w:rFonts w:ascii="宋体" w:hAnsi="宋体" w:eastAsia="宋体" w:cs="宋体"/>
          <w:b/>
          <w:bCs/>
          <w:sz w:val="21"/>
          <w:szCs w:val="21"/>
        </w:rPr>
        <w:t>（1） 应收款项融资分类列示</w:t>
      </w:r>
      <w:bookmarkEnd w:id="17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7,878,465.02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14,258,718.27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7,878,465.02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14,258,718.27</w:t>
            </w:r>
          </w:p>
        </w:tc>
      </w:tr>
    </w:tbl>
    <w:p>
      <w:pPr>
        <w:keepNext/>
        <w:keepLines/>
        <w:spacing w:before="300" w:after="300" w:line="280" w:lineRule="exact"/>
        <w:jc w:val="left"/>
        <w:outlineLvl w:val="3"/>
        <w:rPr>
          <w:rFonts w:ascii="宋体" w:hAnsi="宋体" w:eastAsia="宋体" w:cs="宋体"/>
          <w:b/>
          <w:bCs/>
          <w:sz w:val="21"/>
          <w:szCs w:val="21"/>
        </w:rPr>
      </w:pPr>
      <w:bookmarkStart w:id="175" w:name="_Toc989064"/>
      <w:r>
        <w:rPr>
          <w:rFonts w:ascii="宋体" w:hAnsi="宋体" w:eastAsia="宋体" w:cs="宋体"/>
          <w:b/>
          <w:bCs/>
          <w:sz w:val="21"/>
          <w:szCs w:val="21"/>
        </w:rPr>
        <w:t>（2） 期末公司已背书或贴现且在资产负债表日尚未到期的应收款项融资</w:t>
      </w:r>
      <w:bookmarkEnd w:id="17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36,628,765.92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36,628,765.92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tbl>
      <w:tblPr>
        <w:tblStyle w:val="3"/>
        <w:tblpPr w:leftFromText="180" w:rightFromText="180" w:vertAnchor="text" w:horzAnchor="page" w:tblpX="1064" w:tblpY="559"/>
        <w:tblOverlap w:val="never"/>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5"/>
        <w:gridCol w:w="1612"/>
        <w:gridCol w:w="1472"/>
        <w:gridCol w:w="1439"/>
        <w:gridCol w:w="813"/>
        <w:gridCol w:w="1275"/>
        <w:gridCol w:w="1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176" w:name="_Toc989065"/>
            <w:r>
              <w:rPr>
                <w:rFonts w:hint="eastAsia" w:ascii="宋体" w:hAnsi="宋体" w:eastAsia="宋体" w:cs="宋体"/>
                <w:i w:val="0"/>
                <w:iCs w:val="0"/>
                <w:color w:val="000000"/>
                <w:kern w:val="0"/>
                <w:sz w:val="18"/>
                <w:szCs w:val="18"/>
                <w:u w:val="none"/>
                <w:lang w:val="en-US" w:eastAsia="zh-CN" w:bidi="ar"/>
              </w:rPr>
              <w:t>项目</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上年年末余额</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本期新增</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本期终止确认</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其他变动</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期末余额</w:t>
            </w:r>
          </w:p>
        </w:tc>
        <w:tc>
          <w:tcPr>
            <w:tcW w:w="1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累计在其他综合收益中确认的损失准备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应收票据</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14,258,718.27</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49,149,051.20</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55,529,304.45</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7,878,465.02</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14,258,718.27</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49,149,051.20</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55,529,304.45</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7,878,465.02</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bl>
    <w:p>
      <w:pPr>
        <w:keepNext/>
        <w:keepLines/>
        <w:spacing w:before="300" w:after="300" w:line="280" w:lineRule="exact"/>
        <w:jc w:val="left"/>
        <w:outlineLvl w:val="3"/>
        <w:rPr>
          <w:rFonts w:ascii="宋体" w:hAnsi="宋体" w:eastAsia="宋体" w:cs="宋体"/>
          <w:b/>
          <w:bCs/>
          <w:sz w:val="21"/>
          <w:szCs w:val="21"/>
        </w:rPr>
      </w:pPr>
      <w:r>
        <w:rPr>
          <w:rFonts w:ascii="宋体" w:hAnsi="宋体" w:eastAsia="宋体" w:cs="宋体"/>
          <w:b/>
          <w:bCs/>
          <w:sz w:val="21"/>
          <w:szCs w:val="21"/>
        </w:rPr>
        <w:t>（3） 应收款项融资本期增减变动及公允价值变动情况</w:t>
      </w:r>
      <w:bookmarkEnd w:id="176"/>
    </w:p>
    <w:p>
      <w:pPr>
        <w:keepNext/>
        <w:keepLines/>
        <w:spacing w:before="300" w:after="300" w:line="280" w:lineRule="exact"/>
        <w:jc w:val="left"/>
        <w:outlineLvl w:val="3"/>
        <w:rPr>
          <w:rFonts w:ascii="宋体" w:hAnsi="宋体" w:eastAsia="宋体" w:cs="宋体"/>
          <w:b/>
          <w:bCs/>
          <w:sz w:val="21"/>
          <w:szCs w:val="21"/>
        </w:rPr>
      </w:pPr>
      <w:bookmarkStart w:id="177" w:name="_Toc989066"/>
      <w:r>
        <w:rPr>
          <w:rFonts w:ascii="宋体" w:hAnsi="宋体" w:eastAsia="宋体" w:cs="宋体"/>
          <w:b/>
          <w:bCs/>
          <w:sz w:val="21"/>
          <w:szCs w:val="21"/>
        </w:rPr>
        <w:t>（4） 其他说明</w:t>
      </w:r>
      <w:bookmarkEnd w:id="177"/>
    </w:p>
    <w:p>
      <w:pPr>
        <w:keepNext/>
        <w:keepLines/>
        <w:spacing w:before="300" w:after="300" w:line="280" w:lineRule="exact"/>
        <w:jc w:val="left"/>
        <w:outlineLvl w:val="2"/>
        <w:rPr>
          <w:rFonts w:ascii="宋体" w:hAnsi="宋体" w:eastAsia="宋体" w:cs="宋体"/>
          <w:b/>
          <w:bCs/>
          <w:sz w:val="21"/>
          <w:szCs w:val="21"/>
        </w:rPr>
      </w:pPr>
      <w:bookmarkStart w:id="178" w:name="_Toc989067"/>
      <w:r>
        <w:rPr>
          <w:rFonts w:ascii="宋体" w:hAnsi="宋体" w:eastAsia="宋体" w:cs="宋体"/>
          <w:b/>
          <w:bCs/>
          <w:sz w:val="21"/>
          <w:szCs w:val="21"/>
        </w:rPr>
        <w:t>6、其他应收款</w:t>
      </w:r>
      <w:bookmarkEnd w:id="17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2,325,922.44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1,047,840.56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2,325,922.44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1,047,840.56</w:t>
            </w:r>
          </w:p>
        </w:tc>
      </w:tr>
    </w:tbl>
    <w:p>
      <w:pPr>
        <w:keepNext/>
        <w:keepLines/>
        <w:spacing w:before="300" w:after="300" w:line="280" w:lineRule="exact"/>
        <w:jc w:val="left"/>
        <w:outlineLvl w:val="3"/>
        <w:rPr>
          <w:rFonts w:ascii="宋体" w:hAnsi="宋体" w:eastAsia="宋体" w:cs="宋体"/>
          <w:b/>
          <w:bCs/>
          <w:sz w:val="21"/>
          <w:szCs w:val="21"/>
        </w:rPr>
      </w:pPr>
      <w:bookmarkStart w:id="179" w:name="_Toc989068"/>
      <w:r>
        <w:rPr>
          <w:rFonts w:ascii="宋体" w:hAnsi="宋体" w:eastAsia="宋体" w:cs="宋体"/>
          <w:b/>
          <w:bCs/>
          <w:sz w:val="21"/>
          <w:szCs w:val="21"/>
        </w:rPr>
        <w:t>（1） 其他应收款</w:t>
      </w:r>
      <w:bookmarkEnd w:id="179"/>
    </w:p>
    <w:p>
      <w:pPr>
        <w:keepNext/>
        <w:keepLines/>
        <w:spacing w:before="300" w:after="300" w:line="280" w:lineRule="exact"/>
        <w:jc w:val="left"/>
        <w:outlineLvl w:val="4"/>
        <w:rPr>
          <w:rFonts w:ascii="宋体" w:hAnsi="宋体" w:eastAsia="宋体" w:cs="宋体"/>
          <w:b/>
          <w:bCs/>
          <w:sz w:val="18"/>
          <w:szCs w:val="18"/>
        </w:rPr>
      </w:pPr>
      <w:bookmarkStart w:id="180" w:name="_Toc989069"/>
      <w:r>
        <w:rPr>
          <w:rFonts w:ascii="宋体" w:hAnsi="宋体" w:eastAsia="宋体" w:cs="宋体"/>
          <w:b/>
          <w:bCs/>
          <w:sz w:val="18"/>
          <w:szCs w:val="18"/>
        </w:rPr>
        <w:t>1） 其他应收款按款项性质分类情况</w:t>
      </w:r>
      <w:bookmarkEnd w:id="1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3,919,497.03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3,970,419.62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209,735.00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1,745,273.52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506,411.12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5,874,505.55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4,516,830.74</w:t>
            </w:r>
          </w:p>
        </w:tc>
      </w:tr>
    </w:tbl>
    <w:p>
      <w:pPr>
        <w:keepNext/>
        <w:keepLines/>
        <w:spacing w:before="300" w:after="300" w:line="280" w:lineRule="exact"/>
        <w:jc w:val="left"/>
        <w:outlineLvl w:val="4"/>
        <w:rPr>
          <w:rFonts w:ascii="宋体" w:hAnsi="宋体" w:eastAsia="宋体" w:cs="宋体"/>
          <w:b/>
          <w:bCs/>
          <w:sz w:val="18"/>
          <w:szCs w:val="18"/>
        </w:rPr>
      </w:pPr>
      <w:bookmarkStart w:id="181" w:name="_Toc989070"/>
      <w:r>
        <w:rPr>
          <w:rFonts w:ascii="宋体" w:hAnsi="宋体" w:eastAsia="宋体" w:cs="宋体"/>
          <w:b/>
          <w:bCs/>
          <w:sz w:val="18"/>
          <w:szCs w:val="18"/>
        </w:rPr>
        <w:t>2） 按账龄披露</w:t>
      </w:r>
      <w:bookmarkEnd w:id="181"/>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2,290,881.79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1,035,218.73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915,242.00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813,430.25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2,658,181.76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2,657,981.76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141,172.02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126,132.02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2,492,049.74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2,491,849.74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5,874,505.55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4,516,830.74</w:t>
            </w:r>
          </w:p>
        </w:tc>
      </w:tr>
    </w:tbl>
    <w:p>
      <w:pPr>
        <w:keepNext/>
        <w:keepLines/>
        <w:spacing w:before="300" w:after="300" w:line="280" w:lineRule="exact"/>
        <w:jc w:val="left"/>
        <w:outlineLvl w:val="4"/>
        <w:rPr>
          <w:rFonts w:ascii="宋体" w:hAnsi="宋体" w:eastAsia="宋体" w:cs="宋体"/>
          <w:b/>
          <w:bCs/>
          <w:sz w:val="18"/>
          <w:szCs w:val="18"/>
        </w:rPr>
      </w:pPr>
      <w:bookmarkStart w:id="182" w:name="_Toc989071"/>
      <w:r>
        <w:rPr>
          <w:rFonts w:ascii="宋体" w:hAnsi="宋体" w:eastAsia="宋体" w:cs="宋体"/>
          <w:b/>
          <w:bCs/>
          <w:sz w:val="18"/>
          <w:szCs w:val="18"/>
        </w:rPr>
        <w:t>3） 按坏账计提方法分类披露</w:t>
      </w:r>
      <w:bookmarkEnd w:id="182"/>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3,856,036.84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1,530,114.40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2,325,922.44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2,498,362.03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55.31%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1,450,521.47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1,047,840.56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5,874,505.55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3,548,583.11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2,325,922.44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4,516,830.74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3,468,990.18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1,047,840.56</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按单项计提坏账准备类别名称：2,018,468.71元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田海鹏</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1,206,213.71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1,206,213.71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1,206,213.71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1,206,213.71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按组合计提坏账准备类别名称：1,530,114.40元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2,290,281.79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114,514.10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103,587.00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10,358.70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57,852.90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28,926.45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1,364,315.15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1,364,315.15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3,856,036.84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1,530,114.40</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0" w:after="0" w:line="240" w:lineRule="exact"/>
        <w:jc w:val="left"/>
        <w:rPr>
          <w:rFonts w:ascii="宋体" w:hAnsi="宋体" w:eastAsia="宋体" w:cs="宋体"/>
          <w:sz w:val="18"/>
          <w:szCs w:val="18"/>
        </w:rPr>
      </w:pPr>
      <w:r>
        <w:rPr>
          <w:rFonts w:ascii="宋体" w:hAnsi="宋体" w:eastAsia="宋体" w:cs="宋体"/>
          <w:sz w:val="18"/>
          <w:szCs w:val="18"/>
        </w:rPr>
        <w:t>按预期信用损失一般模型计提坏账准备：</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2024年1月1日余额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133,985.07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3,335,005.11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3,468,990.18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79,592.93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79,592.93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2024年6月30日余额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213,578.00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3,335,005.11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3,548,583.11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各阶段划分依据和坏账准备计提比例</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4"/>
        <w:rPr>
          <w:rFonts w:ascii="宋体" w:hAnsi="宋体" w:eastAsia="宋体" w:cs="宋体"/>
          <w:b/>
          <w:bCs/>
          <w:sz w:val="18"/>
          <w:szCs w:val="18"/>
        </w:rPr>
      </w:pPr>
      <w:bookmarkStart w:id="183" w:name="_Toc989072"/>
      <w:r>
        <w:rPr>
          <w:rFonts w:ascii="宋体" w:hAnsi="宋体" w:eastAsia="宋体" w:cs="宋体"/>
          <w:b/>
          <w:bCs/>
          <w:sz w:val="18"/>
          <w:szCs w:val="18"/>
        </w:rPr>
        <w:t>4） 本期计提、收回或转回的坏账准备情况</w:t>
      </w:r>
      <w:bookmarkEnd w:id="183"/>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1,450,521.47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79,592.93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1,530,114.40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3,468,990.18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79,592.93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3,548,583.11</w:t>
            </w:r>
          </w:p>
        </w:tc>
      </w:tr>
    </w:tbl>
    <w:p>
      <w:pPr>
        <w:spacing w:before="100" w:after="100" w:line="0" w:lineRule="exact"/>
        <w:jc w:val="left"/>
      </w:pP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确定原坏账准备计提比例的依据及其合理性</w:t>
            </w:r>
          </w:p>
        </w:tc>
      </w:tr>
    </w:tbl>
    <w:p>
      <w:pPr>
        <w:spacing w:before="100" w:after="100" w:line="0" w:lineRule="exact"/>
        <w:jc w:val="left"/>
      </w:pPr>
    </w:p>
    <w:p>
      <w:pPr>
        <w:keepNext/>
        <w:keepLines/>
        <w:spacing w:before="300" w:after="300" w:line="280" w:lineRule="exact"/>
        <w:jc w:val="left"/>
        <w:outlineLvl w:val="4"/>
        <w:rPr>
          <w:rFonts w:ascii="宋体" w:hAnsi="宋体" w:eastAsia="宋体" w:cs="宋体"/>
          <w:b/>
          <w:bCs/>
          <w:sz w:val="18"/>
          <w:szCs w:val="18"/>
        </w:rPr>
      </w:pPr>
      <w:bookmarkStart w:id="184" w:name="_Toc989073"/>
      <w:r>
        <w:rPr>
          <w:rFonts w:ascii="宋体" w:hAnsi="宋体" w:eastAsia="宋体" w:cs="宋体"/>
          <w:b/>
          <w:bCs/>
          <w:sz w:val="18"/>
          <w:szCs w:val="18"/>
        </w:rPr>
        <w:t>5） 本期实际核销的其他应收款情况</w:t>
      </w:r>
      <w:bookmarkEnd w:id="18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keepNext/>
        <w:keepLines/>
        <w:spacing w:before="300" w:after="300" w:line="280" w:lineRule="exact"/>
        <w:jc w:val="left"/>
        <w:outlineLvl w:val="4"/>
        <w:rPr>
          <w:rFonts w:ascii="宋体" w:hAnsi="宋体" w:eastAsia="宋体" w:cs="宋体"/>
          <w:b/>
          <w:bCs/>
          <w:sz w:val="18"/>
          <w:szCs w:val="18"/>
        </w:rPr>
      </w:pPr>
      <w:bookmarkStart w:id="185" w:name="_Toc989074"/>
      <w:r>
        <w:rPr>
          <w:rFonts w:ascii="宋体" w:hAnsi="宋体" w:eastAsia="宋体" w:cs="宋体"/>
          <w:b/>
          <w:bCs/>
          <w:sz w:val="18"/>
          <w:szCs w:val="18"/>
        </w:rPr>
        <w:t>6） 按欠款方归集的期末余额前五名的其他应收款情况</w:t>
      </w:r>
      <w:bookmarkEnd w:id="1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上海雍丰国际贸易有限公司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田海鹏</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长沙怡和有色新金属有限公司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宝鸡市天河钛业有限公司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2,857,325.40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2,857,325.40</w:t>
            </w:r>
          </w:p>
        </w:tc>
      </w:tr>
    </w:tbl>
    <w:p>
      <w:pPr>
        <w:keepNext/>
        <w:keepLines/>
        <w:spacing w:before="300" w:after="300" w:line="280" w:lineRule="exact"/>
        <w:jc w:val="left"/>
        <w:outlineLvl w:val="4"/>
        <w:rPr>
          <w:rFonts w:ascii="宋体" w:hAnsi="宋体" w:eastAsia="宋体" w:cs="宋体"/>
          <w:b/>
          <w:bCs/>
          <w:sz w:val="21"/>
          <w:szCs w:val="21"/>
        </w:rPr>
      </w:pPr>
      <w:bookmarkStart w:id="186" w:name="_Toc989075"/>
      <w:r>
        <w:rPr>
          <w:rFonts w:ascii="宋体" w:hAnsi="宋体" w:eastAsia="宋体" w:cs="宋体"/>
          <w:b/>
          <w:bCs/>
          <w:sz w:val="21"/>
          <w:szCs w:val="21"/>
        </w:rPr>
        <w:t>7） 因资金集中管理而列报于其他应收款</w:t>
      </w:r>
      <w:bookmarkEnd w:id="1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87" w:name="_Toc989076"/>
      <w:r>
        <w:rPr>
          <w:rFonts w:ascii="宋体" w:hAnsi="宋体" w:eastAsia="宋体" w:cs="宋体"/>
          <w:b/>
          <w:bCs/>
          <w:sz w:val="21"/>
          <w:szCs w:val="21"/>
        </w:rPr>
        <w:t>7、预付款项</w:t>
      </w:r>
      <w:bookmarkEnd w:id="187"/>
    </w:p>
    <w:p>
      <w:pPr>
        <w:keepNext/>
        <w:keepLines/>
        <w:spacing w:before="300" w:after="300" w:line="280" w:lineRule="exact"/>
        <w:jc w:val="left"/>
        <w:outlineLvl w:val="3"/>
        <w:rPr>
          <w:rFonts w:ascii="宋体" w:hAnsi="宋体" w:eastAsia="宋体" w:cs="宋体"/>
          <w:b/>
          <w:bCs/>
          <w:sz w:val="21"/>
          <w:szCs w:val="21"/>
        </w:rPr>
      </w:pPr>
      <w:bookmarkStart w:id="188" w:name="_Toc989077"/>
      <w:r>
        <w:rPr>
          <w:rFonts w:ascii="宋体" w:hAnsi="宋体" w:eastAsia="宋体" w:cs="宋体"/>
          <w:b/>
          <w:bCs/>
          <w:sz w:val="21"/>
          <w:szCs w:val="21"/>
        </w:rPr>
        <w:t>（1） 预付款项按账龄列示</w:t>
      </w:r>
      <w:bookmarkEnd w:id="18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15,770,981.54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9,941,837.02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68,754.82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617,222.25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18,879.40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15,845,436.36</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10,577,938.67</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账龄超过1年且金额重要的预付款项未及时结算原因的说明：</w:t>
      </w:r>
    </w:p>
    <w:p>
      <w:pPr>
        <w:keepNext/>
        <w:keepLines/>
        <w:spacing w:before="300" w:after="300" w:line="280" w:lineRule="exact"/>
        <w:jc w:val="left"/>
        <w:outlineLvl w:val="3"/>
        <w:rPr>
          <w:rFonts w:ascii="宋体" w:hAnsi="宋体" w:eastAsia="宋体" w:cs="宋体"/>
          <w:b/>
          <w:bCs/>
          <w:sz w:val="21"/>
          <w:szCs w:val="21"/>
        </w:rPr>
      </w:pPr>
      <w:bookmarkStart w:id="189" w:name="_Toc989078"/>
      <w:r>
        <w:rPr>
          <w:rFonts w:ascii="宋体" w:hAnsi="宋体" w:eastAsia="宋体" w:cs="宋体"/>
          <w:b/>
          <w:bCs/>
          <w:sz w:val="21"/>
          <w:szCs w:val="21"/>
        </w:rPr>
        <w:t>（2） 按预付对象归集的期末余额前五名的预付款情况</w:t>
      </w:r>
      <w:bookmarkEnd w:id="189"/>
    </w:p>
    <w:tbl>
      <w:tblPr>
        <w:tblStyle w:val="3"/>
        <w:tblW w:w="92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170"/>
        <w:gridCol w:w="2258"/>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预付对象</w:t>
            </w:r>
          </w:p>
        </w:tc>
        <w:tc>
          <w:tcPr>
            <w:tcW w:w="2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账面余额 </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占预付款项期末余额合计数的比例（%）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国网湖南省电力有限公司长沙市湘江新区供电分公司</w:t>
            </w:r>
          </w:p>
        </w:tc>
        <w:tc>
          <w:tcPr>
            <w:tcW w:w="2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7,110,105.56 </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44.87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太原市佳龙祥经贸有限公司</w:t>
            </w:r>
          </w:p>
        </w:tc>
        <w:tc>
          <w:tcPr>
            <w:tcW w:w="2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822,145.50 </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5.19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中国石化销售股份有限公司湖南长沙石油分公司</w:t>
            </w:r>
          </w:p>
        </w:tc>
        <w:tc>
          <w:tcPr>
            <w:tcW w:w="2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747,554.72 </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北京复兴科创信息工程咨询有限公司</w:t>
            </w:r>
          </w:p>
        </w:tc>
        <w:tc>
          <w:tcPr>
            <w:tcW w:w="2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670,000.00 </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西安西炉特种电炉有限公司</w:t>
            </w:r>
          </w:p>
        </w:tc>
        <w:tc>
          <w:tcPr>
            <w:tcW w:w="2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588,000.00 </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9,937,805.78 </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62.72 </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0" w:name="_Toc989079"/>
      <w:r>
        <w:rPr>
          <w:rFonts w:ascii="宋体" w:hAnsi="宋体" w:eastAsia="宋体" w:cs="宋体"/>
          <w:b/>
          <w:bCs/>
          <w:sz w:val="21"/>
          <w:szCs w:val="21"/>
        </w:rPr>
        <w:t>8、存货</w:t>
      </w:r>
      <w:bookmarkEnd w:id="190"/>
    </w:p>
    <w:p>
      <w:pPr>
        <w:spacing w:before="0" w:after="0" w:line="240" w:lineRule="exact"/>
        <w:jc w:val="left"/>
        <w:rPr>
          <w:rFonts w:ascii="宋体" w:hAnsi="宋体" w:eastAsia="宋体" w:cs="宋体"/>
          <w:sz w:val="18"/>
          <w:szCs w:val="18"/>
        </w:rPr>
      </w:pPr>
      <w:r>
        <w:rPr>
          <w:rFonts w:ascii="宋体" w:hAnsi="宋体" w:eastAsia="宋体" w:cs="宋体"/>
          <w:sz w:val="18"/>
          <w:szCs w:val="18"/>
        </w:rPr>
        <w:t>公司是否需要遵守房地产行业的披露要求</w:t>
      </w:r>
    </w:p>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21"/>
          <w:szCs w:val="21"/>
        </w:rPr>
      </w:pPr>
      <w:bookmarkStart w:id="191" w:name="_Toc989080"/>
      <w:r>
        <w:rPr>
          <w:rFonts w:ascii="宋体" w:hAnsi="宋体" w:eastAsia="宋体" w:cs="宋体"/>
          <w:b/>
          <w:bCs/>
          <w:sz w:val="21"/>
          <w:szCs w:val="21"/>
        </w:rPr>
        <w:t>（1） 存货分类</w:t>
      </w:r>
      <w:bookmarkEnd w:id="1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167,425,750.27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16,081,073.39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151,344,676.88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166,210,843.66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16,081,073.39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150,129,770.27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194,330,165.07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28,012,049.35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166,318,115.72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163,945,213.59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28,012,049.35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135,933,164.24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255,583,638.90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28,780,234.50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226,803,404.40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240,987,543.01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28,780,234.50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212,207,308.51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10,178,055.13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10,178,055.13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11,466,182.69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11,466,182.69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46,909,044.81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12,523,249.46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34,385,795.35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43,092,777.86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12,523,249.46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30,569,528.40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5,295,055.88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1,854,244.84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3,440,811.04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6,478,428.06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1,854,244.84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4,624,183.22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679,721,710.06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87,250,851.54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592,470,858.52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632,180,988.87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87,250,851.54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544,930,137.33</w:t>
            </w:r>
          </w:p>
        </w:tc>
      </w:tr>
    </w:tbl>
    <w:p>
      <w:pPr>
        <w:keepNext/>
        <w:keepLines/>
        <w:spacing w:before="300" w:after="300" w:line="280" w:lineRule="exact"/>
        <w:jc w:val="left"/>
        <w:outlineLvl w:val="3"/>
        <w:rPr>
          <w:rFonts w:ascii="宋体" w:hAnsi="宋体" w:eastAsia="宋体" w:cs="宋体"/>
          <w:b/>
          <w:bCs/>
          <w:sz w:val="21"/>
          <w:szCs w:val="21"/>
        </w:rPr>
      </w:pPr>
      <w:bookmarkStart w:id="192" w:name="_Toc989081"/>
      <w:r>
        <w:rPr>
          <w:rFonts w:ascii="宋体" w:hAnsi="宋体" w:eastAsia="宋体" w:cs="宋体"/>
          <w:b/>
          <w:bCs/>
          <w:sz w:val="21"/>
          <w:szCs w:val="21"/>
        </w:rPr>
        <w:t>（2） 存货跌价准备和合同履约成本减值准备</w:t>
      </w:r>
      <w:bookmarkEnd w:id="1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690"/>
        <w:gridCol w:w="1064"/>
        <w:gridCol w:w="1377"/>
        <w:gridCol w:w="1377"/>
        <w:gridCol w:w="1222"/>
        <w:gridCol w:w="15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9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44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259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53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9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转回或转销</w:t>
            </w:r>
          </w:p>
        </w:tc>
        <w:tc>
          <w:tcPr>
            <w:tcW w:w="122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53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6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16,081,073.39</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16,081,073.39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6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28,012,049.35</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28,012,049.35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6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28,780,234.50</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28,780,234.50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6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12,523,249.46</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12,523,249.46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6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1,854,244.84</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1,854,244.84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87,250,851.54</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87,250,851.54</w:t>
            </w:r>
          </w:p>
        </w:tc>
      </w:tr>
    </w:tbl>
    <w:p>
      <w:pPr>
        <w:pStyle w:val="2"/>
        <w:keepNext w:val="0"/>
        <w:keepLines w:val="0"/>
        <w:widowControl/>
        <w:suppressLineNumbers w:val="0"/>
        <w:spacing w:before="100" w:beforeAutospacing="0" w:after="100" w:afterAutospacing="0"/>
        <w:ind w:left="0" w:right="0"/>
        <w:rPr>
          <w:rFonts w:hint="default" w:ascii="Times New Roman" w:hAnsi="Times New Roman" w:cs="Times New Roman"/>
          <w:sz w:val="24"/>
          <w:szCs w:val="24"/>
        </w:rPr>
      </w:pPr>
      <w:r>
        <w:rPr>
          <w:rFonts w:hint="eastAsia" w:ascii="宋体" w:hAnsi="宋体" w:eastAsia="宋体" w:cs="宋体"/>
          <w:color w:val="000000"/>
          <w:sz w:val="21"/>
          <w:szCs w:val="21"/>
        </w:rPr>
        <w:t>本公司存货资产负债表日按成本与可变现净值孰低计量，当存货成本低于可变现净值时，存货按成本计量；当存货成本高于可变现净值时，存货按可变现净值计量，同时按照成本高于可变现净值的差额计提存货跌价准备，计入当期损益。</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按组合计提存货跌价准备</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组合名称</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跌价准备计提比例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按组合计提存货跌价准备的计提标准</w:t>
      </w:r>
    </w:p>
    <w:p>
      <w:pPr>
        <w:keepNext/>
        <w:keepLines/>
        <w:spacing w:before="300" w:after="300" w:line="280" w:lineRule="exact"/>
        <w:jc w:val="left"/>
        <w:outlineLvl w:val="2"/>
        <w:rPr>
          <w:rFonts w:ascii="宋体" w:hAnsi="宋体" w:eastAsia="宋体" w:cs="宋体"/>
          <w:b/>
          <w:bCs/>
          <w:sz w:val="21"/>
          <w:szCs w:val="21"/>
        </w:rPr>
      </w:pPr>
      <w:bookmarkStart w:id="193" w:name="_Toc989082"/>
      <w:r>
        <w:rPr>
          <w:rFonts w:ascii="宋体" w:hAnsi="宋体" w:eastAsia="宋体" w:cs="宋体"/>
          <w:b/>
          <w:bCs/>
          <w:sz w:val="21"/>
          <w:szCs w:val="21"/>
        </w:rPr>
        <w:t>9、一年内到期的非流动资产</w:t>
      </w:r>
      <w:bookmarkEnd w:id="1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21"/>
          <w:szCs w:val="21"/>
        </w:rPr>
      </w:pPr>
      <w:bookmarkStart w:id="194" w:name="_Toc989083"/>
      <w:r>
        <w:rPr>
          <w:rFonts w:ascii="宋体" w:hAnsi="宋体" w:eastAsia="宋体" w:cs="宋体"/>
          <w:b/>
          <w:bCs/>
          <w:sz w:val="21"/>
          <w:szCs w:val="21"/>
        </w:rPr>
        <w:t>（1） 一年内到期的债权投资</w:t>
      </w:r>
      <w:bookmarkEnd w:id="19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95" w:name="_Toc989084"/>
      <w:r>
        <w:rPr>
          <w:rFonts w:ascii="宋体" w:hAnsi="宋体" w:eastAsia="宋体" w:cs="宋体"/>
          <w:b/>
          <w:bCs/>
          <w:sz w:val="21"/>
          <w:szCs w:val="21"/>
        </w:rPr>
        <w:t>（2） 一年内到期的其他债权投资</w:t>
      </w:r>
      <w:bookmarkEnd w:id="19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96" w:name="_Toc989085"/>
      <w:r>
        <w:rPr>
          <w:rFonts w:ascii="宋体" w:hAnsi="宋体" w:eastAsia="宋体" w:cs="宋体"/>
          <w:b/>
          <w:bCs/>
          <w:sz w:val="21"/>
          <w:szCs w:val="21"/>
        </w:rPr>
        <w:t>10、其他流动资产</w:t>
      </w:r>
      <w:bookmarkEnd w:id="1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待抵扣增值税进项税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1,300,327.90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7,906,608.06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预缴企业所得税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469,288.55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691,653.06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待认证进项税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73,717.79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266,296.45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预提通知存款利息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305,986.73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218,750.00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2,149,320.97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9,083,307.57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7" w:name="_Toc989086"/>
      <w:r>
        <w:rPr>
          <w:rFonts w:ascii="宋体" w:hAnsi="宋体" w:eastAsia="宋体" w:cs="宋体"/>
          <w:b/>
          <w:bCs/>
          <w:sz w:val="21"/>
          <w:szCs w:val="21"/>
        </w:rPr>
        <w:t>11、其他权益工具投资</w:t>
      </w:r>
      <w:bookmarkEnd w:id="19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5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97"/>
        <w:gridCol w:w="1071"/>
        <w:gridCol w:w="850"/>
        <w:gridCol w:w="780"/>
        <w:gridCol w:w="923"/>
        <w:gridCol w:w="1071"/>
        <w:gridCol w:w="990"/>
        <w:gridCol w:w="975"/>
        <w:gridCol w:w="13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本期计入其他综合收益的利得</w:t>
            </w:r>
          </w:p>
        </w:tc>
        <w:tc>
          <w:tcPr>
            <w:tcW w:w="7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本期计入其他综合收益的损失</w:t>
            </w:r>
          </w:p>
        </w:tc>
        <w:tc>
          <w:tcPr>
            <w:tcW w:w="92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本期末累计计入其他综合收益的利得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本期末累计计入其他综合收益的损失</w:t>
            </w:r>
          </w:p>
        </w:tc>
        <w:tc>
          <w:tcPr>
            <w:tcW w:w="9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本期确认的股利收入</w:t>
            </w:r>
          </w:p>
        </w:tc>
        <w:tc>
          <w:tcPr>
            <w:tcW w:w="9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3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湖南沃尔博精密工具有限公司（曾用名：上海钨夫投资管理有限公司）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41,849,364.04</w:t>
            </w:r>
          </w:p>
        </w:tc>
        <w:tc>
          <w:tcPr>
            <w:tcW w:w="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1,511,545.05</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41,849,364.04</w:t>
            </w:r>
          </w:p>
        </w:tc>
        <w:tc>
          <w:tcPr>
            <w:tcW w:w="13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上海海通创新锦程投资管理中心(有限合伙)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30,051,200.00</w:t>
            </w:r>
          </w:p>
        </w:tc>
        <w:tc>
          <w:tcPr>
            <w:tcW w:w="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15,274,171.00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9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20,951,478.00</w:t>
            </w:r>
          </w:p>
        </w:tc>
        <w:tc>
          <w:tcPr>
            <w:tcW w:w="13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深圳富联智能制造产业创新中心有限公司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3,133,559.51</w:t>
            </w:r>
          </w:p>
        </w:tc>
        <w:tc>
          <w:tcPr>
            <w:tcW w:w="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133,559.51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3,133,559.51</w:t>
            </w:r>
          </w:p>
        </w:tc>
        <w:tc>
          <w:tcPr>
            <w:tcW w:w="13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c>
          <w:tcPr>
            <w:tcW w:w="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c>
          <w:tcPr>
            <w:tcW w:w="13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8,532,755.92</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105,034,123.55</w:t>
            </w:r>
          </w:p>
        </w:tc>
        <w:tc>
          <w:tcPr>
            <w:tcW w:w="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15,407,730.51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10,044,300.97</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9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95,934,401.55</w:t>
            </w:r>
          </w:p>
        </w:tc>
        <w:tc>
          <w:tcPr>
            <w:tcW w:w="1339"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本期存在终止确认</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转入留存收益的累计利得</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转入留存收益的累计损失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终止确认的原因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分项披露本期非交易性权益工具投资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22"/>
        <w:gridCol w:w="1425"/>
        <w:gridCol w:w="1425"/>
        <w:gridCol w:w="1410"/>
        <w:gridCol w:w="945"/>
        <w:gridCol w:w="1530"/>
        <w:gridCol w:w="10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2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确认的股利收入</w:t>
            </w:r>
          </w:p>
        </w:tc>
        <w:tc>
          <w:tcPr>
            <w:tcW w:w="1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累计利得</w:t>
            </w:r>
          </w:p>
        </w:tc>
        <w:tc>
          <w:tcPr>
            <w:tcW w:w="1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累计损失</w:t>
            </w:r>
          </w:p>
        </w:tc>
        <w:tc>
          <w:tcPr>
            <w:tcW w:w="9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其他综合收益转入留存收益的金额</w:t>
            </w:r>
          </w:p>
        </w:tc>
        <w:tc>
          <w:tcPr>
            <w:tcW w:w="15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c>
          <w:tcPr>
            <w:tcW w:w="108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湖南沃尔博精密工具有限公司（曾用名：上海钨夫投资管理有限公司）</w:t>
            </w: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1,511,545.05</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0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上海海通创新锦程投资管理中心(有限合伙)</w:t>
            </w: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15,274,171.00</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0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深圳富联智能制造产业创新中心有限公司</w:t>
            </w: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133,559.51</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0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0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博云汽车制动材料投资成本：</w:t>
            </w: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8,532,755.92</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0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8" w:name="_Toc989087"/>
      <w:r>
        <w:rPr>
          <w:rFonts w:ascii="宋体" w:hAnsi="宋体" w:eastAsia="宋体" w:cs="宋体"/>
          <w:b/>
          <w:bCs/>
          <w:sz w:val="21"/>
          <w:szCs w:val="21"/>
        </w:rPr>
        <w:t>12、长期股权投资</w:t>
      </w:r>
      <w:bookmarkEnd w:id="1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-4,241,128.53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10,669,286.20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-4,241,128.53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10,669,286.20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-4,241,128.53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10,669,286.20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可收回金额按公允价值减去处置费用后的净额确定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可收回金额按预计未来现金流量的现值确定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9" w:name="_Toc989088"/>
      <w:r>
        <w:rPr>
          <w:rFonts w:ascii="宋体" w:hAnsi="宋体" w:eastAsia="宋体" w:cs="宋体"/>
          <w:b/>
          <w:bCs/>
          <w:sz w:val="21"/>
          <w:szCs w:val="21"/>
        </w:rPr>
        <w:t>13、固定资产</w:t>
      </w:r>
      <w:bookmarkEnd w:id="1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909,234,177.12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711,815,784.08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909,234,177.12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711,815,784.08</w:t>
            </w:r>
          </w:p>
        </w:tc>
      </w:tr>
    </w:tbl>
    <w:p>
      <w:pPr>
        <w:keepNext/>
        <w:keepLines/>
        <w:spacing w:before="300" w:after="300" w:line="280" w:lineRule="exact"/>
        <w:jc w:val="left"/>
        <w:outlineLvl w:val="3"/>
        <w:rPr>
          <w:rFonts w:ascii="宋体" w:hAnsi="宋体" w:eastAsia="宋体" w:cs="宋体"/>
          <w:b/>
          <w:bCs/>
          <w:sz w:val="21"/>
          <w:szCs w:val="21"/>
        </w:rPr>
      </w:pPr>
      <w:bookmarkStart w:id="200" w:name="_Toc989089"/>
      <w:r>
        <w:rPr>
          <w:rFonts w:ascii="宋体" w:hAnsi="宋体" w:eastAsia="宋体" w:cs="宋体"/>
          <w:b/>
          <w:bCs/>
          <w:sz w:val="21"/>
          <w:szCs w:val="21"/>
        </w:rPr>
        <w:t>（1） 固定资产情况</w:t>
      </w:r>
      <w:bookmarkEnd w:id="2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运输工具</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电子设备及其他</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502,859,204.80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583,124,545.72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3,944,974.17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36,739,511.00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1,126,668,235.69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188,648,643.61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38,739,192.64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4,070.80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2,404,373.15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229,796,280.20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790,178.68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35,926,626.28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4,070.80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1,866,401.48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38,587,277.24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187,858,464.93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2,812,566.36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537,971.67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191,209,002.96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653,244.51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4,810,420.33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402,613.48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3,624,754.94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9,491,033.26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653,244.51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4,810,420.33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402,613.48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3,624,754.94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9,491,033.26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690,854,603.90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617,053,318.03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3,546,431.49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35,519,129.21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1,346,973,482.63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118,710,042.06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261,547,098.70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2,850,788.78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30,862,062.82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413,969,992.36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9,043,654.68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21,284,367.93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90,230.42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2,000,676.83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32,418,929.86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9,043,654.68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21,284,367.93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90,230.42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2,000,676.83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32,418,929.86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635,676.52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4,761,442.08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383,391.94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3,751,565.42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9,532,075.96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635,676.52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4,761,442.08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383,391.94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3,751,565.42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9,532,075.96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127,118,020.22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278,070,024.55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2,557,627.26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29,111,174.23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436,856,846.26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803,428.11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77,082.83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882,459.25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803,428.11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77,082.83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882,459.25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562,933,155.57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338,906,210.65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987,725.25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6,407,085.65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909,234,177.12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383,345,734.63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321,500,364.19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1,093,106.41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5,876,578.85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711,815,784.08</w:t>
            </w:r>
          </w:p>
        </w:tc>
      </w:tr>
    </w:tbl>
    <w:p>
      <w:pPr>
        <w:keepNext/>
        <w:keepLines/>
        <w:spacing w:before="300" w:after="300" w:line="280" w:lineRule="exact"/>
        <w:jc w:val="left"/>
        <w:outlineLvl w:val="3"/>
        <w:rPr>
          <w:rFonts w:ascii="宋体" w:hAnsi="宋体" w:eastAsia="宋体" w:cs="宋体"/>
          <w:b/>
          <w:bCs/>
          <w:sz w:val="21"/>
          <w:szCs w:val="21"/>
        </w:rPr>
      </w:pPr>
      <w:bookmarkStart w:id="201" w:name="_Toc989090"/>
      <w:r>
        <w:rPr>
          <w:rFonts w:ascii="宋体" w:hAnsi="宋体" w:eastAsia="宋体" w:cs="宋体"/>
          <w:b/>
          <w:bCs/>
          <w:sz w:val="21"/>
          <w:szCs w:val="21"/>
        </w:rPr>
        <w:t>（2） 未办妥产权证书的固定资产情况</w:t>
      </w:r>
      <w:bookmarkEnd w:id="20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02" w:name="_Toc989091"/>
      <w:r>
        <w:rPr>
          <w:rFonts w:ascii="宋体" w:hAnsi="宋体" w:eastAsia="宋体" w:cs="宋体"/>
          <w:b/>
          <w:bCs/>
          <w:sz w:val="21"/>
          <w:szCs w:val="21"/>
        </w:rPr>
        <w:t>（3） 固定资产的减值测试情况</w:t>
      </w:r>
      <w:bookmarkEnd w:id="20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03" w:name="_Toc989092"/>
      <w:r>
        <w:rPr>
          <w:rFonts w:ascii="宋体" w:hAnsi="宋体" w:eastAsia="宋体" w:cs="宋体"/>
          <w:b/>
          <w:bCs/>
          <w:sz w:val="21"/>
          <w:szCs w:val="21"/>
        </w:rPr>
        <w:t>（4） 固定资产清理</w:t>
      </w:r>
      <w:bookmarkEnd w:id="20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4" w:name="_Toc989093"/>
      <w:r>
        <w:rPr>
          <w:rFonts w:ascii="宋体" w:hAnsi="宋体" w:eastAsia="宋体" w:cs="宋体"/>
          <w:b/>
          <w:bCs/>
          <w:sz w:val="21"/>
          <w:szCs w:val="21"/>
        </w:rPr>
        <w:t>14、在建工程</w:t>
      </w:r>
      <w:bookmarkEnd w:id="20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9,424,903.89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183,036,596.42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9,424,903.89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183,036,596.42</w:t>
            </w:r>
          </w:p>
        </w:tc>
      </w:tr>
    </w:tbl>
    <w:p>
      <w:pPr>
        <w:keepNext/>
        <w:keepLines/>
        <w:spacing w:before="300" w:after="300" w:line="280" w:lineRule="exact"/>
        <w:jc w:val="left"/>
        <w:outlineLvl w:val="3"/>
        <w:rPr>
          <w:rFonts w:ascii="宋体" w:hAnsi="宋体" w:eastAsia="宋体" w:cs="宋体"/>
          <w:b/>
          <w:bCs/>
          <w:sz w:val="21"/>
          <w:szCs w:val="21"/>
        </w:rPr>
      </w:pPr>
      <w:bookmarkStart w:id="205" w:name="_Toc989094"/>
      <w:r>
        <w:rPr>
          <w:rFonts w:ascii="宋体" w:hAnsi="宋体" w:eastAsia="宋体" w:cs="宋体"/>
          <w:b/>
          <w:bCs/>
          <w:sz w:val="21"/>
          <w:szCs w:val="21"/>
        </w:rPr>
        <w:t>（1） 在建工程情况</w:t>
      </w:r>
      <w:bookmarkEnd w:id="20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博云东方麓谷基地产业化项目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176,167,770.93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176,167,770.93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在安装设备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9,424,903.89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9,424,903.89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6,868,825.49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6,868,825.49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9,424,903.89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9,424,903.89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183,036,596.42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183,036,596.42</w:t>
            </w:r>
          </w:p>
        </w:tc>
      </w:tr>
    </w:tbl>
    <w:p>
      <w:pPr>
        <w:keepNext/>
        <w:keepLines/>
        <w:spacing w:before="300" w:after="300" w:line="280" w:lineRule="exact"/>
        <w:jc w:val="left"/>
        <w:outlineLvl w:val="3"/>
        <w:rPr>
          <w:rFonts w:ascii="宋体" w:hAnsi="宋体" w:eastAsia="宋体" w:cs="宋体"/>
          <w:b/>
          <w:bCs/>
          <w:sz w:val="21"/>
          <w:szCs w:val="21"/>
        </w:rPr>
      </w:pPr>
      <w:bookmarkStart w:id="206" w:name="_Toc989095"/>
      <w:r>
        <w:rPr>
          <w:rFonts w:ascii="宋体" w:hAnsi="宋体" w:eastAsia="宋体" w:cs="宋体"/>
          <w:b/>
          <w:bCs/>
          <w:sz w:val="21"/>
          <w:szCs w:val="21"/>
        </w:rPr>
        <w:t>（2） 重要在建工程项目本期变动情况</w:t>
      </w:r>
      <w:bookmarkEnd w:id="20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博云东方麓谷基地产业化项目-土建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176,167,770.93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11,690,694.00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187,858,464.93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募集资金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176,167,770.93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11,690,694.00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187,858,464.93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207" w:name="_Toc989096"/>
      <w:r>
        <w:rPr>
          <w:rFonts w:ascii="宋体" w:hAnsi="宋体" w:eastAsia="宋体" w:cs="宋体"/>
          <w:b/>
          <w:bCs/>
          <w:sz w:val="21"/>
          <w:szCs w:val="21"/>
        </w:rPr>
        <w:t>（3） 在建工程的减值测试情况</w:t>
      </w:r>
      <w:bookmarkEnd w:id="20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08" w:name="_Toc989097"/>
      <w:r>
        <w:rPr>
          <w:rFonts w:ascii="宋体" w:hAnsi="宋体" w:eastAsia="宋体" w:cs="宋体"/>
          <w:b/>
          <w:bCs/>
          <w:sz w:val="21"/>
          <w:szCs w:val="21"/>
        </w:rPr>
        <w:t>15、无形资产</w:t>
      </w:r>
      <w:bookmarkEnd w:id="208"/>
    </w:p>
    <w:p>
      <w:pPr>
        <w:keepNext/>
        <w:keepLines/>
        <w:spacing w:before="300" w:after="300" w:line="280" w:lineRule="exact"/>
        <w:jc w:val="left"/>
        <w:outlineLvl w:val="3"/>
        <w:rPr>
          <w:rFonts w:ascii="宋体" w:hAnsi="宋体" w:eastAsia="宋体" w:cs="宋体"/>
          <w:b/>
          <w:bCs/>
          <w:sz w:val="21"/>
          <w:szCs w:val="21"/>
        </w:rPr>
      </w:pPr>
      <w:bookmarkStart w:id="209" w:name="_Toc989098"/>
      <w:r>
        <w:rPr>
          <w:rFonts w:ascii="宋体" w:hAnsi="宋体" w:eastAsia="宋体" w:cs="宋体"/>
          <w:b/>
          <w:bCs/>
          <w:sz w:val="21"/>
          <w:szCs w:val="21"/>
        </w:rPr>
        <w:t>（1） 无形资产情况</w:t>
      </w:r>
      <w:bookmarkEnd w:id="20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5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32"/>
        <w:gridCol w:w="1620"/>
        <w:gridCol w:w="615"/>
        <w:gridCol w:w="855"/>
        <w:gridCol w:w="1673"/>
        <w:gridCol w:w="1522"/>
        <w:gridCol w:w="1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6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专利权</w:t>
            </w: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非专利技术</w:t>
            </w: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软件</w:t>
            </w: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专有技术</w:t>
            </w:r>
          </w:p>
        </w:tc>
        <w:tc>
          <w:tcPr>
            <w:tcW w:w="16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200,911,595.79</w:t>
            </w: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18,451,734.08</w:t>
            </w: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229,266,227.55</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448,629,557.42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3,610.62</w:t>
            </w: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637,839.38</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641,450.00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（1）购置</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3,610.62</w:t>
            </w: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3,610.62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（2）内部研发</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637,839.38</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637,839.38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（3）企业合并增加</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（1）处置</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200,911,595.79</w:t>
            </w: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18,455,344.70</w:t>
            </w: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229,904,066.93</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449,271,007.42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二、累计摊销</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31,269,302.93</w:t>
            </w: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4,867,531.53</w:t>
            </w: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151,035,881.10</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187,172,715.56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2,022,551.06</w:t>
            </w: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1,090,281.91</w:t>
            </w: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7,441,670.88</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10,554,503.85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（1）计提</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2,022,551.06</w:t>
            </w: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1,090,281.91</w:t>
            </w: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7,441,670.88</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10,554,503.85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（1）处置</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33,291,853.99</w:t>
            </w: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5,957,813.44</w:t>
            </w: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158,477,551.98</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197,727,219.41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500,683.92</w:t>
            </w: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1,967,332.94</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2,468,016.86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（1）计提</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（1）处置</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500,683.92</w:t>
            </w: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1,967,332.94</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2,468,016.86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167,119,057.88</w:t>
            </w: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12,497,531.26</w:t>
            </w: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69,459,182.01</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249,075,771.15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169,141,608.94</w:t>
            </w:r>
          </w:p>
        </w:tc>
        <w:tc>
          <w:tcPr>
            <w:tcW w:w="6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13,584,202.55</w:t>
            </w:r>
          </w:p>
        </w:tc>
        <w:tc>
          <w:tcPr>
            <w:tcW w:w="15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76,263,013.51</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258,988,825.00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本期末通过公司内部研发形成的无形资产占无形资产余额的比例27.89%</w:t>
      </w:r>
    </w:p>
    <w:p>
      <w:pPr>
        <w:keepNext/>
        <w:keepLines/>
        <w:spacing w:before="300" w:after="300" w:line="280" w:lineRule="exact"/>
        <w:jc w:val="left"/>
        <w:outlineLvl w:val="3"/>
        <w:rPr>
          <w:rFonts w:ascii="宋体" w:hAnsi="宋体" w:eastAsia="宋体" w:cs="宋体"/>
          <w:b/>
          <w:bCs/>
          <w:sz w:val="21"/>
          <w:szCs w:val="21"/>
        </w:rPr>
      </w:pPr>
      <w:bookmarkStart w:id="210" w:name="_Toc989099"/>
      <w:r>
        <w:rPr>
          <w:rFonts w:ascii="宋体" w:hAnsi="宋体" w:eastAsia="宋体" w:cs="宋体"/>
          <w:b/>
          <w:bCs/>
          <w:sz w:val="21"/>
          <w:szCs w:val="21"/>
        </w:rPr>
        <w:t>（2） 无形资产的减值测试情况</w:t>
      </w:r>
      <w:bookmarkEnd w:id="21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11" w:name="_Toc989100"/>
      <w:r>
        <w:rPr>
          <w:rFonts w:ascii="宋体" w:hAnsi="宋体" w:eastAsia="宋体" w:cs="宋体"/>
          <w:b/>
          <w:bCs/>
          <w:sz w:val="21"/>
          <w:szCs w:val="21"/>
        </w:rPr>
        <w:t>16、商誉</w:t>
      </w:r>
      <w:bookmarkEnd w:id="211"/>
    </w:p>
    <w:p>
      <w:pPr>
        <w:keepNext/>
        <w:keepLines/>
        <w:spacing w:before="300" w:after="300" w:line="280" w:lineRule="exact"/>
        <w:jc w:val="left"/>
        <w:outlineLvl w:val="3"/>
        <w:rPr>
          <w:rFonts w:ascii="宋体" w:hAnsi="宋体" w:eastAsia="宋体" w:cs="宋体"/>
          <w:b/>
          <w:bCs/>
          <w:sz w:val="21"/>
          <w:szCs w:val="21"/>
        </w:rPr>
      </w:pPr>
      <w:bookmarkStart w:id="212" w:name="_Toc989101"/>
      <w:r>
        <w:rPr>
          <w:rFonts w:ascii="宋体" w:hAnsi="宋体" w:eastAsia="宋体" w:cs="宋体"/>
          <w:b/>
          <w:bCs/>
          <w:sz w:val="21"/>
          <w:szCs w:val="21"/>
        </w:rPr>
        <w:t>（1） 商誉账面原值</w:t>
      </w:r>
      <w:bookmarkEnd w:id="2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78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62"/>
        <w:gridCol w:w="1525"/>
        <w:gridCol w:w="1229"/>
        <w:gridCol w:w="1081"/>
        <w:gridCol w:w="1377"/>
        <w:gridCol w:w="1058"/>
        <w:gridCol w:w="1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6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52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3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43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75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6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52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企业合并形成的</w:t>
            </w:r>
          </w:p>
        </w:tc>
        <w:tc>
          <w:tcPr>
            <w:tcW w:w="10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0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75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2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6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2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bl>
    <w:p>
      <w:pPr>
        <w:keepNext/>
        <w:keepLines/>
        <w:spacing w:before="300" w:after="300" w:line="280" w:lineRule="exact"/>
        <w:jc w:val="left"/>
        <w:outlineLvl w:val="3"/>
        <w:rPr>
          <w:rFonts w:ascii="宋体" w:hAnsi="宋体" w:eastAsia="宋体" w:cs="宋体"/>
          <w:b/>
          <w:bCs/>
          <w:sz w:val="21"/>
          <w:szCs w:val="21"/>
        </w:rPr>
      </w:pPr>
      <w:bookmarkStart w:id="213" w:name="_Toc989102"/>
      <w:r>
        <w:rPr>
          <w:rFonts w:ascii="宋体" w:hAnsi="宋体" w:eastAsia="宋体" w:cs="宋体"/>
          <w:b/>
          <w:bCs/>
          <w:sz w:val="21"/>
          <w:szCs w:val="21"/>
        </w:rPr>
        <w:t>（2） 商誉减值准备</w:t>
      </w:r>
      <w:bookmarkEnd w:id="2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81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7"/>
        <w:gridCol w:w="1725"/>
        <w:gridCol w:w="1155"/>
        <w:gridCol w:w="945"/>
        <w:gridCol w:w="1377"/>
        <w:gridCol w:w="1128"/>
        <w:gridCol w:w="16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72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10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50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8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2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1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68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7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7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bl>
    <w:p>
      <w:pPr>
        <w:keepNext/>
        <w:keepLines/>
        <w:spacing w:before="300" w:after="300" w:line="280" w:lineRule="exact"/>
        <w:jc w:val="left"/>
        <w:outlineLvl w:val="3"/>
        <w:rPr>
          <w:rFonts w:ascii="宋体" w:hAnsi="宋体" w:eastAsia="宋体" w:cs="宋体"/>
          <w:b/>
          <w:bCs/>
          <w:sz w:val="21"/>
          <w:szCs w:val="21"/>
        </w:rPr>
      </w:pPr>
      <w:bookmarkStart w:id="214" w:name="_Toc989103"/>
      <w:r>
        <w:rPr>
          <w:rFonts w:ascii="宋体" w:hAnsi="宋体" w:eastAsia="宋体" w:cs="宋体"/>
          <w:b/>
          <w:bCs/>
          <w:sz w:val="21"/>
          <w:szCs w:val="21"/>
        </w:rPr>
        <w:t>（3） 商誉所在资产组或资产组组合的相关信息</w:t>
      </w:r>
      <w:bookmarkEnd w:id="214"/>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所属资产组或组合的构成及依据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所属经营分部及依据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是否与以前年度保持一致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资产组或资产组组合发生变化</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变化前的构成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变化后的构成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导致变化的客观事实及依据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15" w:name="_Toc989104"/>
      <w:r>
        <w:rPr>
          <w:rFonts w:ascii="宋体" w:hAnsi="宋体" w:eastAsia="宋体" w:cs="宋体"/>
          <w:b/>
          <w:bCs/>
          <w:sz w:val="21"/>
          <w:szCs w:val="21"/>
        </w:rPr>
        <w:t>（4） 可收回金额的具体确定方法</w:t>
      </w:r>
      <w:bookmarkEnd w:id="215"/>
    </w:p>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可收回金额按公允价值减去处置费用后的净额确定</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可收回金额按预计未来现金流量的现值确定</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pPr>
        <w:keepNext/>
        <w:keepLines/>
        <w:spacing w:before="300" w:after="300" w:line="280" w:lineRule="exact"/>
        <w:jc w:val="left"/>
        <w:outlineLvl w:val="3"/>
        <w:rPr>
          <w:rFonts w:ascii="宋体" w:hAnsi="宋体" w:eastAsia="宋体" w:cs="宋体"/>
          <w:b/>
          <w:bCs/>
          <w:sz w:val="21"/>
          <w:szCs w:val="21"/>
        </w:rPr>
      </w:pPr>
      <w:bookmarkStart w:id="216" w:name="_Toc989105"/>
      <w:r>
        <w:rPr>
          <w:rFonts w:ascii="宋体" w:hAnsi="宋体" w:eastAsia="宋体" w:cs="宋体"/>
          <w:b/>
          <w:bCs/>
          <w:sz w:val="21"/>
          <w:szCs w:val="21"/>
        </w:rPr>
        <w:t>（5） 业绩承诺完成及对应商誉减值情况</w:t>
      </w:r>
      <w:bookmarkEnd w:id="216"/>
    </w:p>
    <w:p>
      <w:pPr>
        <w:spacing w:before="100" w:after="100" w:line="240" w:lineRule="exact"/>
        <w:jc w:val="left"/>
        <w:rPr>
          <w:rFonts w:ascii="宋体" w:hAnsi="宋体" w:eastAsia="宋体" w:cs="宋体"/>
          <w:sz w:val="18"/>
          <w:szCs w:val="18"/>
        </w:rPr>
      </w:pPr>
      <w:r>
        <w:rPr>
          <w:rFonts w:ascii="宋体" w:hAnsi="宋体" w:eastAsia="宋体" w:cs="宋体"/>
          <w:sz w:val="18"/>
          <w:szCs w:val="18"/>
        </w:rPr>
        <w:t>形成商誉时存在业绩承诺且报告期或报告期上一期间处于业绩承诺期内</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7" w:name="_Toc989106"/>
      <w:r>
        <w:rPr>
          <w:rFonts w:ascii="宋体" w:hAnsi="宋体" w:eastAsia="宋体" w:cs="宋体"/>
          <w:b/>
          <w:bCs/>
          <w:sz w:val="21"/>
          <w:szCs w:val="21"/>
        </w:rPr>
        <w:t>17、长期待摊费用</w:t>
      </w:r>
      <w:bookmarkEnd w:id="2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改造维修费等</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6,309,922.00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293,953.76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1,084,549.12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5,519,326.64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6,309,922.00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293,953.76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1,084,549.12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5,519,326.64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8" w:name="_Toc989107"/>
      <w:r>
        <w:rPr>
          <w:rFonts w:ascii="宋体" w:hAnsi="宋体" w:eastAsia="宋体" w:cs="宋体"/>
          <w:b/>
          <w:bCs/>
          <w:sz w:val="21"/>
          <w:szCs w:val="21"/>
        </w:rPr>
        <w:t>18、递延所得税资产/递延所得税负债</w:t>
      </w:r>
      <w:bookmarkEnd w:id="218"/>
    </w:p>
    <w:p>
      <w:pPr>
        <w:keepNext/>
        <w:keepLines/>
        <w:spacing w:before="300" w:after="300" w:line="280" w:lineRule="exact"/>
        <w:jc w:val="left"/>
        <w:outlineLvl w:val="3"/>
        <w:rPr>
          <w:rFonts w:ascii="宋体" w:hAnsi="宋体" w:eastAsia="宋体" w:cs="宋体"/>
          <w:b/>
          <w:bCs/>
          <w:sz w:val="21"/>
          <w:szCs w:val="21"/>
        </w:rPr>
      </w:pPr>
      <w:bookmarkStart w:id="219" w:name="_Toc989108"/>
      <w:r>
        <w:rPr>
          <w:rFonts w:ascii="宋体" w:hAnsi="宋体" w:eastAsia="宋体" w:cs="宋体"/>
          <w:b/>
          <w:bCs/>
          <w:sz w:val="21"/>
          <w:szCs w:val="21"/>
        </w:rPr>
        <w:t>（1） 未经抵销的递延所得税资产</w:t>
      </w:r>
      <w:bookmarkEnd w:id="2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167,890,161.20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25,183,524.18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168,344,317.07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25,251,647.56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公允价值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10,044,301.00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1,506,645.15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10,044,300.97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1,506,645.15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177,934,462.20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26,690,169.33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178,388,618.04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26,758,292.71</w:t>
            </w:r>
          </w:p>
        </w:tc>
      </w:tr>
    </w:tbl>
    <w:p>
      <w:pPr>
        <w:keepNext/>
        <w:keepLines/>
        <w:spacing w:before="300" w:after="300" w:line="280" w:lineRule="exact"/>
        <w:jc w:val="left"/>
        <w:outlineLvl w:val="3"/>
        <w:rPr>
          <w:rFonts w:ascii="宋体" w:hAnsi="宋体" w:eastAsia="宋体" w:cs="宋体"/>
          <w:b/>
          <w:bCs/>
          <w:sz w:val="21"/>
          <w:szCs w:val="21"/>
        </w:rPr>
      </w:pPr>
      <w:bookmarkStart w:id="220" w:name="_Toc989109"/>
      <w:r>
        <w:rPr>
          <w:rFonts w:ascii="宋体" w:hAnsi="宋体" w:eastAsia="宋体" w:cs="宋体"/>
          <w:b/>
          <w:bCs/>
          <w:sz w:val="21"/>
          <w:szCs w:val="21"/>
        </w:rPr>
        <w:t>（2） 未经抵销的递延所得税负债</w:t>
      </w:r>
      <w:bookmarkEnd w:id="2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企业合并资产评估增值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18,838,435.27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2,825,765.29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20,318,961.33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3,047,844.20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公允价值计量</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15,407,730.53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2,311,159.58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15,407,730.51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2,311,159.58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34,246,165.80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5,136,924.87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35,726,691.84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5,359,003.78</w:t>
            </w:r>
          </w:p>
        </w:tc>
      </w:tr>
    </w:tbl>
    <w:p>
      <w:pPr>
        <w:keepNext/>
        <w:keepLines/>
        <w:spacing w:before="300" w:after="300" w:line="280" w:lineRule="exact"/>
        <w:jc w:val="left"/>
        <w:outlineLvl w:val="3"/>
        <w:rPr>
          <w:rFonts w:ascii="宋体" w:hAnsi="宋体" w:eastAsia="宋体" w:cs="宋体"/>
          <w:b/>
          <w:bCs/>
          <w:sz w:val="21"/>
          <w:szCs w:val="21"/>
        </w:rPr>
      </w:pPr>
      <w:bookmarkStart w:id="221" w:name="_Toc989110"/>
      <w:r>
        <w:rPr>
          <w:rFonts w:ascii="宋体" w:hAnsi="宋体" w:eastAsia="宋体" w:cs="宋体"/>
          <w:b/>
          <w:bCs/>
          <w:sz w:val="21"/>
          <w:szCs w:val="21"/>
        </w:rPr>
        <w:t>（3） 以抵销后净额列示的递延所得税资产或负债</w:t>
      </w:r>
      <w:bookmarkEnd w:id="2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26,690,169.33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26,758,292.71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5,136,924.87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5,359,003.78</w:t>
            </w:r>
          </w:p>
        </w:tc>
      </w:tr>
    </w:tbl>
    <w:p>
      <w:pPr>
        <w:keepNext/>
        <w:keepLines/>
        <w:spacing w:before="300" w:after="300" w:line="280" w:lineRule="exact"/>
        <w:jc w:val="left"/>
        <w:outlineLvl w:val="3"/>
        <w:rPr>
          <w:rFonts w:ascii="宋体" w:hAnsi="宋体" w:eastAsia="宋体" w:cs="宋体"/>
          <w:b/>
          <w:bCs/>
          <w:sz w:val="21"/>
          <w:szCs w:val="21"/>
        </w:rPr>
      </w:pPr>
      <w:bookmarkStart w:id="222" w:name="_Toc989111"/>
      <w:r>
        <w:rPr>
          <w:rFonts w:ascii="宋体" w:hAnsi="宋体" w:eastAsia="宋体" w:cs="宋体"/>
          <w:b/>
          <w:bCs/>
          <w:sz w:val="21"/>
          <w:szCs w:val="21"/>
        </w:rPr>
        <w:t>（4） 未确认递延所得税资产明细</w:t>
      </w:r>
      <w:bookmarkEnd w:id="22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176,210,552.99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176,210,552.99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176,210,552.99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176,210,552.99</w:t>
            </w:r>
          </w:p>
        </w:tc>
      </w:tr>
    </w:tbl>
    <w:p>
      <w:pPr>
        <w:keepNext/>
        <w:keepLines/>
        <w:spacing w:before="300" w:after="300" w:line="280" w:lineRule="exact"/>
        <w:jc w:val="left"/>
        <w:outlineLvl w:val="3"/>
        <w:rPr>
          <w:rFonts w:ascii="宋体" w:hAnsi="宋体" w:eastAsia="宋体" w:cs="宋体"/>
          <w:b/>
          <w:bCs/>
          <w:sz w:val="21"/>
          <w:szCs w:val="21"/>
        </w:rPr>
      </w:pPr>
      <w:bookmarkStart w:id="223" w:name="_Toc989112"/>
      <w:r>
        <w:rPr>
          <w:rFonts w:ascii="宋体" w:hAnsi="宋体" w:eastAsia="宋体" w:cs="宋体"/>
          <w:b/>
          <w:bCs/>
          <w:sz w:val="21"/>
          <w:szCs w:val="21"/>
        </w:rPr>
        <w:t>（5） 未确认递延所得税资产的可抵扣亏损将于以下年度到期</w:t>
      </w:r>
      <w:bookmarkEnd w:id="22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2027年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15,381,396.16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15,381,396.16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2028年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17,604,600.09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17,604,600.09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2029年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27,060,727.19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27,060,727.19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2030年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32,039,929.11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32,039,929.11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30,867,289.92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30,867,289.92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30,407,636.86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30,407,636.86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22,848,973.66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22,848,973.66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176,210,552.99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176,210,552.99</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4" w:name="_Toc989113"/>
      <w:r>
        <w:rPr>
          <w:rFonts w:ascii="宋体" w:hAnsi="宋体" w:eastAsia="宋体" w:cs="宋体"/>
          <w:b/>
          <w:bCs/>
          <w:sz w:val="21"/>
          <w:szCs w:val="21"/>
        </w:rPr>
        <w:t>19、其他非流动资产</w:t>
      </w:r>
      <w:bookmarkEnd w:id="2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预付设备及工程款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11,958,919.77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11,958,919.77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17,499,706.11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17,499,706.11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11,958,919.77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11,958,919.77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17,499,706.11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17,499,706.11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5" w:name="_Toc989114"/>
      <w:r>
        <w:rPr>
          <w:rFonts w:ascii="宋体" w:hAnsi="宋体" w:eastAsia="宋体" w:cs="宋体"/>
          <w:b/>
          <w:bCs/>
          <w:sz w:val="21"/>
          <w:szCs w:val="21"/>
        </w:rPr>
        <w:t>20、所有权或使用权受到限制的资产</w:t>
      </w:r>
      <w:bookmarkEnd w:id="2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受限情况</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8,149,228.64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8,149,228.64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银行承兑汇票保证金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23,165,236.26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23,165,236.26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20,883,950.36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20,883,950.36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信用证保证金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23,943,458.33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23,943,458.33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467,688.36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467,688.36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保函保证金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29,033,179.00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29,033,179.00</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47,576,382.95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47,576,382.95</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6" w:name="_Toc989115"/>
      <w:r>
        <w:rPr>
          <w:rFonts w:ascii="宋体" w:hAnsi="宋体" w:eastAsia="宋体" w:cs="宋体"/>
          <w:b/>
          <w:bCs/>
          <w:sz w:val="21"/>
          <w:szCs w:val="21"/>
        </w:rPr>
        <w:t>21、短期借款</w:t>
      </w:r>
      <w:bookmarkEnd w:id="226"/>
    </w:p>
    <w:p>
      <w:pPr>
        <w:keepNext/>
        <w:keepLines/>
        <w:spacing w:before="300" w:after="300" w:line="280" w:lineRule="exact"/>
        <w:jc w:val="left"/>
        <w:outlineLvl w:val="3"/>
        <w:rPr>
          <w:rFonts w:ascii="宋体" w:hAnsi="宋体" w:eastAsia="宋体" w:cs="宋体"/>
          <w:b/>
          <w:bCs/>
          <w:sz w:val="21"/>
          <w:szCs w:val="21"/>
        </w:rPr>
      </w:pPr>
      <w:bookmarkStart w:id="227" w:name="_Toc989116"/>
      <w:r>
        <w:rPr>
          <w:rFonts w:ascii="宋体" w:hAnsi="宋体" w:eastAsia="宋体" w:cs="宋体"/>
          <w:b/>
          <w:bCs/>
          <w:sz w:val="21"/>
          <w:szCs w:val="21"/>
        </w:rPr>
        <w:t>（1） 短期借款分类</w:t>
      </w:r>
      <w:bookmarkEnd w:id="2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60,033,333.33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170,141,666.67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230,175,000.00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短期借款分类的说明：</w:t>
      </w:r>
    </w:p>
    <w:p>
      <w:pPr>
        <w:keepNext/>
        <w:keepLines/>
        <w:spacing w:before="300" w:after="300" w:line="280" w:lineRule="exact"/>
        <w:jc w:val="left"/>
        <w:outlineLvl w:val="2"/>
        <w:rPr>
          <w:rFonts w:ascii="宋体" w:hAnsi="宋体" w:eastAsia="宋体" w:cs="宋体"/>
          <w:b/>
          <w:bCs/>
          <w:sz w:val="21"/>
          <w:szCs w:val="21"/>
        </w:rPr>
      </w:pPr>
      <w:bookmarkStart w:id="228" w:name="_Toc989117"/>
      <w:r>
        <w:rPr>
          <w:rFonts w:ascii="宋体" w:hAnsi="宋体" w:eastAsia="宋体" w:cs="宋体"/>
          <w:b/>
          <w:bCs/>
          <w:sz w:val="21"/>
          <w:szCs w:val="21"/>
        </w:rPr>
        <w:t>22、应付票据</w:t>
      </w:r>
      <w:bookmarkEnd w:id="2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1,339,997.66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15,306,929.43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57,031,905.74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110,126,907.40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58,371,903.40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125,433,836.83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本期末已到期未支付的应付票据总额为0.00元，到期未付的原因为。</w:t>
      </w:r>
    </w:p>
    <w:p>
      <w:pPr>
        <w:keepNext/>
        <w:keepLines/>
        <w:spacing w:before="300" w:after="300" w:line="280" w:lineRule="exact"/>
        <w:jc w:val="left"/>
        <w:outlineLvl w:val="2"/>
        <w:rPr>
          <w:rFonts w:ascii="宋体" w:hAnsi="宋体" w:eastAsia="宋体" w:cs="宋体"/>
          <w:b/>
          <w:bCs/>
          <w:sz w:val="21"/>
          <w:szCs w:val="21"/>
        </w:rPr>
      </w:pPr>
      <w:bookmarkStart w:id="229" w:name="_Toc989118"/>
      <w:r>
        <w:rPr>
          <w:rFonts w:ascii="宋体" w:hAnsi="宋体" w:eastAsia="宋体" w:cs="宋体"/>
          <w:b/>
          <w:bCs/>
          <w:sz w:val="21"/>
          <w:szCs w:val="21"/>
        </w:rPr>
        <w:t>23、应付账款</w:t>
      </w:r>
      <w:bookmarkEnd w:id="229"/>
    </w:p>
    <w:p>
      <w:pPr>
        <w:keepNext/>
        <w:keepLines/>
        <w:spacing w:before="300" w:after="300" w:line="280" w:lineRule="exact"/>
        <w:jc w:val="left"/>
        <w:outlineLvl w:val="3"/>
        <w:rPr>
          <w:rFonts w:ascii="宋体" w:hAnsi="宋体" w:eastAsia="宋体" w:cs="宋体"/>
          <w:b/>
          <w:bCs/>
          <w:sz w:val="18"/>
          <w:szCs w:val="18"/>
        </w:rPr>
      </w:pPr>
      <w:bookmarkStart w:id="230" w:name="_Toc989119"/>
      <w:r>
        <w:rPr>
          <w:rFonts w:ascii="宋体" w:hAnsi="宋体" w:eastAsia="宋体" w:cs="宋体"/>
          <w:b/>
          <w:bCs/>
          <w:sz w:val="18"/>
          <w:szCs w:val="18"/>
        </w:rPr>
        <w:t>（1） 应付账款列示</w:t>
      </w:r>
      <w:bookmarkEnd w:id="2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材料款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132,593,830.55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66,297,092.95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工程及设备款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39,745,743.73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30,807,670.42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6,388,999.58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6,084,739.55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178,728,573.86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103,189,502.92</w:t>
            </w:r>
          </w:p>
        </w:tc>
      </w:tr>
    </w:tbl>
    <w:p>
      <w:pPr>
        <w:keepNext/>
        <w:keepLines/>
        <w:spacing w:before="300" w:after="300" w:line="280" w:lineRule="exact"/>
        <w:jc w:val="left"/>
        <w:outlineLvl w:val="3"/>
        <w:rPr>
          <w:rFonts w:ascii="宋体" w:hAnsi="宋体" w:eastAsia="宋体" w:cs="宋体"/>
          <w:b/>
          <w:bCs/>
          <w:sz w:val="18"/>
          <w:szCs w:val="18"/>
        </w:rPr>
      </w:pPr>
      <w:bookmarkStart w:id="231" w:name="_Toc989120"/>
      <w:r>
        <w:rPr>
          <w:rFonts w:ascii="宋体" w:hAnsi="宋体" w:eastAsia="宋体" w:cs="宋体"/>
          <w:b/>
          <w:bCs/>
          <w:sz w:val="18"/>
          <w:szCs w:val="18"/>
        </w:rPr>
        <w:t>（2） 账龄超过1年或逾期的重要应付账款</w:t>
      </w:r>
      <w:bookmarkEnd w:id="2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00" w:beforeAutospacing="0" w:after="100" w:afterAutospacing="0"/>
        <w:ind w:left="0" w:right="0"/>
        <w:jc w:val="both"/>
        <w:rPr>
          <w:rFonts w:hint="default" w:ascii="Times New Roman" w:hAnsi="Times New Roman" w:cs="Times New Roman"/>
          <w:sz w:val="21"/>
          <w:szCs w:val="21"/>
        </w:rPr>
      </w:pPr>
      <w:r>
        <w:rPr>
          <w:rFonts w:hint="eastAsia" w:ascii="宋体" w:hAnsi="宋体" w:eastAsia="宋体" w:cs="宋体"/>
          <w:color w:val="000000"/>
          <w:sz w:val="21"/>
          <w:szCs w:val="21"/>
        </w:rPr>
        <w:t>期末无账龄超过一年的重要应付账款</w:t>
      </w:r>
    </w:p>
    <w:p>
      <w:pPr>
        <w:keepNext/>
        <w:keepLines/>
        <w:spacing w:before="300" w:after="300" w:line="280" w:lineRule="exact"/>
        <w:jc w:val="left"/>
        <w:outlineLvl w:val="2"/>
        <w:rPr>
          <w:rFonts w:ascii="宋体" w:hAnsi="宋体" w:eastAsia="宋体" w:cs="宋体"/>
          <w:b/>
          <w:bCs/>
          <w:sz w:val="21"/>
          <w:szCs w:val="21"/>
        </w:rPr>
      </w:pPr>
      <w:bookmarkStart w:id="232" w:name="_Toc989121"/>
      <w:r>
        <w:rPr>
          <w:rFonts w:ascii="宋体" w:hAnsi="宋体" w:eastAsia="宋体" w:cs="宋体"/>
          <w:b/>
          <w:bCs/>
          <w:sz w:val="21"/>
          <w:szCs w:val="21"/>
        </w:rPr>
        <w:t>24、其他应付款</w:t>
      </w:r>
      <w:bookmarkEnd w:id="2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38,479,516.27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38,693,823.73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38,479,516.27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38,693,823.73</w:t>
            </w:r>
          </w:p>
        </w:tc>
      </w:tr>
    </w:tbl>
    <w:p>
      <w:pPr>
        <w:keepNext/>
        <w:keepLines/>
        <w:spacing w:before="300" w:after="300" w:line="280" w:lineRule="exact"/>
        <w:jc w:val="left"/>
        <w:outlineLvl w:val="3"/>
        <w:rPr>
          <w:rFonts w:ascii="宋体" w:hAnsi="宋体" w:eastAsia="宋体" w:cs="宋体"/>
          <w:b/>
          <w:bCs/>
          <w:sz w:val="21"/>
          <w:szCs w:val="21"/>
        </w:rPr>
      </w:pPr>
      <w:bookmarkStart w:id="233" w:name="_Toc989122"/>
      <w:r>
        <w:rPr>
          <w:rFonts w:ascii="宋体" w:hAnsi="宋体" w:eastAsia="宋体" w:cs="宋体"/>
          <w:b/>
          <w:bCs/>
          <w:sz w:val="21"/>
          <w:szCs w:val="21"/>
        </w:rPr>
        <w:t>（1） 其他应付款</w:t>
      </w:r>
      <w:bookmarkEnd w:id="233"/>
    </w:p>
    <w:p>
      <w:pPr>
        <w:keepNext/>
        <w:keepLines/>
        <w:spacing w:before="300" w:after="300" w:line="280" w:lineRule="exact"/>
        <w:jc w:val="left"/>
        <w:outlineLvl w:val="4"/>
        <w:rPr>
          <w:rFonts w:ascii="宋体" w:hAnsi="宋体" w:eastAsia="宋体" w:cs="宋体"/>
          <w:b/>
          <w:bCs/>
          <w:sz w:val="18"/>
          <w:szCs w:val="18"/>
        </w:rPr>
      </w:pPr>
      <w:bookmarkStart w:id="234" w:name="_Toc989123"/>
      <w:r>
        <w:rPr>
          <w:rFonts w:ascii="宋体" w:hAnsi="宋体" w:eastAsia="宋体" w:cs="宋体"/>
          <w:b/>
          <w:bCs/>
          <w:sz w:val="18"/>
          <w:szCs w:val="18"/>
        </w:rPr>
        <w:t>1） 按款项性质列示其他应付款</w:t>
      </w:r>
      <w:bookmarkEnd w:id="2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3,619,516.27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3,833,823.73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联营企业股权转让款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38,479,516.27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38,693,823.73</w:t>
            </w:r>
          </w:p>
        </w:tc>
      </w:tr>
    </w:tbl>
    <w:p>
      <w:pPr>
        <w:keepNext/>
        <w:keepLines/>
        <w:spacing w:before="300" w:after="300" w:line="280" w:lineRule="exact"/>
        <w:jc w:val="left"/>
        <w:outlineLvl w:val="4"/>
        <w:rPr>
          <w:rFonts w:ascii="宋体" w:hAnsi="宋体" w:eastAsia="宋体" w:cs="宋体"/>
          <w:b/>
          <w:bCs/>
          <w:sz w:val="18"/>
          <w:szCs w:val="18"/>
        </w:rPr>
      </w:pPr>
      <w:bookmarkStart w:id="235" w:name="_Toc989124"/>
      <w:r>
        <w:rPr>
          <w:rFonts w:ascii="宋体" w:hAnsi="宋体" w:eastAsia="宋体" w:cs="宋体"/>
          <w:b/>
          <w:bCs/>
          <w:sz w:val="18"/>
          <w:szCs w:val="18"/>
        </w:rPr>
        <w:t>2） 账龄超过1年或逾期的重要其他应付款</w:t>
      </w:r>
      <w:bookmarkEnd w:id="2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股权转让工商变更登记未完成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6" w:name="_Toc989125"/>
      <w:r>
        <w:rPr>
          <w:rFonts w:ascii="宋体" w:hAnsi="宋体" w:eastAsia="宋体" w:cs="宋体"/>
          <w:b/>
          <w:bCs/>
          <w:sz w:val="21"/>
          <w:szCs w:val="21"/>
        </w:rPr>
        <w:t>25、预收款项</w:t>
      </w:r>
      <w:bookmarkEnd w:id="236"/>
    </w:p>
    <w:p>
      <w:pPr>
        <w:keepNext/>
        <w:keepLines/>
        <w:spacing w:before="300" w:after="300" w:line="280" w:lineRule="exact"/>
        <w:jc w:val="left"/>
        <w:outlineLvl w:val="3"/>
        <w:rPr>
          <w:rFonts w:ascii="宋体" w:hAnsi="宋体" w:eastAsia="宋体" w:cs="宋体"/>
          <w:b/>
          <w:bCs/>
          <w:sz w:val="21"/>
          <w:szCs w:val="21"/>
        </w:rPr>
      </w:pPr>
      <w:bookmarkStart w:id="237" w:name="_Toc989126"/>
      <w:r>
        <w:rPr>
          <w:rFonts w:ascii="宋体" w:hAnsi="宋体" w:eastAsia="宋体" w:cs="宋体"/>
          <w:b/>
          <w:bCs/>
          <w:sz w:val="21"/>
          <w:szCs w:val="21"/>
        </w:rPr>
        <w:t>（1） 预收款项列示</w:t>
      </w:r>
      <w:bookmarkEnd w:id="23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预收租金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223,736.22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454,539.34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223,736.22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454,539.34</w:t>
            </w:r>
          </w:p>
        </w:tc>
      </w:tr>
    </w:tbl>
    <w:p>
      <w:pPr>
        <w:keepNext/>
        <w:keepLines/>
        <w:spacing w:before="300" w:after="300" w:line="280" w:lineRule="exact"/>
        <w:jc w:val="left"/>
        <w:outlineLvl w:val="2"/>
        <w:rPr>
          <w:rFonts w:ascii="宋体" w:hAnsi="宋体" w:eastAsia="宋体" w:cs="宋体"/>
          <w:b/>
          <w:bCs/>
          <w:sz w:val="21"/>
          <w:szCs w:val="21"/>
        </w:rPr>
      </w:pPr>
      <w:bookmarkStart w:id="238" w:name="_Toc989127"/>
      <w:r>
        <w:rPr>
          <w:rFonts w:ascii="宋体" w:hAnsi="宋体" w:eastAsia="宋体" w:cs="宋体"/>
          <w:b/>
          <w:bCs/>
          <w:sz w:val="21"/>
          <w:szCs w:val="21"/>
        </w:rPr>
        <w:t>26、合同负债</w:t>
      </w:r>
      <w:bookmarkEnd w:id="23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企业已收客户对价而应向客户转让商品/提供劳务的义务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12,905,699.44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12,716,588.45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12,905,699.44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12,716,588.45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账龄超过1年的重要合同负债</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报告期内账面价值发生重大变动的金额和原因</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0"/>
        <w:gridCol w:w="820"/>
        <w:gridCol w:w="80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8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keepNext/>
        <w:keepLines/>
        <w:spacing w:before="300" w:after="300" w:line="280" w:lineRule="exact"/>
        <w:jc w:val="left"/>
        <w:outlineLvl w:val="2"/>
        <w:rPr>
          <w:rFonts w:ascii="宋体" w:hAnsi="宋体" w:eastAsia="宋体" w:cs="宋体"/>
          <w:b/>
          <w:bCs/>
          <w:sz w:val="21"/>
          <w:szCs w:val="21"/>
        </w:rPr>
      </w:pPr>
      <w:bookmarkStart w:id="239" w:name="_Toc989128"/>
      <w:r>
        <w:rPr>
          <w:rFonts w:ascii="宋体" w:hAnsi="宋体" w:eastAsia="宋体" w:cs="宋体"/>
          <w:b/>
          <w:bCs/>
          <w:sz w:val="21"/>
          <w:szCs w:val="21"/>
        </w:rPr>
        <w:t>27、应付职工薪酬</w:t>
      </w:r>
      <w:bookmarkEnd w:id="239"/>
    </w:p>
    <w:p>
      <w:pPr>
        <w:keepNext/>
        <w:keepLines/>
        <w:spacing w:before="300" w:after="300" w:line="280" w:lineRule="exact"/>
        <w:jc w:val="left"/>
        <w:outlineLvl w:val="3"/>
        <w:rPr>
          <w:rFonts w:ascii="宋体" w:hAnsi="宋体" w:eastAsia="宋体" w:cs="宋体"/>
          <w:b/>
          <w:bCs/>
          <w:sz w:val="21"/>
          <w:szCs w:val="21"/>
        </w:rPr>
      </w:pPr>
      <w:bookmarkStart w:id="240" w:name="_Toc989129"/>
      <w:r>
        <w:rPr>
          <w:rFonts w:ascii="宋体" w:hAnsi="宋体" w:eastAsia="宋体" w:cs="宋体"/>
          <w:b/>
          <w:bCs/>
          <w:sz w:val="21"/>
          <w:szCs w:val="21"/>
        </w:rPr>
        <w:t>（1） 应付职工薪酬列示</w:t>
      </w:r>
      <w:bookmarkEnd w:id="2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28,682,378.77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65,979,454.48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83,322,133.28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11,339,699.97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3,861,749.70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3,861,749.70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三、辞退福利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145,386.22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145,386.22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28,682,378.77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69,986,590.40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87,329,269.20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11,339,699.97</w:t>
            </w:r>
          </w:p>
        </w:tc>
      </w:tr>
    </w:tbl>
    <w:p>
      <w:pPr>
        <w:keepNext/>
        <w:keepLines/>
        <w:spacing w:before="300" w:after="300" w:line="280" w:lineRule="exact"/>
        <w:jc w:val="left"/>
        <w:outlineLvl w:val="3"/>
        <w:rPr>
          <w:rFonts w:ascii="宋体" w:hAnsi="宋体" w:eastAsia="宋体" w:cs="宋体"/>
          <w:b/>
          <w:bCs/>
          <w:sz w:val="21"/>
          <w:szCs w:val="21"/>
        </w:rPr>
      </w:pPr>
      <w:bookmarkStart w:id="241" w:name="_Toc989130"/>
      <w:r>
        <w:rPr>
          <w:rFonts w:ascii="宋体" w:hAnsi="宋体" w:eastAsia="宋体" w:cs="宋体"/>
          <w:b/>
          <w:bCs/>
          <w:sz w:val="21"/>
          <w:szCs w:val="21"/>
        </w:rPr>
        <w:t>（2） 短期薪酬列示</w:t>
      </w:r>
      <w:bookmarkEnd w:id="2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26,664,273.89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56,457,505.10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73,757,352.34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9,364,426.65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3,025,761.35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2,857,285.93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168,475.42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2,174,016.17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2,174,016.17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1,950,257.07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1,950,257.07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171,162.14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171,162.14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52,596.96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52,596.96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2,299,666.00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2,299,666.00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2,018,104.88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2,022,505.86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2,233,812.84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1,806,797.90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28,682,378.77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65,979,454.48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83,322,133.28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11,339,699.97</w:t>
            </w:r>
          </w:p>
        </w:tc>
      </w:tr>
    </w:tbl>
    <w:p>
      <w:pPr>
        <w:keepNext/>
        <w:keepLines/>
        <w:spacing w:before="300" w:after="300" w:line="280" w:lineRule="exact"/>
        <w:jc w:val="left"/>
        <w:outlineLvl w:val="3"/>
        <w:rPr>
          <w:rFonts w:ascii="宋体" w:hAnsi="宋体" w:eastAsia="宋体" w:cs="宋体"/>
          <w:b/>
          <w:bCs/>
          <w:sz w:val="21"/>
          <w:szCs w:val="21"/>
        </w:rPr>
      </w:pPr>
      <w:bookmarkStart w:id="242" w:name="_Toc989131"/>
      <w:r>
        <w:rPr>
          <w:rFonts w:ascii="宋体" w:hAnsi="宋体" w:eastAsia="宋体" w:cs="宋体"/>
          <w:b/>
          <w:bCs/>
          <w:sz w:val="21"/>
          <w:szCs w:val="21"/>
        </w:rPr>
        <w:t>（3） 设定提存计划列示</w:t>
      </w:r>
      <w:bookmarkEnd w:id="24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3,700,056.96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3,700,056.96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161,692.74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161,692.74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3,861,749.70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3,861,749.70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3" w:name="_Toc989132"/>
      <w:r>
        <w:rPr>
          <w:rFonts w:ascii="宋体" w:hAnsi="宋体" w:eastAsia="宋体" w:cs="宋体"/>
          <w:b/>
          <w:bCs/>
          <w:sz w:val="21"/>
          <w:szCs w:val="21"/>
        </w:rPr>
        <w:t>28、应交税费</w:t>
      </w:r>
      <w:bookmarkEnd w:id="2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2,989,091.28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1,206,211.75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1,777,166.47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2,646,301.68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135,096.87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188,853.25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312,081.70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173,512.97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74,027.18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66,615.04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46,000.78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20,101.89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教育费附加及地方教育附加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247,889.18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148,911.51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5,581,353.46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4,450,508.09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4" w:name="_Toc989133"/>
      <w:r>
        <w:rPr>
          <w:rFonts w:ascii="宋体" w:hAnsi="宋体" w:eastAsia="宋体" w:cs="宋体"/>
          <w:b/>
          <w:bCs/>
          <w:sz w:val="21"/>
          <w:szCs w:val="21"/>
        </w:rPr>
        <w:t>29、一年内到期的非流动负债</w:t>
      </w:r>
      <w:bookmarkEnd w:id="24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5" w:name="_Toc989134"/>
      <w:r>
        <w:rPr>
          <w:rFonts w:ascii="宋体" w:hAnsi="宋体" w:eastAsia="宋体" w:cs="宋体"/>
          <w:b/>
          <w:bCs/>
          <w:sz w:val="21"/>
          <w:szCs w:val="21"/>
        </w:rPr>
        <w:t>30、其他流动负债</w:t>
      </w:r>
      <w:bookmarkEnd w:id="24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已背书未终止确认的应收票据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40,989,654.21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47,904,155.64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待转销项税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1,256,032.65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732,898.14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42,245,686.86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48,637,053.78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短期应付债券的增减变动：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是否违约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6" w:name="_Toc989135"/>
      <w:r>
        <w:rPr>
          <w:rFonts w:ascii="宋体" w:hAnsi="宋体" w:eastAsia="宋体" w:cs="宋体"/>
          <w:b/>
          <w:bCs/>
          <w:sz w:val="21"/>
          <w:szCs w:val="21"/>
        </w:rPr>
        <w:t>31、长期借款</w:t>
      </w:r>
      <w:bookmarkEnd w:id="246"/>
    </w:p>
    <w:p>
      <w:pPr>
        <w:keepNext/>
        <w:keepLines/>
        <w:spacing w:before="300" w:after="300" w:line="280" w:lineRule="exact"/>
        <w:jc w:val="left"/>
        <w:outlineLvl w:val="3"/>
        <w:rPr>
          <w:rFonts w:ascii="宋体" w:hAnsi="宋体" w:eastAsia="宋体" w:cs="宋体"/>
          <w:b/>
          <w:bCs/>
          <w:sz w:val="18"/>
          <w:szCs w:val="18"/>
        </w:rPr>
      </w:pPr>
      <w:bookmarkStart w:id="247" w:name="_Toc989136"/>
      <w:r>
        <w:rPr>
          <w:rFonts w:ascii="宋体" w:hAnsi="宋体" w:eastAsia="宋体" w:cs="宋体"/>
          <w:b/>
          <w:bCs/>
          <w:sz w:val="18"/>
          <w:szCs w:val="18"/>
        </w:rPr>
        <w:t>（1） 长期借款分类</w:t>
      </w:r>
      <w:bookmarkEnd w:id="2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长期借款分类的说明：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其他说明，包括利率区间：</w:t>
      </w:r>
    </w:p>
    <w:p>
      <w:pPr>
        <w:keepNext/>
        <w:keepLines/>
        <w:spacing w:before="300" w:after="300" w:line="280" w:lineRule="exact"/>
        <w:jc w:val="left"/>
        <w:outlineLvl w:val="2"/>
        <w:rPr>
          <w:rFonts w:ascii="宋体" w:hAnsi="宋体" w:eastAsia="宋体" w:cs="宋体"/>
          <w:b/>
          <w:bCs/>
          <w:sz w:val="21"/>
          <w:szCs w:val="21"/>
        </w:rPr>
      </w:pPr>
      <w:bookmarkStart w:id="248" w:name="_Toc989137"/>
      <w:r>
        <w:rPr>
          <w:rFonts w:ascii="宋体" w:hAnsi="宋体" w:eastAsia="宋体" w:cs="宋体"/>
          <w:b/>
          <w:bCs/>
          <w:sz w:val="21"/>
          <w:szCs w:val="21"/>
        </w:rPr>
        <w:t>32、长期应付款</w:t>
      </w:r>
      <w:bookmarkEnd w:id="2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专项应付款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18"/>
          <w:szCs w:val="18"/>
        </w:rPr>
      </w:pPr>
      <w:bookmarkStart w:id="249" w:name="_Toc989138"/>
      <w:r>
        <w:rPr>
          <w:rFonts w:ascii="宋体" w:hAnsi="宋体" w:eastAsia="宋体" w:cs="宋体"/>
          <w:b/>
          <w:bCs/>
          <w:sz w:val="18"/>
          <w:szCs w:val="18"/>
        </w:rPr>
        <w:t>（1） 按款项性质列示长期应付款</w:t>
      </w:r>
      <w:bookmarkEnd w:id="2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50" w:name="_Toc989139"/>
      <w:r>
        <w:rPr>
          <w:rFonts w:ascii="宋体" w:hAnsi="宋体" w:eastAsia="宋体" w:cs="宋体"/>
          <w:b/>
          <w:bCs/>
          <w:sz w:val="18"/>
          <w:szCs w:val="18"/>
        </w:rPr>
        <w:t>（2） 专项应付款</w:t>
      </w:r>
      <w:bookmarkEnd w:id="25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5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131"/>
        <w:gridCol w:w="1606"/>
        <w:gridCol w:w="1054"/>
        <w:gridCol w:w="1606"/>
        <w:gridCol w:w="26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13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0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26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研保项目</w:t>
            </w:r>
          </w:p>
        </w:tc>
        <w:tc>
          <w:tcPr>
            <w:tcW w:w="11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10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26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根据国家政策要求将原研保项目递延收益金额转为资本金注入，因工商变更暂未完成，计入专项应付款。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1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10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2649"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1" w:name="_Toc989140"/>
      <w:r>
        <w:rPr>
          <w:rFonts w:ascii="宋体" w:hAnsi="宋体" w:eastAsia="宋体" w:cs="宋体"/>
          <w:b/>
          <w:bCs/>
          <w:sz w:val="21"/>
          <w:szCs w:val="21"/>
        </w:rPr>
        <w:t>33、递延收益</w:t>
      </w:r>
      <w:bookmarkEnd w:id="25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116,243,705.52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43,249,183.98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72,994,521.54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政府补助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116,243,705.52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43,249,183.98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72,994,521.54</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2" w:name="_Toc989141"/>
      <w:r>
        <w:rPr>
          <w:rFonts w:ascii="宋体" w:hAnsi="宋体" w:eastAsia="宋体" w:cs="宋体"/>
          <w:b/>
          <w:bCs/>
          <w:sz w:val="21"/>
          <w:szCs w:val="21"/>
        </w:rPr>
        <w:t>34、股本</w:t>
      </w:r>
      <w:bookmarkEnd w:id="2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3" w:name="_Toc989142"/>
      <w:r>
        <w:rPr>
          <w:rFonts w:ascii="宋体" w:hAnsi="宋体" w:eastAsia="宋体" w:cs="宋体"/>
          <w:b/>
          <w:bCs/>
          <w:sz w:val="21"/>
          <w:szCs w:val="21"/>
        </w:rPr>
        <w:t>35、资本公积</w:t>
      </w:r>
      <w:bookmarkEnd w:id="25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1,678,317,226.47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1,678,317,226.47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44,466.60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44,466.60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254" w:name="_Toc989143"/>
      <w:r>
        <w:rPr>
          <w:rFonts w:ascii="宋体" w:hAnsi="宋体" w:eastAsia="宋体" w:cs="宋体"/>
          <w:b/>
          <w:bCs/>
          <w:sz w:val="21"/>
          <w:szCs w:val="21"/>
        </w:rPr>
        <w:t>36、其他综合收益</w:t>
      </w:r>
      <w:bookmarkEnd w:id="25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其他权益工具投资公允价值变动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其他说明，包括对现金流量套期损益的有效部分转为被套期项目初始确认金额调整：</w:t>
      </w:r>
    </w:p>
    <w:p>
      <w:pPr>
        <w:keepNext/>
        <w:keepLines/>
        <w:spacing w:before="300" w:after="300" w:line="280" w:lineRule="exact"/>
        <w:jc w:val="left"/>
        <w:outlineLvl w:val="2"/>
        <w:rPr>
          <w:rFonts w:ascii="宋体" w:hAnsi="宋体" w:eastAsia="宋体" w:cs="宋体"/>
          <w:b/>
          <w:bCs/>
          <w:sz w:val="21"/>
          <w:szCs w:val="21"/>
        </w:rPr>
      </w:pPr>
      <w:bookmarkStart w:id="255" w:name="_Toc989144"/>
      <w:r>
        <w:rPr>
          <w:rFonts w:ascii="宋体" w:hAnsi="宋体" w:eastAsia="宋体" w:cs="宋体"/>
          <w:b/>
          <w:bCs/>
          <w:sz w:val="21"/>
          <w:szCs w:val="21"/>
        </w:rPr>
        <w:t>37、盈余公积</w:t>
      </w:r>
      <w:bookmarkEnd w:id="2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盈余公积说明，包括本期增减变动情况、变动原因说明：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256" w:name="_Toc989145"/>
      <w:r>
        <w:rPr>
          <w:rFonts w:ascii="宋体" w:hAnsi="宋体" w:eastAsia="宋体" w:cs="宋体"/>
          <w:b/>
          <w:bCs/>
          <w:sz w:val="21"/>
          <w:szCs w:val="21"/>
        </w:rPr>
        <w:t>38、未分配利润</w:t>
      </w:r>
      <w:bookmarkEnd w:id="25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29,275,440.07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-161,706,298.09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调整期初未分配利润明细：</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1)、由于《企业会计准则》及其相关新规定进行追溯调整，影响期初未分配利润0.00元。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2)、由于会计政策变更，影响期初未分配利润0.00元。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3)、由于重大会计差错更正，影响期初未分配利润0.00元。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4)、由于同一控制导致的合并范围变更，影响期初未分配利润0.00元。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5)、其他调整合计影响期初未分配利润0.00元。</w:t>
      </w:r>
    </w:p>
    <w:p>
      <w:pPr>
        <w:keepNext/>
        <w:keepLines/>
        <w:spacing w:before="300" w:after="300" w:line="280" w:lineRule="exact"/>
        <w:jc w:val="left"/>
        <w:outlineLvl w:val="2"/>
        <w:rPr>
          <w:rFonts w:ascii="宋体" w:hAnsi="宋体" w:eastAsia="宋体" w:cs="宋体"/>
          <w:b/>
          <w:bCs/>
          <w:sz w:val="21"/>
          <w:szCs w:val="21"/>
        </w:rPr>
      </w:pPr>
      <w:bookmarkStart w:id="257" w:name="_Toc989146"/>
      <w:r>
        <w:rPr>
          <w:rFonts w:ascii="宋体" w:hAnsi="宋体" w:eastAsia="宋体" w:cs="宋体"/>
          <w:b/>
          <w:bCs/>
          <w:sz w:val="21"/>
          <w:szCs w:val="21"/>
        </w:rPr>
        <w:t>39、营业收入和营业成本</w:t>
      </w:r>
      <w:bookmarkEnd w:id="25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291,323,834.32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245,921,201.77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280,129,905.27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215,463,107.23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10,710,818.81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4,601,513.97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12,463,366.20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5,571,057.39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302,034,653.13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250,522,715.74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292,593,271.47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221,034,164.62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营业收入、营业成本的分解信息：</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7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07"/>
        <w:gridCol w:w="915"/>
        <w:gridCol w:w="855"/>
        <w:gridCol w:w="1071"/>
        <w:gridCol w:w="1071"/>
        <w:gridCol w:w="858"/>
        <w:gridCol w:w="1071"/>
        <w:gridCol w:w="1149"/>
        <w:gridCol w:w="1155"/>
        <w:gridCol w:w="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0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177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192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237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8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4" w:rightChars="7"/>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1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1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业务类型</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4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55"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77,913,350.49</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41,828,680.38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高性能硬质合金及其相关材料</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213,410,483.83</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204,092,521.39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291,323,834.32</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245,921,201.77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4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55"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267,567,067.03</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226,062,437.09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23,756,767.29</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19,858,764.68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291,323,834.32</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245,921,201.77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4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55"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77,913,350.49</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41,828,680.38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213,410,483.83</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204,092,521.39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291,323,834.32</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245,921,201.77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4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55"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主营商品买卖</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291,323,834.32</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245,921,201.77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291,323,834.32</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245,921,201.77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4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55"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在某一时点确认</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291,323,834.32</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245,921,201.77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在某一时段内确认</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291,323,834.32</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245,921,201.77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4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55"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5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4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155"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5" w:type="dxa"/>
          <w:trHeight w:val="240" w:hRule="atLeast"/>
        </w:trPr>
        <w:tc>
          <w:tcPr>
            <w:tcW w:w="15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公司提供的质量保证类型及相关义务</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本报告期末已签订合同、但尚未履行或尚未履行完毕的履约义务所对应的收入金额为187,593,615.08元，其中，100,414,204.11元预计将于2024年度确认收入，87,179,410.97元预计将于2025年度确认收入。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合同中可变对价相关信息：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重大合同变更或重大交易价格调整</w:t>
      </w:r>
    </w:p>
    <w:p>
      <w:pPr>
        <w:spacing w:before="100" w:after="10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对收入的影响金额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8" w:name="_Toc989147"/>
      <w:r>
        <w:rPr>
          <w:rFonts w:ascii="宋体" w:hAnsi="宋体" w:eastAsia="宋体" w:cs="宋体"/>
          <w:b/>
          <w:bCs/>
          <w:sz w:val="21"/>
          <w:szCs w:val="21"/>
        </w:rPr>
        <w:t>40、税金及附加</w:t>
      </w:r>
      <w:bookmarkEnd w:id="2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158,231.18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516,550.79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71,345.16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368,964.91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1,952,290.61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1,946,206.34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1,219,164.98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1,219,164.98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183,961.61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140,849.05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178,339.63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100,858.76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3,763,333.17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4,292,594.83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9" w:name="_Toc989148"/>
      <w:r>
        <w:rPr>
          <w:rFonts w:ascii="宋体" w:hAnsi="宋体" w:eastAsia="宋体" w:cs="宋体"/>
          <w:b/>
          <w:bCs/>
          <w:sz w:val="21"/>
          <w:szCs w:val="21"/>
        </w:rPr>
        <w:t>41、管理费用</w:t>
      </w:r>
      <w:bookmarkEnd w:id="2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15,252,262.42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9,724,171.13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5,785,165.72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5,128,357.26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2,762,982.30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2,447,786.64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中介咨询费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1,594,212.20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1,999,487.72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507,088.47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453,990.53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621,849.14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955,927.16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办公费及会务费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1,469,360.85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678,578.51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27,992,921.10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21,388,298.95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0" w:name="_Toc989149"/>
      <w:r>
        <w:rPr>
          <w:rFonts w:ascii="宋体" w:hAnsi="宋体" w:eastAsia="宋体" w:cs="宋体"/>
          <w:b/>
          <w:bCs/>
          <w:sz w:val="21"/>
          <w:szCs w:val="21"/>
        </w:rPr>
        <w:t>42、销售费用</w:t>
      </w:r>
      <w:bookmarkEnd w:id="26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4,996,491.94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4,502,559.48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售后服务费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292,084.00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2,345,488.95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687,724.65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1,156,616.61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856,800.14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1,164,032.25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展览及广告宣传费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692,947.79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693,054.75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1,166,869.54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3,846,694.33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8,692,918.06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13,708,446.37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1" w:name="_Toc989150"/>
      <w:r>
        <w:rPr>
          <w:rFonts w:ascii="宋体" w:hAnsi="宋体" w:eastAsia="宋体" w:cs="宋体"/>
          <w:b/>
          <w:bCs/>
          <w:sz w:val="21"/>
          <w:szCs w:val="21"/>
        </w:rPr>
        <w:t>43、研发费用</w:t>
      </w:r>
      <w:bookmarkEnd w:id="26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5,742,621.92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7,143,657.23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研发领料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1,598,525.08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1,809,778.68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7,591,041.18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7,456,463.49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水电燃料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454,974.81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563,167.20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研发测试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683,275.38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173,824.34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979,043.85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1,479,006.80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17,049,482.22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18,625,897.74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2" w:name="_Toc989151"/>
      <w:r>
        <w:rPr>
          <w:rFonts w:ascii="宋体" w:hAnsi="宋体" w:eastAsia="宋体" w:cs="宋体"/>
          <w:b/>
          <w:bCs/>
          <w:sz w:val="21"/>
          <w:szCs w:val="21"/>
        </w:rPr>
        <w:t>44、财务费用</w:t>
      </w:r>
      <w:bookmarkEnd w:id="2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3,512,875.02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1,731,805.57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减：利息收入（以正数表示）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3,543,332.26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4,086,890.20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加：汇兑损益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21,688.12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-39,263.10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70,465.05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114,782.85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61,695.93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-2,279,564.88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3" w:name="_Toc989152"/>
      <w:r>
        <w:rPr>
          <w:rFonts w:ascii="宋体" w:hAnsi="宋体" w:eastAsia="宋体" w:cs="宋体"/>
          <w:b/>
          <w:bCs/>
          <w:sz w:val="21"/>
          <w:szCs w:val="21"/>
        </w:rPr>
        <w:t>45、其他收益</w:t>
      </w:r>
      <w:bookmarkEnd w:id="26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7,172,360.21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5,918,234.80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进项税加计抵减</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1,297,391.58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代扣个人所得税手续费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118,569.52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44,510.20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直接减免的增值税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21,829,324.74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30,417,646.05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5,962,745.00</w:t>
            </w:r>
          </w:p>
        </w:tc>
      </w:tr>
    </w:tbl>
    <w:p>
      <w:pPr>
        <w:keepNext/>
        <w:keepLines/>
        <w:spacing w:before="300" w:after="300" w:line="280" w:lineRule="exact"/>
        <w:jc w:val="left"/>
        <w:outlineLvl w:val="2"/>
        <w:rPr>
          <w:rFonts w:ascii="宋体" w:hAnsi="宋体" w:eastAsia="宋体" w:cs="宋体"/>
          <w:b/>
          <w:bCs/>
          <w:sz w:val="21"/>
          <w:szCs w:val="21"/>
        </w:rPr>
      </w:pPr>
      <w:bookmarkStart w:id="264" w:name="_Toc989153"/>
      <w:r>
        <w:rPr>
          <w:rFonts w:ascii="宋体" w:hAnsi="宋体" w:eastAsia="宋体" w:cs="宋体"/>
          <w:b/>
          <w:bCs/>
          <w:sz w:val="21"/>
          <w:szCs w:val="21"/>
        </w:rPr>
        <w:t>46、投资收益</w:t>
      </w:r>
      <w:bookmarkEnd w:id="2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-4,232,256.32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-2,403,764.32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-7,935,206.78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5" w:name="_Toc989154"/>
      <w:r>
        <w:rPr>
          <w:rFonts w:ascii="宋体" w:hAnsi="宋体" w:eastAsia="宋体" w:cs="宋体"/>
          <w:b/>
          <w:bCs/>
          <w:sz w:val="21"/>
          <w:szCs w:val="21"/>
        </w:rPr>
        <w:t>47、信用减值损失</w:t>
      </w:r>
      <w:bookmarkEnd w:id="2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应收票据坏账损失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1,980,965.85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689,351.00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523,755.86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-3,451,937.75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-79,592.93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-64,515.18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2,425,128.78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-2,827,101.93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6" w:name="_Toc989155"/>
      <w:r>
        <w:rPr>
          <w:rFonts w:ascii="宋体" w:hAnsi="宋体" w:eastAsia="宋体" w:cs="宋体"/>
          <w:b/>
          <w:bCs/>
          <w:sz w:val="21"/>
          <w:szCs w:val="21"/>
        </w:rPr>
        <w:t>48、资产减值损失</w:t>
      </w:r>
      <w:bookmarkEnd w:id="26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-885,632.71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十一、合同资产减值损失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-16,180.87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-2,088.08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-16,180.87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-887,720.79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7" w:name="_Toc989156"/>
      <w:r>
        <w:rPr>
          <w:rFonts w:ascii="宋体" w:hAnsi="宋体" w:eastAsia="宋体" w:cs="宋体"/>
          <w:b/>
          <w:bCs/>
          <w:sz w:val="21"/>
          <w:szCs w:val="21"/>
        </w:rPr>
        <w:t>49、资产处置收益</w:t>
      </w:r>
      <w:bookmarkEnd w:id="2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未划分为持有待售的固定资产处置利得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1,384,636.05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1,384,636.05</w:t>
            </w:r>
          </w:p>
        </w:tc>
      </w:tr>
    </w:tbl>
    <w:p>
      <w:pPr>
        <w:keepNext/>
        <w:keepLines/>
        <w:spacing w:before="300" w:after="300" w:line="280" w:lineRule="exact"/>
        <w:jc w:val="left"/>
        <w:outlineLvl w:val="2"/>
        <w:rPr>
          <w:rFonts w:ascii="宋体" w:hAnsi="宋体" w:eastAsia="宋体" w:cs="宋体"/>
          <w:b/>
          <w:bCs/>
          <w:sz w:val="21"/>
          <w:szCs w:val="21"/>
        </w:rPr>
      </w:pPr>
      <w:bookmarkStart w:id="268" w:name="_Toc989157"/>
      <w:r>
        <w:rPr>
          <w:rFonts w:ascii="宋体" w:hAnsi="宋体" w:eastAsia="宋体" w:cs="宋体"/>
          <w:b/>
          <w:bCs/>
          <w:sz w:val="21"/>
          <w:szCs w:val="21"/>
        </w:rPr>
        <w:t>50、营业外收入</w:t>
      </w:r>
      <w:bookmarkEnd w:id="26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非流动资产毁损报废利得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129,930.10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129,930.10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600,054.31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205,300.66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600,054.31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729,984.41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206,900.66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729,984.41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pPr>
      <w:r>
        <w:rPr>
          <w:rFonts w:hint="eastAsia" w:ascii="宋体" w:hAnsi="宋体" w:eastAsia="宋体" w:cs="宋体"/>
          <w:sz w:val="18"/>
          <w:szCs w:val="18"/>
        </w:rPr>
        <w:t>其他主要为本期子公司长沙鑫航收到兴湘集团小巨人奖励款。</w:t>
      </w:r>
    </w:p>
    <w:p>
      <w:pPr>
        <w:keepNext/>
        <w:keepLines/>
        <w:spacing w:before="300" w:after="300" w:line="280" w:lineRule="exact"/>
        <w:jc w:val="left"/>
        <w:outlineLvl w:val="2"/>
        <w:rPr>
          <w:rFonts w:ascii="宋体" w:hAnsi="宋体" w:eastAsia="宋体" w:cs="宋体"/>
          <w:b/>
          <w:bCs/>
          <w:sz w:val="21"/>
          <w:szCs w:val="21"/>
        </w:rPr>
      </w:pPr>
      <w:bookmarkStart w:id="269" w:name="_Toc989158"/>
      <w:r>
        <w:rPr>
          <w:rFonts w:ascii="宋体" w:hAnsi="宋体" w:eastAsia="宋体" w:cs="宋体"/>
          <w:b/>
          <w:bCs/>
          <w:sz w:val="21"/>
          <w:szCs w:val="21"/>
        </w:rPr>
        <w:t>51、营业外支出</w:t>
      </w:r>
      <w:bookmarkEnd w:id="2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非流动资产毁损报废损失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217,229.29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217,229.29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17,097,059.31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10,817.70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17,097,059.31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17,314,288.60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10,905.31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17,314,288.60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pPr>
      <w:r>
        <w:rPr>
          <w:rFonts w:hint="eastAsia" w:ascii="宋体" w:hAnsi="宋体" w:eastAsia="宋体" w:cs="宋体"/>
          <w:sz w:val="18"/>
          <w:szCs w:val="18"/>
        </w:rPr>
        <w:t>其他为本期子公司长沙鑫航研保项目补助资金由“递延收益-与资产相关的政府补助”变更为已国有资本金的形式资本金注入，2023年度前累计已摊销部分1,709.65万元计入营业外支出所致。</w:t>
      </w:r>
    </w:p>
    <w:p>
      <w:pPr>
        <w:keepNext/>
        <w:keepLines/>
        <w:spacing w:before="300" w:after="300" w:line="280" w:lineRule="exact"/>
        <w:jc w:val="left"/>
        <w:outlineLvl w:val="2"/>
        <w:rPr>
          <w:rFonts w:ascii="宋体" w:hAnsi="宋体" w:eastAsia="宋体" w:cs="宋体"/>
          <w:b/>
          <w:bCs/>
          <w:sz w:val="21"/>
          <w:szCs w:val="21"/>
        </w:rPr>
      </w:pPr>
      <w:bookmarkStart w:id="270" w:name="_Toc989159"/>
      <w:r>
        <w:rPr>
          <w:rFonts w:ascii="宋体" w:hAnsi="宋体" w:eastAsia="宋体" w:cs="宋体"/>
          <w:b/>
          <w:bCs/>
          <w:sz w:val="21"/>
          <w:szCs w:val="21"/>
        </w:rPr>
        <w:t>52、所得税费用</w:t>
      </w:r>
      <w:bookmarkEnd w:id="270"/>
    </w:p>
    <w:p>
      <w:pPr>
        <w:keepNext/>
        <w:keepLines/>
        <w:spacing w:before="300" w:after="300" w:line="280" w:lineRule="exact"/>
        <w:jc w:val="left"/>
        <w:outlineLvl w:val="3"/>
        <w:rPr>
          <w:rFonts w:ascii="宋体" w:hAnsi="宋体" w:eastAsia="宋体" w:cs="宋体"/>
          <w:b/>
          <w:bCs/>
          <w:sz w:val="21"/>
          <w:szCs w:val="21"/>
        </w:rPr>
      </w:pPr>
      <w:bookmarkStart w:id="271" w:name="_Toc989160"/>
      <w:r>
        <w:rPr>
          <w:rFonts w:ascii="宋体" w:hAnsi="宋体" w:eastAsia="宋体" w:cs="宋体"/>
          <w:b/>
          <w:bCs/>
          <w:sz w:val="21"/>
          <w:szCs w:val="21"/>
        </w:rPr>
        <w:t>（1） 所得税费用表</w:t>
      </w:r>
      <w:bookmarkEnd w:id="2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5,909,435.27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1,979,786.30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-153,955.53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-337,769.40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5,755,479.74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1,642,016.90</w:t>
            </w:r>
          </w:p>
        </w:tc>
      </w:tr>
    </w:tbl>
    <w:p>
      <w:pPr>
        <w:keepNext/>
        <w:keepLines/>
        <w:spacing w:before="300" w:after="300" w:line="280" w:lineRule="exact"/>
        <w:jc w:val="left"/>
        <w:outlineLvl w:val="3"/>
        <w:rPr>
          <w:rFonts w:ascii="宋体" w:hAnsi="宋体" w:eastAsia="宋体" w:cs="宋体"/>
          <w:b/>
          <w:bCs/>
          <w:sz w:val="21"/>
          <w:szCs w:val="21"/>
        </w:rPr>
      </w:pPr>
      <w:bookmarkStart w:id="272" w:name="_Toc989161"/>
      <w:r>
        <w:rPr>
          <w:rFonts w:ascii="宋体" w:hAnsi="宋体" w:eastAsia="宋体" w:cs="宋体"/>
          <w:b/>
          <w:bCs/>
          <w:sz w:val="21"/>
          <w:szCs w:val="21"/>
        </w:rPr>
        <w:t>（2） 会计利润与所得税费用调整过程</w:t>
      </w:r>
      <w:bookmarkEnd w:id="2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7,790,112.36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1,168,516.85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4,586,962.89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5,755,479.74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3" w:name="_Toc989162"/>
      <w:r>
        <w:rPr>
          <w:rFonts w:ascii="宋体" w:hAnsi="宋体" w:eastAsia="宋体" w:cs="宋体"/>
          <w:b/>
          <w:bCs/>
          <w:sz w:val="21"/>
          <w:szCs w:val="21"/>
        </w:rPr>
        <w:t>53、其他综合收益</w:t>
      </w:r>
      <w:bookmarkEnd w:id="273"/>
    </w:p>
    <w:p>
      <w:pPr>
        <w:spacing w:before="40" w:after="40" w:line="240" w:lineRule="exact"/>
        <w:jc w:val="left"/>
        <w:rPr>
          <w:rFonts w:ascii="宋体" w:hAnsi="宋体" w:eastAsia="宋体" w:cs="宋体"/>
          <w:sz w:val="18"/>
          <w:szCs w:val="18"/>
        </w:rPr>
      </w:pPr>
      <w:r>
        <w:rPr>
          <w:rFonts w:ascii="宋体" w:hAnsi="宋体" w:eastAsia="宋体" w:cs="宋体"/>
          <w:sz w:val="18"/>
          <w:szCs w:val="18"/>
        </w:rPr>
        <w:t>详见附注“第十节、七、36、其他综合收益”。</w:t>
      </w:r>
    </w:p>
    <w:p>
      <w:pPr>
        <w:keepNext/>
        <w:keepLines/>
        <w:spacing w:before="300" w:after="300" w:line="280" w:lineRule="exact"/>
        <w:jc w:val="left"/>
        <w:outlineLvl w:val="2"/>
        <w:rPr>
          <w:rFonts w:ascii="宋体" w:hAnsi="宋体" w:eastAsia="宋体" w:cs="宋体"/>
          <w:b/>
          <w:bCs/>
          <w:sz w:val="21"/>
          <w:szCs w:val="21"/>
        </w:rPr>
      </w:pPr>
      <w:bookmarkStart w:id="274" w:name="_Toc989163"/>
      <w:r>
        <w:rPr>
          <w:rFonts w:ascii="宋体" w:hAnsi="宋体" w:eastAsia="宋体" w:cs="宋体"/>
          <w:b/>
          <w:bCs/>
          <w:sz w:val="21"/>
          <w:szCs w:val="21"/>
        </w:rPr>
        <w:t>54、现金流量表项目</w:t>
      </w:r>
      <w:bookmarkEnd w:id="274"/>
    </w:p>
    <w:p>
      <w:pPr>
        <w:keepNext/>
        <w:keepLines/>
        <w:spacing w:before="300" w:after="300" w:line="280" w:lineRule="exact"/>
        <w:jc w:val="left"/>
        <w:outlineLvl w:val="3"/>
        <w:rPr>
          <w:rFonts w:ascii="宋体" w:hAnsi="宋体" w:eastAsia="宋体" w:cs="宋体"/>
          <w:b/>
          <w:bCs/>
          <w:sz w:val="21"/>
          <w:szCs w:val="21"/>
        </w:rPr>
      </w:pPr>
      <w:bookmarkStart w:id="275" w:name="_Toc989164"/>
      <w:r>
        <w:rPr>
          <w:rFonts w:ascii="宋体" w:hAnsi="宋体" w:eastAsia="宋体" w:cs="宋体"/>
          <w:b/>
          <w:bCs/>
          <w:sz w:val="21"/>
          <w:szCs w:val="21"/>
        </w:rPr>
        <w:t>（1） 与经营活动有关的现金</w:t>
      </w:r>
      <w:bookmarkEnd w:id="275"/>
    </w:p>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3,416,862.86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4,086,890.20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收到往来款、代垫款及保证金等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1,990,493.36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6,840,006.77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营业外收入、其他收益、递延收益的变动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2,020,562.62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42,269,489.81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经营活动受限保证金、存单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20,198,083.40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27,626,002.24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53,196,386.78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技术开发费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194,174.76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381,132.08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支付往来款及其他付现费用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11,670,763.68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12,479,122.40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经营活动受限保证金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7,685,943.75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11,046,870.00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售后服务费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1,182,644.71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2,314,165.79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2,042,063.11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2,590,072.36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中介费用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1,848,888.05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2,004,610.36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展览及广告宣传费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756,493.80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669,569.06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办公费及会务费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1,496,335.55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951,057.84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26,877,307.41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32,436,599.89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276" w:name="_Toc989165"/>
      <w:r>
        <w:rPr>
          <w:rFonts w:ascii="宋体" w:hAnsi="宋体" w:eastAsia="宋体" w:cs="宋体"/>
          <w:b/>
          <w:bCs/>
          <w:sz w:val="21"/>
          <w:szCs w:val="21"/>
        </w:rPr>
        <w:t>（2） 与投资活动有关的现金</w:t>
      </w:r>
      <w:bookmarkEnd w:id="276"/>
    </w:p>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投资活动受限保证金、存单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3,012,969.52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3,012,969.52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收到的重要的与投资活动有关的现金</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购买固定资产收回的信用证保证金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3,012,969.52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3,012,969.52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支付的其他与投资活动有关的现金</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支付的重要的与投资活动有关的现金</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277" w:name="_Toc989166"/>
      <w:r>
        <w:rPr>
          <w:rFonts w:ascii="宋体" w:hAnsi="宋体" w:eastAsia="宋体" w:cs="宋体"/>
          <w:b/>
          <w:bCs/>
          <w:sz w:val="21"/>
          <w:szCs w:val="21"/>
        </w:rPr>
        <w:t>（3） 与筹资活动有关的现金</w:t>
      </w:r>
      <w:bookmarkEnd w:id="277"/>
    </w:p>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筹资活动产生的各项负债变动情况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78" w:name="_Toc989167"/>
      <w:r>
        <w:rPr>
          <w:rFonts w:ascii="宋体" w:hAnsi="宋体" w:eastAsia="宋体" w:cs="宋体"/>
          <w:b/>
          <w:bCs/>
          <w:sz w:val="21"/>
          <w:szCs w:val="21"/>
        </w:rPr>
        <w:t>（4） 以净额列报现金流量的说明</w:t>
      </w:r>
      <w:bookmarkEnd w:id="278"/>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相关事实情况</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采用净额列报的依据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财务影响</w:t>
            </w:r>
          </w:p>
        </w:tc>
      </w:tr>
    </w:tbl>
    <w:p>
      <w:pPr>
        <w:keepNext/>
        <w:keepLines/>
        <w:spacing w:before="300" w:after="300" w:line="280" w:lineRule="exact"/>
        <w:jc w:val="left"/>
        <w:outlineLvl w:val="3"/>
        <w:rPr>
          <w:rFonts w:ascii="宋体" w:hAnsi="宋体" w:eastAsia="宋体" w:cs="宋体"/>
          <w:b/>
          <w:bCs/>
          <w:sz w:val="21"/>
          <w:szCs w:val="21"/>
        </w:rPr>
      </w:pPr>
      <w:bookmarkStart w:id="279" w:name="_Toc989168"/>
      <w:r>
        <w:rPr>
          <w:rFonts w:ascii="宋体" w:hAnsi="宋体" w:eastAsia="宋体" w:cs="宋体"/>
          <w:b/>
          <w:bCs/>
          <w:sz w:val="21"/>
          <w:szCs w:val="21"/>
        </w:rPr>
        <w:t>（5） 不涉及当期现金收支、但影响企业财务状况或在未来可能影响企业现金流量的重大活动及财务影响</w:t>
      </w:r>
      <w:bookmarkEnd w:id="279"/>
    </w:p>
    <w:p>
      <w:pPr>
        <w:keepNext/>
        <w:keepLines/>
        <w:spacing w:before="300" w:after="300" w:line="280" w:lineRule="exact"/>
        <w:jc w:val="left"/>
        <w:outlineLvl w:val="2"/>
        <w:rPr>
          <w:rFonts w:ascii="宋体" w:hAnsi="宋体" w:eastAsia="宋体" w:cs="宋体"/>
          <w:b/>
          <w:bCs/>
          <w:sz w:val="21"/>
          <w:szCs w:val="21"/>
        </w:rPr>
      </w:pPr>
      <w:bookmarkStart w:id="280" w:name="_Toc989169"/>
      <w:r>
        <w:rPr>
          <w:rFonts w:ascii="宋体" w:hAnsi="宋体" w:eastAsia="宋体" w:cs="宋体"/>
          <w:b/>
          <w:bCs/>
          <w:sz w:val="21"/>
          <w:szCs w:val="21"/>
        </w:rPr>
        <w:t>55、现金流量表补充资料</w:t>
      </w:r>
      <w:bookmarkEnd w:id="280"/>
    </w:p>
    <w:p>
      <w:pPr>
        <w:keepNext/>
        <w:keepLines/>
        <w:spacing w:before="300" w:after="300" w:line="280" w:lineRule="exact"/>
        <w:jc w:val="left"/>
        <w:outlineLvl w:val="3"/>
        <w:rPr>
          <w:rFonts w:ascii="宋体" w:hAnsi="宋体" w:eastAsia="宋体" w:cs="宋体"/>
          <w:b/>
          <w:bCs/>
          <w:sz w:val="21"/>
          <w:szCs w:val="21"/>
        </w:rPr>
      </w:pPr>
      <w:bookmarkStart w:id="281" w:name="_Toc989170"/>
      <w:r>
        <w:rPr>
          <w:rFonts w:ascii="宋体" w:hAnsi="宋体" w:eastAsia="宋体" w:cs="宋体"/>
          <w:b/>
          <w:bCs/>
          <w:sz w:val="21"/>
          <w:szCs w:val="21"/>
        </w:rPr>
        <w:t>（1） 现金流量表补充资料</w:t>
      </w:r>
      <w:bookmarkEnd w:id="2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2,034,632.62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10,074,763.84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ind w:firstLine="360" w:firstLineChars="200"/>
              <w:jc w:val="left"/>
              <w:rPr>
                <w:rFonts w:ascii="仿宋" w:hAnsi="仿宋" w:eastAsia="仿宋" w:cs="仿宋"/>
                <w:sz w:val="21"/>
                <w:szCs w:val="21"/>
              </w:rPr>
            </w:pPr>
            <w:r>
              <w:rPr>
                <w:rFonts w:ascii="宋体" w:hAnsi="宋体" w:eastAsia="宋体" w:cs="宋体"/>
                <w:sz w:val="18"/>
                <w:szCs w:val="18"/>
              </w:rPr>
              <w:t>加：信用减值准备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-2,425,128.78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2,827,101.93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16,180.87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887,720.79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32,418,929.86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24,383,034.38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10,554,503.85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9,845,450.31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1,084,549.12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728,936.05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-1,384,636.05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87,299.19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61,695.93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-2,279,564.88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2,403,764.32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7,935,206.78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68,123.38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-687,761.30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-222,078.91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-219,454.02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-47,540,721.19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-47,878,917.87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61,319,718.09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-81,842,638.39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-68,723,584.10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35,610,060.07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37,060,097.57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-25,784,064.22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28,197,981.82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-67,784,762.58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442,310,129.79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508,894,660.31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-22,240,812.42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-38,773,261.80</w:t>
            </w:r>
          </w:p>
        </w:tc>
      </w:tr>
    </w:tbl>
    <w:p>
      <w:pPr>
        <w:keepNext/>
        <w:keepLines/>
        <w:spacing w:before="300" w:after="300" w:line="280" w:lineRule="exact"/>
        <w:jc w:val="left"/>
        <w:outlineLvl w:val="3"/>
        <w:rPr>
          <w:rFonts w:ascii="宋体" w:hAnsi="宋体" w:eastAsia="宋体" w:cs="宋体"/>
          <w:b/>
          <w:bCs/>
          <w:sz w:val="21"/>
          <w:szCs w:val="21"/>
        </w:rPr>
      </w:pPr>
      <w:bookmarkStart w:id="282" w:name="_Toc989171"/>
      <w:r>
        <w:rPr>
          <w:rFonts w:ascii="宋体" w:hAnsi="宋体" w:eastAsia="宋体" w:cs="宋体"/>
          <w:b/>
          <w:bCs/>
          <w:sz w:val="21"/>
          <w:szCs w:val="21"/>
        </w:rPr>
        <w:t>（2） 现金和现金等价物的构成</w:t>
      </w:r>
      <w:bookmarkEnd w:id="2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442,310,129.79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442,310,129.79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442,310,129.79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r>
    </w:tbl>
    <w:p>
      <w:pPr>
        <w:keepNext/>
        <w:keepLines/>
        <w:spacing w:before="300" w:after="300" w:line="280" w:lineRule="exact"/>
        <w:jc w:val="left"/>
        <w:outlineLvl w:val="3"/>
        <w:rPr>
          <w:rFonts w:ascii="宋体" w:hAnsi="宋体" w:eastAsia="宋体" w:cs="宋体"/>
          <w:b/>
          <w:bCs/>
          <w:sz w:val="21"/>
          <w:szCs w:val="21"/>
        </w:rPr>
      </w:pPr>
      <w:bookmarkStart w:id="283" w:name="_Toc989172"/>
      <w:r>
        <w:rPr>
          <w:rFonts w:ascii="宋体" w:hAnsi="宋体" w:eastAsia="宋体" w:cs="宋体"/>
          <w:b/>
          <w:bCs/>
          <w:sz w:val="21"/>
          <w:szCs w:val="21"/>
        </w:rPr>
        <w:t>（3） 不属于现金及现金等价物的货币资金</w:t>
      </w:r>
      <w:bookmarkEnd w:id="28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不属于现金及现金等价物的理由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银行承兑汇票保证金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8,149,228.64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11,046,870.00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冻结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信用证保证金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20,883,950.36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39,717,148.52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冻结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29,033,179.00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50,764,018.52</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4" w:name="_Toc989173"/>
      <w:r>
        <w:rPr>
          <w:rFonts w:ascii="宋体" w:hAnsi="宋体" w:eastAsia="宋体" w:cs="宋体"/>
          <w:b/>
          <w:bCs/>
          <w:sz w:val="21"/>
          <w:szCs w:val="21"/>
        </w:rPr>
        <w:t>56、外币货币性项目</w:t>
      </w:r>
      <w:bookmarkEnd w:id="284"/>
    </w:p>
    <w:p>
      <w:pPr>
        <w:keepNext/>
        <w:keepLines/>
        <w:spacing w:before="300" w:after="300" w:line="280" w:lineRule="exact"/>
        <w:jc w:val="left"/>
        <w:outlineLvl w:val="3"/>
        <w:rPr>
          <w:rFonts w:ascii="宋体" w:hAnsi="宋体" w:eastAsia="宋体" w:cs="宋体"/>
          <w:b/>
          <w:bCs/>
          <w:sz w:val="21"/>
          <w:szCs w:val="21"/>
        </w:rPr>
      </w:pPr>
      <w:bookmarkStart w:id="285" w:name="_Toc989174"/>
      <w:r>
        <w:rPr>
          <w:rFonts w:ascii="宋体" w:hAnsi="宋体" w:eastAsia="宋体" w:cs="宋体"/>
          <w:b/>
          <w:bCs/>
          <w:sz w:val="21"/>
          <w:szCs w:val="21"/>
        </w:rPr>
        <w:t>（1） 外币货币性项目</w:t>
      </w:r>
      <w:bookmarkEnd w:id="2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1,215.06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7.1268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86" w:name="_Toc989175"/>
      <w:r>
        <w:rPr>
          <w:rFonts w:ascii="宋体" w:hAnsi="宋体" w:eastAsia="宋体" w:cs="宋体"/>
          <w:b/>
          <w:bCs/>
          <w:sz w:val="21"/>
          <w:szCs w:val="21"/>
        </w:rPr>
        <w:t>（2） 境外经营实体说明，包括对于重要的境外经营实体，应披露其境外主要经营地、记账本位币及选择依据，记账本位币发生变化的还应披露原因。</w:t>
      </w:r>
      <w:bookmarkEnd w:id="28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87" w:name="_Toc989176"/>
      <w:r>
        <w:rPr>
          <w:rFonts w:ascii="宋体" w:hAnsi="宋体" w:eastAsia="宋体" w:cs="宋体"/>
          <w:b/>
          <w:bCs/>
          <w:sz w:val="21"/>
          <w:szCs w:val="21"/>
        </w:rPr>
        <w:t>57、租赁</w:t>
      </w:r>
      <w:bookmarkEnd w:id="287"/>
    </w:p>
    <w:p>
      <w:pPr>
        <w:keepNext/>
        <w:keepLines/>
        <w:spacing w:before="300" w:after="300" w:line="280" w:lineRule="exact"/>
        <w:jc w:val="left"/>
        <w:outlineLvl w:val="3"/>
        <w:rPr>
          <w:rFonts w:ascii="宋体" w:hAnsi="宋体" w:eastAsia="宋体" w:cs="宋体"/>
          <w:b/>
          <w:bCs/>
          <w:sz w:val="21"/>
          <w:szCs w:val="21"/>
        </w:rPr>
      </w:pPr>
      <w:bookmarkStart w:id="288" w:name="_Toc989177"/>
      <w:r>
        <w:rPr>
          <w:rFonts w:ascii="宋体" w:hAnsi="宋体" w:eastAsia="宋体" w:cs="宋体"/>
          <w:b/>
          <w:bCs/>
          <w:sz w:val="21"/>
          <w:szCs w:val="21"/>
        </w:rPr>
        <w:t>（1） 本公司作为承租方</w:t>
      </w:r>
      <w:bookmarkEnd w:id="288"/>
    </w:p>
    <w:p>
      <w:pPr>
        <w:spacing w:before="100" w:after="100" w:line="240" w:lineRule="exact"/>
        <w:jc w:val="left"/>
        <w:rPr>
          <w:rFonts w:ascii="宋体" w:hAnsi="宋体" w:eastAsia="宋体" w:cs="宋体"/>
          <w:sz w:val="18"/>
          <w:szCs w:val="18"/>
        </w:rPr>
      </w:pPr>
      <w:bookmarkStart w:id="289" w:name="_Toc989178"/>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未纳入租赁负债计量的可变租赁付款额</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简化处理的短期租赁或低价值资产的租赁费用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89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61"/>
        <w:gridCol w:w="1342"/>
        <w:gridCol w:w="184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3361" w:type="dxa"/>
            <w:vMerge w:val="restart"/>
            <w:tcBorders>
              <w:top w:val="single" w:color="auto" w:sz="8" w:space="0"/>
              <w:left w:val="single" w:color="auto" w:sz="8" w:space="0"/>
              <w:bottom w:val="single" w:color="auto" w:sz="8" w:space="0"/>
              <w:right w:val="single" w:color="auto" w:sz="8" w:space="0"/>
            </w:tcBorders>
            <w:shd w:val="clear" w:color="auto" w:fill="D3D3D3"/>
            <w:tcMar>
              <w:top w:w="0" w:type="dxa"/>
              <w:left w:w="108" w:type="dxa"/>
              <w:bottom w:w="0" w:type="dxa"/>
              <w:right w:w="108" w:type="dxa"/>
            </w:tcMar>
            <w:vAlign w:val="center"/>
          </w:tcPr>
          <w:p>
            <w:pPr>
              <w:pStyle w:val="2"/>
              <w:keepNext w:val="0"/>
              <w:keepLines w:val="0"/>
              <w:widowControl/>
              <w:suppressLineNumbers w:val="0"/>
              <w:spacing w:before="40" w:beforeAutospacing="0" w:after="4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出租方名称</w:t>
            </w:r>
          </w:p>
        </w:tc>
        <w:tc>
          <w:tcPr>
            <w:tcW w:w="1342" w:type="dxa"/>
            <w:vMerge w:val="restart"/>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2"/>
              <w:keepNext w:val="0"/>
              <w:keepLines w:val="0"/>
              <w:widowControl/>
              <w:suppressLineNumbers w:val="0"/>
              <w:spacing w:before="40" w:beforeAutospacing="0" w:after="4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租赁资产种类</w:t>
            </w:r>
          </w:p>
        </w:tc>
        <w:tc>
          <w:tcPr>
            <w:tcW w:w="4200" w:type="dxa"/>
            <w:gridSpan w:val="2"/>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2"/>
              <w:keepNext w:val="0"/>
              <w:keepLines w:val="0"/>
              <w:widowControl/>
              <w:suppressLineNumbers w:val="0"/>
              <w:spacing w:before="40" w:beforeAutospacing="0" w:after="4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简化处理的短期租赁和低价值资产租赁的租金费用（如适用）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3361" w:type="dxa"/>
            <w:vMerge w:val="continue"/>
            <w:tcBorders>
              <w:top w:val="single" w:color="auto" w:sz="8" w:space="0"/>
              <w:left w:val="single" w:color="auto" w:sz="8" w:space="0"/>
              <w:bottom w:val="single" w:color="auto" w:sz="8" w:space="0"/>
              <w:right w:val="single" w:color="auto" w:sz="8" w:space="0"/>
            </w:tcBorders>
            <w:shd w:val="clear" w:color="auto" w:fill="D3D3D3"/>
            <w:tcMar>
              <w:top w:w="0" w:type="dxa"/>
              <w:left w:w="108" w:type="dxa"/>
              <w:bottom w:w="0" w:type="dxa"/>
              <w:right w:w="108" w:type="dxa"/>
            </w:tcMar>
            <w:vAlign w:val="center"/>
          </w:tcPr>
          <w:p>
            <w:pPr>
              <w:rPr>
                <w:rFonts w:hint="default" w:ascii="Times New Roman" w:hAnsi="Times New Roman" w:cs="Times New Roman"/>
                <w:sz w:val="20"/>
                <w:szCs w:val="20"/>
              </w:rPr>
            </w:pPr>
          </w:p>
        </w:tc>
        <w:tc>
          <w:tcPr>
            <w:tcW w:w="1342" w:type="dxa"/>
            <w:vMerge w:val="continue"/>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rPr>
                <w:rFonts w:hint="default" w:ascii="Times New Roman" w:hAnsi="Times New Roman" w:cs="Times New Roman"/>
                <w:sz w:val="20"/>
                <w:szCs w:val="20"/>
              </w:rPr>
            </w:pPr>
          </w:p>
        </w:tc>
        <w:tc>
          <w:tcPr>
            <w:tcW w:w="1845" w:type="dxa"/>
            <w:tcBorders>
              <w:top w:val="nil"/>
              <w:left w:val="single" w:color="auto" w:sz="8" w:space="0"/>
              <w:bottom w:val="single" w:color="auto" w:sz="8" w:space="0"/>
              <w:right w:val="single" w:color="auto" w:sz="8" w:space="0"/>
            </w:tcBorders>
            <w:shd w:val="clear" w:color="auto" w:fill="D3D3D3"/>
            <w:tcMar>
              <w:top w:w="0" w:type="dxa"/>
              <w:left w:w="108" w:type="dxa"/>
              <w:bottom w:w="0" w:type="dxa"/>
              <w:right w:w="108" w:type="dxa"/>
            </w:tcMar>
            <w:vAlign w:val="center"/>
          </w:tcPr>
          <w:p>
            <w:pPr>
              <w:pStyle w:val="2"/>
              <w:keepNext w:val="0"/>
              <w:keepLines w:val="0"/>
              <w:widowControl/>
              <w:suppressLineNumbers w:val="0"/>
              <w:spacing w:before="40" w:beforeAutospacing="0" w:after="4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本期发生额</w:t>
            </w:r>
          </w:p>
        </w:tc>
        <w:tc>
          <w:tcPr>
            <w:tcW w:w="2355" w:type="dxa"/>
            <w:tcBorders>
              <w:top w:val="nil"/>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2"/>
              <w:keepNext w:val="0"/>
              <w:keepLines w:val="0"/>
              <w:widowControl/>
              <w:suppressLineNumbers w:val="0"/>
              <w:spacing w:before="40" w:beforeAutospacing="0" w:after="4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33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sz w:val="18"/>
                <w:szCs w:val="18"/>
              </w:rPr>
              <w:t>湖南博云汽车制动材料有限公司</w:t>
            </w:r>
          </w:p>
        </w:tc>
        <w:tc>
          <w:tcPr>
            <w:tcW w:w="13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sz w:val="18"/>
                <w:szCs w:val="18"/>
              </w:rPr>
              <w:t>房屋</w:t>
            </w:r>
          </w:p>
        </w:tc>
        <w:tc>
          <w:tcPr>
            <w:tcW w:w="18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right"/>
              <w:rPr>
                <w:rFonts w:hint="default" w:ascii="Times New Roman" w:hAnsi="Times New Roman" w:cs="Times New Roman"/>
                <w:sz w:val="21"/>
                <w:szCs w:val="21"/>
              </w:rPr>
            </w:pPr>
            <w:r>
              <w:rPr>
                <w:rFonts w:hint="eastAsia" w:ascii="宋体" w:hAnsi="宋体" w:eastAsia="宋体" w:cs="宋体"/>
                <w:sz w:val="18"/>
                <w:szCs w:val="18"/>
              </w:rPr>
              <w:t>18,360.00</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right"/>
              <w:rPr>
                <w:rFonts w:hint="default" w:ascii="Times New Roman" w:hAnsi="Times New Roman" w:cs="Times New Roman"/>
                <w:sz w:val="21"/>
                <w:szCs w:val="21"/>
              </w:rPr>
            </w:pPr>
            <w:r>
              <w:rPr>
                <w:rFonts w:hint="eastAsia" w:ascii="宋体" w:hAnsi="宋体" w:eastAsia="宋体" w:cs="宋体"/>
                <w:sz w:val="18"/>
                <w:szCs w:val="18"/>
              </w:rPr>
              <w:t>9,360.00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3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湖南飞机起降系统技术研发有限公司</w:t>
            </w:r>
          </w:p>
        </w:tc>
        <w:tc>
          <w:tcPr>
            <w:tcW w:w="13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房屋</w:t>
            </w:r>
          </w:p>
        </w:tc>
        <w:tc>
          <w:tcPr>
            <w:tcW w:w="18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right"/>
              <w:rPr>
                <w:rFonts w:hint="default" w:ascii="Times New Roman" w:hAnsi="Times New Roman" w:cs="Times New Roman"/>
                <w:sz w:val="21"/>
                <w:szCs w:val="21"/>
              </w:rPr>
            </w:pPr>
            <w:r>
              <w:rPr>
                <w:rFonts w:hint="eastAsia" w:ascii="宋体" w:hAnsi="宋体" w:eastAsia="宋体" w:cs="宋体"/>
                <w:color w:val="000000"/>
                <w:sz w:val="18"/>
                <w:szCs w:val="18"/>
              </w:rPr>
              <w:t>1,442.64</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right"/>
              <w:rPr>
                <w:rFonts w:hint="default" w:ascii="Times New Roman" w:hAnsi="Times New Roman" w:cs="Times New Roman"/>
                <w:sz w:val="21"/>
                <w:szCs w:val="21"/>
              </w:rPr>
            </w:pPr>
            <w:r>
              <w:rPr>
                <w:rFonts w:hint="eastAsia" w:ascii="宋体" w:hAnsi="宋体" w:eastAsia="宋体" w:cs="宋体"/>
                <w:color w:val="FF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3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18"/>
                <w:szCs w:val="18"/>
              </w:rPr>
              <w:t>合计</w:t>
            </w:r>
          </w:p>
        </w:tc>
        <w:tc>
          <w:tcPr>
            <w:tcW w:w="13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sz w:val="18"/>
                <w:szCs w:val="18"/>
              </w:rPr>
              <w:t> </w:t>
            </w:r>
          </w:p>
        </w:tc>
        <w:tc>
          <w:tcPr>
            <w:tcW w:w="18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right"/>
              <w:rPr>
                <w:rFonts w:hint="default" w:ascii="Times New Roman" w:hAnsi="Times New Roman" w:cs="Times New Roman"/>
                <w:sz w:val="21"/>
                <w:szCs w:val="21"/>
              </w:rPr>
            </w:pPr>
            <w:r>
              <w:rPr>
                <w:rFonts w:hint="eastAsia" w:ascii="宋体" w:hAnsi="宋体" w:eastAsia="宋体" w:cs="宋体"/>
                <w:sz w:val="18"/>
                <w:szCs w:val="18"/>
              </w:rPr>
              <w:t>19,802.64</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right"/>
              <w:rPr>
                <w:rFonts w:hint="default" w:ascii="Times New Roman" w:hAnsi="Times New Roman" w:cs="Times New Roman"/>
                <w:sz w:val="21"/>
                <w:szCs w:val="21"/>
              </w:rPr>
            </w:pPr>
            <w:r>
              <w:rPr>
                <w:rFonts w:hint="eastAsia" w:ascii="宋体" w:hAnsi="宋体" w:eastAsia="宋体" w:cs="宋体"/>
                <w:sz w:val="18"/>
                <w:szCs w:val="18"/>
              </w:rPr>
              <w:t>9,360.00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涉及售后租回交易的情况</w:t>
      </w:r>
    </w:p>
    <w:p>
      <w:pPr>
        <w:keepNext/>
        <w:keepLines/>
        <w:spacing w:before="300" w:after="300" w:line="280" w:lineRule="exact"/>
        <w:jc w:val="left"/>
        <w:outlineLvl w:val="3"/>
        <w:rPr>
          <w:rFonts w:ascii="宋体" w:hAnsi="宋体" w:eastAsia="宋体" w:cs="宋体"/>
          <w:b/>
          <w:bCs/>
          <w:sz w:val="21"/>
          <w:szCs w:val="21"/>
        </w:rPr>
      </w:pPr>
      <w:r>
        <w:rPr>
          <w:rFonts w:ascii="宋体" w:hAnsi="宋体" w:eastAsia="宋体" w:cs="宋体"/>
          <w:b/>
          <w:bCs/>
          <w:sz w:val="21"/>
          <w:szCs w:val="21"/>
        </w:rPr>
        <w:t>（2） 本公司作为出租方</w:t>
      </w:r>
      <w:bookmarkEnd w:id="289"/>
    </w:p>
    <w:p>
      <w:pPr>
        <w:spacing w:before="100" w:after="100" w:line="240" w:lineRule="exact"/>
        <w:jc w:val="left"/>
        <w:rPr>
          <w:rFonts w:ascii="宋体" w:hAnsi="宋体" w:eastAsia="宋体" w:cs="宋体"/>
          <w:sz w:val="18"/>
          <w:szCs w:val="18"/>
        </w:rPr>
      </w:pPr>
      <w:r>
        <w:rPr>
          <w:rFonts w:ascii="宋体" w:hAnsi="宋体" w:eastAsia="宋体" w:cs="宋体"/>
          <w:sz w:val="18"/>
          <w:szCs w:val="18"/>
        </w:rPr>
        <w:t>作为出租人的经营租赁</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租赁收入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其中：未计入租赁收款额的可变租赁付款额相关的收入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经营租赁收入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3,708,844.17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3,708,844.17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3,708,844.17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3,708,844.17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作为出租人的融资租赁</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未来五年每年未折现租赁收款额</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642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每年未折现租赁收款额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第一年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6,661,452.95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7,030,588.37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第二年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6,649,071.62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6,784,955.13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第三年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5,623,544.74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5,428,691.89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第四年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5,587,924.56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3,405,880.12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第五年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5,587,924.56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3,394,870.95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五年后未折现租赁收款额总额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30,109,918.43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26,044,986.46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未折现租赁收款额与租赁投资净额的调节表</w:t>
      </w:r>
    </w:p>
    <w:p>
      <w:pPr>
        <w:keepNext/>
        <w:keepLines/>
        <w:spacing w:before="300" w:after="300" w:line="280" w:lineRule="exact"/>
        <w:jc w:val="left"/>
        <w:outlineLvl w:val="3"/>
        <w:rPr>
          <w:rFonts w:ascii="宋体" w:hAnsi="宋体" w:eastAsia="宋体" w:cs="宋体"/>
          <w:b/>
          <w:bCs/>
          <w:sz w:val="21"/>
          <w:szCs w:val="21"/>
        </w:rPr>
      </w:pPr>
      <w:bookmarkStart w:id="290" w:name="_Toc989179"/>
      <w:r>
        <w:rPr>
          <w:rFonts w:ascii="宋体" w:hAnsi="宋体" w:eastAsia="宋体" w:cs="宋体"/>
          <w:b/>
          <w:bCs/>
          <w:sz w:val="21"/>
          <w:szCs w:val="21"/>
        </w:rPr>
        <w:t>（3） 作为生产商或经销商确认融资租赁销售损益</w:t>
      </w:r>
      <w:bookmarkEnd w:id="29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291" w:name="_Toc989180"/>
      <w:r>
        <w:rPr>
          <w:rFonts w:ascii="宋体" w:hAnsi="宋体" w:eastAsia="宋体" w:cs="宋体"/>
          <w:b/>
          <w:bCs/>
          <w:sz w:val="24"/>
          <w:szCs w:val="24"/>
        </w:rPr>
        <w:t>八、研发支出</w:t>
      </w:r>
      <w:bookmarkEnd w:id="2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12,705,336.16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10,933,349.61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折旧和摊销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8,594,565.71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8,531,137.15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研发领料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4,602,940.31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13,414,077.75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水电燃料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875,537.94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940,575.90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研发测试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3,642,911.65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2,628,023.81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2,315,878.51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1,087,088.18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32,737,170.28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37,534,252.40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其中：费用化研发支出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17,049,482.22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18,625,897.74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资本化研发支出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15,687,688.06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18,908,354.66</w:t>
            </w:r>
          </w:p>
        </w:tc>
      </w:tr>
    </w:tbl>
    <w:p>
      <w:pPr>
        <w:keepNext/>
        <w:keepLines/>
        <w:spacing w:before="300" w:after="300" w:line="280" w:lineRule="exact"/>
        <w:jc w:val="left"/>
        <w:outlineLvl w:val="2"/>
        <w:rPr>
          <w:rFonts w:ascii="宋体" w:hAnsi="宋体" w:eastAsia="宋体" w:cs="宋体"/>
          <w:b/>
          <w:bCs/>
          <w:sz w:val="21"/>
          <w:szCs w:val="21"/>
        </w:rPr>
      </w:pPr>
      <w:bookmarkStart w:id="292" w:name="_Toc989181"/>
      <w:r>
        <w:rPr>
          <w:rFonts w:ascii="宋体" w:hAnsi="宋体" w:eastAsia="宋体" w:cs="宋体"/>
          <w:b/>
          <w:bCs/>
          <w:sz w:val="21"/>
          <w:szCs w:val="21"/>
        </w:rPr>
        <w:t>1、符合资本化条件的研发项目</w:t>
      </w:r>
      <w:bookmarkEnd w:id="2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研究支出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17,049,482.22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17,049,482.22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开发支出：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-金属碳化物粉末制备技术（一）</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12,144,886.37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3,336,782.53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15,481,668.90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-军机机轮刹车系统研制（二）</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21,936,993.47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9,073.89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1,674,830.18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20,271,237.18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-小额开发项目合计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17,344,149.94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12,341,831.64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637,839.38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1,321,204.95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27,726,937.25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51,426,029.78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15,687,688.06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637,839.38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2,996,035.13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63,479,843.33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减：减值准备</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51,426,029.78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32,737,170.28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637,839.38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20,045,517.35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63,479,843.33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重要的资本化研发项目</w:t>
      </w:r>
    </w:p>
    <w:p>
      <w:pPr>
        <w:spacing w:before="0" w:after="0" w:line="0" w:lineRule="exact"/>
        <w:jc w:val="left"/>
      </w:pP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研发进度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预计完成时间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预计经济利益产生方式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开始资本化的时点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开始资本化的具体依据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开发支出减值准备</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减值测试情况</w:t>
            </w:r>
          </w:p>
        </w:tc>
      </w:tr>
    </w:tbl>
    <w:p>
      <w:pPr>
        <w:keepNext/>
        <w:keepLines/>
        <w:spacing w:before="300" w:after="300" w:line="320" w:lineRule="exact"/>
        <w:jc w:val="left"/>
        <w:outlineLvl w:val="1"/>
        <w:rPr>
          <w:rFonts w:ascii="宋体" w:hAnsi="宋体" w:eastAsia="宋体" w:cs="宋体"/>
          <w:b/>
          <w:bCs/>
          <w:sz w:val="24"/>
          <w:szCs w:val="24"/>
        </w:rPr>
      </w:pPr>
      <w:bookmarkStart w:id="293" w:name="_Toc989182"/>
      <w:r>
        <w:rPr>
          <w:rFonts w:ascii="宋体" w:hAnsi="宋体" w:eastAsia="宋体" w:cs="宋体"/>
          <w:b/>
          <w:bCs/>
          <w:sz w:val="24"/>
          <w:szCs w:val="24"/>
        </w:rPr>
        <w:t>九、合并范围的变更</w:t>
      </w:r>
      <w:bookmarkEnd w:id="293"/>
    </w:p>
    <w:p>
      <w:pPr>
        <w:keepNext/>
        <w:keepLines/>
        <w:spacing w:before="300" w:after="300" w:line="280" w:lineRule="exact"/>
        <w:ind w:firstLine="420" w:firstLineChars="200"/>
        <w:jc w:val="left"/>
        <w:outlineLvl w:val="2"/>
        <w:rPr>
          <w:rFonts w:ascii="宋体" w:hAnsi="宋体" w:eastAsia="宋体" w:cs="宋体"/>
          <w:b/>
          <w:bCs/>
          <w:sz w:val="21"/>
          <w:szCs w:val="21"/>
        </w:rPr>
      </w:pPr>
      <w:bookmarkStart w:id="294" w:name="_Toc989183"/>
      <w:r>
        <w:rPr>
          <w:rFonts w:ascii="宋体" w:hAnsi="宋体" w:eastAsia="宋体" w:cs="宋体"/>
          <w:b/>
          <w:bCs/>
          <w:sz w:val="21"/>
          <w:szCs w:val="21"/>
        </w:rPr>
        <w:t>其他</w:t>
      </w:r>
      <w:bookmarkEnd w:id="294"/>
    </w:p>
    <w:p>
      <w:pPr>
        <w:pStyle w:val="2"/>
        <w:keepNext w:val="0"/>
        <w:keepLines w:val="0"/>
        <w:widowControl/>
        <w:suppressLineNumbers w:val="0"/>
        <w:spacing w:before="100" w:beforeAutospacing="0" w:after="100" w:afterAutospacing="0"/>
        <w:ind w:left="0" w:right="0" w:firstLine="420" w:firstLineChars="200"/>
        <w:jc w:val="left"/>
        <w:rPr>
          <w:rFonts w:hint="default" w:ascii="Times New Roman" w:hAnsi="Times New Roman" w:cs="Times New Roman"/>
          <w:sz w:val="24"/>
          <w:szCs w:val="24"/>
        </w:rPr>
      </w:pPr>
      <w:r>
        <w:rPr>
          <w:rFonts w:hint="eastAsia" w:ascii="宋体" w:hAnsi="宋体" w:eastAsia="宋体" w:cs="宋体"/>
          <w:color w:val="000000"/>
          <w:sz w:val="21"/>
          <w:szCs w:val="21"/>
        </w:rPr>
        <w:t>本公司无合并范围发生变化的情况。</w:t>
      </w:r>
    </w:p>
    <w:p>
      <w:pPr>
        <w:keepNext/>
        <w:keepLines/>
        <w:spacing w:before="300" w:after="300" w:line="320" w:lineRule="exact"/>
        <w:jc w:val="left"/>
        <w:outlineLvl w:val="1"/>
        <w:rPr>
          <w:rFonts w:ascii="宋体" w:hAnsi="宋体" w:eastAsia="宋体" w:cs="宋体"/>
          <w:b/>
          <w:bCs/>
          <w:sz w:val="24"/>
          <w:szCs w:val="24"/>
        </w:rPr>
      </w:pPr>
      <w:bookmarkStart w:id="295" w:name="_Toc989184"/>
      <w:r>
        <w:rPr>
          <w:rFonts w:ascii="宋体" w:hAnsi="宋体" w:eastAsia="宋体" w:cs="宋体"/>
          <w:b/>
          <w:bCs/>
          <w:sz w:val="24"/>
          <w:szCs w:val="24"/>
        </w:rPr>
        <w:t>十、在其他主体中的权益</w:t>
      </w:r>
      <w:bookmarkEnd w:id="295"/>
    </w:p>
    <w:p>
      <w:pPr>
        <w:keepNext/>
        <w:keepLines/>
        <w:spacing w:before="300" w:after="300" w:line="280" w:lineRule="exact"/>
        <w:jc w:val="left"/>
        <w:outlineLvl w:val="2"/>
        <w:rPr>
          <w:rFonts w:ascii="宋体" w:hAnsi="宋体" w:eastAsia="宋体" w:cs="宋体"/>
          <w:b/>
          <w:bCs/>
          <w:sz w:val="21"/>
          <w:szCs w:val="21"/>
        </w:rPr>
      </w:pPr>
      <w:bookmarkStart w:id="296" w:name="_Toc989185"/>
      <w:r>
        <w:rPr>
          <w:rFonts w:ascii="宋体" w:hAnsi="宋体" w:eastAsia="宋体" w:cs="宋体"/>
          <w:b/>
          <w:bCs/>
          <w:sz w:val="21"/>
          <w:szCs w:val="21"/>
        </w:rPr>
        <w:t>1、在子公司中的权益</w:t>
      </w:r>
      <w:bookmarkEnd w:id="296"/>
    </w:p>
    <w:p>
      <w:pPr>
        <w:keepNext/>
        <w:keepLines/>
        <w:spacing w:before="300" w:after="300" w:line="280" w:lineRule="exact"/>
        <w:jc w:val="left"/>
        <w:outlineLvl w:val="3"/>
        <w:rPr>
          <w:rFonts w:ascii="宋体" w:hAnsi="宋体" w:eastAsia="宋体" w:cs="宋体"/>
          <w:b/>
          <w:bCs/>
          <w:sz w:val="18"/>
          <w:szCs w:val="18"/>
        </w:rPr>
      </w:pPr>
      <w:bookmarkStart w:id="297" w:name="_Toc989186"/>
      <w:r>
        <w:rPr>
          <w:rFonts w:ascii="宋体" w:hAnsi="宋体" w:eastAsia="宋体" w:cs="宋体"/>
          <w:b/>
          <w:bCs/>
          <w:sz w:val="18"/>
          <w:szCs w:val="18"/>
        </w:rPr>
        <w:t>（1） 企业集团的构成</w:t>
      </w:r>
      <w:bookmarkEnd w:id="29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307,298,955.00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非同一控制下企业合并</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在子公司的持股比例不同于表决权比例的说明：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持有半数或以下表决权但仍控制被投资单位、以及持有半数以上表决权但不控制被投资单位的依据：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对于纳入合并范围的重要的结构化主体，控制的依据：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确定公司是代理人还是委托人的依据：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98" w:name="_Toc989187"/>
      <w:r>
        <w:rPr>
          <w:rFonts w:ascii="宋体" w:hAnsi="宋体" w:eastAsia="宋体" w:cs="宋体"/>
          <w:b/>
          <w:bCs/>
          <w:sz w:val="18"/>
          <w:szCs w:val="18"/>
        </w:rPr>
        <w:t>（2） 重要的非全资子公司</w:t>
      </w:r>
      <w:bookmarkEnd w:id="2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-274,998.79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22,744,059.58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子公司少数股东的持股比例不同于表决权比例的说明：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99" w:name="_Toc989188"/>
      <w:r>
        <w:rPr>
          <w:rFonts w:ascii="宋体" w:hAnsi="宋体" w:eastAsia="宋体" w:cs="宋体"/>
          <w:b/>
          <w:bCs/>
          <w:sz w:val="18"/>
          <w:szCs w:val="18"/>
        </w:rPr>
        <w:t>（3） 重要非全资子公司的主要财务信息</w:t>
      </w:r>
      <w:bookmarkEnd w:id="2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595,390,785.54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631,776,980.50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1,227,167,766.04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419,376,827.56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30,594,236.02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449,971,063.58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576,746,372.88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603,059,139.03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1,179,805,511.91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359,373,892.18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33,849,292.90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393,223,185.08</w:t>
            </w:r>
          </w:p>
        </w:tc>
      </w:tr>
    </w:tbl>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174,058,320.55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-9,385,624.37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-9,385,624.37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-50,643,292.37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129,925,634.04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-1,815,745.93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-1,815,745.93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-20,055,177.52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0" w:name="_Toc989189"/>
      <w:r>
        <w:rPr>
          <w:rFonts w:ascii="宋体" w:hAnsi="宋体" w:eastAsia="宋体" w:cs="宋体"/>
          <w:b/>
          <w:bCs/>
          <w:sz w:val="21"/>
          <w:szCs w:val="21"/>
        </w:rPr>
        <w:t>2、在合营安排或联营企业中的权益</w:t>
      </w:r>
      <w:bookmarkEnd w:id="300"/>
    </w:p>
    <w:p>
      <w:pPr>
        <w:keepNext/>
        <w:keepLines/>
        <w:spacing w:before="300" w:after="300" w:line="280" w:lineRule="exact"/>
        <w:jc w:val="left"/>
        <w:outlineLvl w:val="3"/>
        <w:rPr>
          <w:rFonts w:ascii="宋体" w:hAnsi="宋体" w:eastAsia="宋体" w:cs="宋体"/>
          <w:b/>
          <w:bCs/>
          <w:sz w:val="21"/>
          <w:szCs w:val="21"/>
        </w:rPr>
      </w:pPr>
      <w:bookmarkStart w:id="301" w:name="_Toc989190"/>
      <w:r>
        <w:rPr>
          <w:rFonts w:ascii="宋体" w:hAnsi="宋体" w:eastAsia="宋体" w:cs="宋体"/>
          <w:b/>
          <w:bCs/>
          <w:sz w:val="21"/>
          <w:szCs w:val="21"/>
        </w:rPr>
        <w:t>（1） 重要的合营企业或联营企业</w:t>
      </w:r>
      <w:bookmarkEnd w:id="301"/>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权益法</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在合营企业或联营企业的持股比例不同于表决权比例的说明：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持有20%以下表决权但具有重大影响，或者持有20%或以上表决权但不具有重大影响的依据：</w:t>
      </w:r>
    </w:p>
    <w:p>
      <w:pPr>
        <w:keepNext/>
        <w:keepLines/>
        <w:spacing w:before="300" w:after="300" w:line="280" w:lineRule="exact"/>
        <w:jc w:val="left"/>
        <w:outlineLvl w:val="3"/>
        <w:rPr>
          <w:rFonts w:ascii="宋体" w:hAnsi="宋体" w:eastAsia="宋体" w:cs="宋体"/>
          <w:b/>
          <w:bCs/>
          <w:sz w:val="21"/>
          <w:szCs w:val="21"/>
        </w:rPr>
      </w:pPr>
      <w:bookmarkStart w:id="302" w:name="_Toc989191"/>
      <w:r>
        <w:rPr>
          <w:rFonts w:ascii="宋体" w:hAnsi="宋体" w:eastAsia="宋体" w:cs="宋体"/>
          <w:b/>
          <w:bCs/>
          <w:sz w:val="21"/>
          <w:szCs w:val="21"/>
        </w:rPr>
        <w:t>（2） 重要联营企业的主要财务信息</w:t>
      </w:r>
      <w:bookmarkEnd w:id="30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105,212,625.23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108,917,010.31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159,415,147.03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167,316,923.27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264,627,772.26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276,233,933.58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68,904,675.58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72,859,989.99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170,115,458.41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169,110,941.00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239,020,133.99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241,970,930.99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25,607,638.27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34,263,002.59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12,547,742.75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16,788,871.27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-1,878,456.54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-1,878,456.54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-1,878,456.54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10,669,286.20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存在公开报价的联营企业权益投资的公允价值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4,940,291.81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3,102,023.20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-8,655,364.32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-19,624,293.44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-8,655,364.32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-19,624,293.44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本年度收到的来自联营企业的股利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320" w:lineRule="exact"/>
        <w:jc w:val="left"/>
        <w:outlineLvl w:val="1"/>
        <w:rPr>
          <w:rFonts w:ascii="宋体" w:hAnsi="宋体" w:eastAsia="宋体" w:cs="宋体"/>
          <w:b/>
          <w:bCs/>
          <w:sz w:val="24"/>
          <w:szCs w:val="24"/>
        </w:rPr>
      </w:pPr>
      <w:bookmarkStart w:id="303" w:name="_Toc989192"/>
      <w:r>
        <w:rPr>
          <w:rFonts w:ascii="宋体" w:hAnsi="宋体" w:eastAsia="宋体" w:cs="宋体"/>
          <w:b/>
          <w:bCs/>
          <w:sz w:val="24"/>
          <w:szCs w:val="24"/>
        </w:rPr>
        <w:t>十一、政府补助</w:t>
      </w:r>
      <w:bookmarkEnd w:id="303"/>
    </w:p>
    <w:p>
      <w:pPr>
        <w:keepNext/>
        <w:keepLines/>
        <w:spacing w:before="300" w:after="300" w:line="280" w:lineRule="exact"/>
        <w:jc w:val="left"/>
        <w:outlineLvl w:val="2"/>
        <w:rPr>
          <w:rFonts w:ascii="宋体" w:hAnsi="宋体" w:eastAsia="宋体" w:cs="宋体"/>
          <w:b/>
          <w:bCs/>
          <w:sz w:val="21"/>
          <w:szCs w:val="21"/>
        </w:rPr>
      </w:pPr>
      <w:bookmarkStart w:id="304" w:name="_Toc989193"/>
      <w:r>
        <w:rPr>
          <w:rFonts w:ascii="宋体" w:hAnsi="宋体" w:eastAsia="宋体" w:cs="宋体"/>
          <w:b/>
          <w:bCs/>
          <w:sz w:val="21"/>
          <w:szCs w:val="21"/>
        </w:rPr>
        <w:t>1、报告期末按应收金额确认的政府补助</w:t>
      </w:r>
      <w:bookmarkEnd w:id="30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0" w:after="0" w:line="240" w:lineRule="exact"/>
        <w:jc w:val="left"/>
        <w:rPr>
          <w:rFonts w:ascii="宋体" w:hAnsi="宋体" w:eastAsia="宋体" w:cs="宋体"/>
          <w:sz w:val="18"/>
          <w:szCs w:val="18"/>
        </w:rPr>
      </w:pPr>
      <w:r>
        <w:rPr>
          <w:rFonts w:ascii="宋体" w:hAnsi="宋体" w:eastAsia="宋体" w:cs="宋体"/>
          <w:sz w:val="18"/>
          <w:szCs w:val="18"/>
        </w:rPr>
        <w:t>未能在预计时点收到预计金额的政府补助的原因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80" w:name="_GoBack"/>
      <w:bookmarkEnd w:id="380"/>
      <w:bookmarkStart w:id="305" w:name="_Toc989194"/>
      <w:r>
        <w:rPr>
          <w:rFonts w:ascii="宋体" w:hAnsi="宋体" w:eastAsia="宋体" w:cs="宋体"/>
          <w:b/>
          <w:bCs/>
          <w:sz w:val="21"/>
          <w:szCs w:val="21"/>
        </w:rPr>
        <w:t>2、涉及政府补助的负债项目</w:t>
      </w:r>
      <w:bookmarkEnd w:id="305"/>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85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13"/>
        <w:gridCol w:w="1409"/>
        <w:gridCol w:w="927"/>
        <w:gridCol w:w="1205"/>
        <w:gridCol w:w="1205"/>
        <w:gridCol w:w="860"/>
        <w:gridCol w:w="1428"/>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会计科目</w:t>
            </w:r>
          </w:p>
        </w:tc>
        <w:tc>
          <w:tcPr>
            <w:tcW w:w="1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本期新增补助金额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本期计入营业外收入金额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本期转入其他收益金额</w:t>
            </w:r>
          </w:p>
        </w:tc>
        <w:tc>
          <w:tcPr>
            <w:tcW w:w="8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本期其他变动</w:t>
            </w:r>
          </w:p>
        </w:tc>
        <w:tc>
          <w:tcPr>
            <w:tcW w:w="14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C/C复合材料技术产业化项目</w:t>
            </w:r>
          </w:p>
        </w:tc>
        <w:tc>
          <w:tcPr>
            <w:tcW w:w="1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9,336,889.14</w:t>
            </w:r>
          </w:p>
        </w:tc>
        <w:tc>
          <w:tcPr>
            <w:tcW w:w="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156,063.56</w:t>
            </w:r>
          </w:p>
        </w:tc>
        <w:tc>
          <w:tcPr>
            <w:tcW w:w="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9,180,825.58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国家炭/炭复合材料工程技术研究中心项目</w:t>
            </w:r>
          </w:p>
        </w:tc>
        <w:tc>
          <w:tcPr>
            <w:tcW w:w="1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1,375,000.00</w:t>
            </w:r>
          </w:p>
        </w:tc>
        <w:tc>
          <w:tcPr>
            <w:tcW w:w="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c>
          <w:tcPr>
            <w:tcW w:w="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1,225,000.00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305吨高性能碳/碳复合材料研发与产业化项目</w:t>
            </w:r>
          </w:p>
        </w:tc>
        <w:tc>
          <w:tcPr>
            <w:tcW w:w="1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6,826,827.33</w:t>
            </w:r>
          </w:p>
        </w:tc>
        <w:tc>
          <w:tcPr>
            <w:tcW w:w="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808,575.78</w:t>
            </w:r>
          </w:p>
        </w:tc>
        <w:tc>
          <w:tcPr>
            <w:tcW w:w="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6,018,251.55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湘江新区经济发展局-第四批中央专项资金</w:t>
            </w:r>
          </w:p>
        </w:tc>
        <w:tc>
          <w:tcPr>
            <w:tcW w:w="1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7,328,737.99</w:t>
            </w:r>
          </w:p>
        </w:tc>
        <w:tc>
          <w:tcPr>
            <w:tcW w:w="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266,580.16</w:t>
            </w:r>
          </w:p>
        </w:tc>
        <w:tc>
          <w:tcPr>
            <w:tcW w:w="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7,062,157.83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大批量高密度碳/碳刹车材料制备关键技术研究与应用</w:t>
            </w:r>
          </w:p>
        </w:tc>
        <w:tc>
          <w:tcPr>
            <w:tcW w:w="1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1,206,000.00</w:t>
            </w:r>
          </w:p>
        </w:tc>
        <w:tc>
          <w:tcPr>
            <w:tcW w:w="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301,500.00</w:t>
            </w:r>
          </w:p>
        </w:tc>
        <w:tc>
          <w:tcPr>
            <w:tcW w:w="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904,500.00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湖南省企业科技创新创业团队支持计划</w:t>
            </w:r>
          </w:p>
        </w:tc>
        <w:tc>
          <w:tcPr>
            <w:tcW w:w="1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333,333.33</w:t>
            </w:r>
          </w:p>
        </w:tc>
        <w:tc>
          <w:tcPr>
            <w:tcW w:w="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333,333.33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高效精密硬质合金工模具与高强韧性特粗晶硬质合金掘进刀具麓谷基地产业化项目</w:t>
            </w:r>
          </w:p>
        </w:tc>
        <w:tc>
          <w:tcPr>
            <w:tcW w:w="1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33,829,258.97</w:t>
            </w:r>
          </w:p>
        </w:tc>
        <w:tc>
          <w:tcPr>
            <w:tcW w:w="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3,255,056.88</w:t>
            </w:r>
          </w:p>
        </w:tc>
        <w:tc>
          <w:tcPr>
            <w:tcW w:w="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30,574,202.09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湖南省重大科技专项</w:t>
            </w:r>
          </w:p>
        </w:tc>
        <w:tc>
          <w:tcPr>
            <w:tcW w:w="1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2,745,842.04</w:t>
            </w:r>
          </w:p>
        </w:tc>
        <w:tc>
          <w:tcPr>
            <w:tcW w:w="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2,745,842.04</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2021年智能化改造项目</w:t>
            </w:r>
          </w:p>
        </w:tc>
        <w:tc>
          <w:tcPr>
            <w:tcW w:w="1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6,986,285.30</w:t>
            </w:r>
          </w:p>
        </w:tc>
        <w:tc>
          <w:tcPr>
            <w:tcW w:w="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574,267.49</w:t>
            </w:r>
          </w:p>
        </w:tc>
        <w:tc>
          <w:tcPr>
            <w:tcW w:w="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6,412,017.81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C919研制保障条件建设项目</w:t>
            </w:r>
          </w:p>
        </w:tc>
        <w:tc>
          <w:tcPr>
            <w:tcW w:w="1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37,213,523.77</w:t>
            </w:r>
          </w:p>
        </w:tc>
        <w:tc>
          <w:tcPr>
            <w:tcW w:w="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37,213,523.77</w:t>
            </w:r>
          </w:p>
        </w:tc>
        <w:tc>
          <w:tcPr>
            <w:tcW w:w="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军民融合产业发展项目</w:t>
            </w:r>
          </w:p>
        </w:tc>
        <w:tc>
          <w:tcPr>
            <w:tcW w:w="1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6,774,507.65</w:t>
            </w:r>
          </w:p>
        </w:tc>
        <w:tc>
          <w:tcPr>
            <w:tcW w:w="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448,616.34</w:t>
            </w:r>
          </w:p>
        </w:tc>
        <w:tc>
          <w:tcPr>
            <w:tcW w:w="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6,325,891.31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2018年金属碳化物车间建设项目支持资金</w:t>
            </w:r>
          </w:p>
        </w:tc>
        <w:tc>
          <w:tcPr>
            <w:tcW w:w="1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2,287,500.00</w:t>
            </w:r>
          </w:p>
        </w:tc>
        <w:tc>
          <w:tcPr>
            <w:tcW w:w="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75,000.00</w:t>
            </w:r>
          </w:p>
        </w:tc>
        <w:tc>
          <w:tcPr>
            <w:tcW w:w="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2,212,500.00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116,243,705.52</w:t>
            </w:r>
          </w:p>
        </w:tc>
        <w:tc>
          <w:tcPr>
            <w:tcW w:w="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43,249,183.98</w:t>
            </w:r>
          </w:p>
        </w:tc>
        <w:tc>
          <w:tcPr>
            <w:tcW w:w="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72,994,521.54</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keepNext/>
        <w:keepLines/>
        <w:spacing w:before="300" w:after="300" w:line="280" w:lineRule="exact"/>
        <w:jc w:val="left"/>
        <w:outlineLvl w:val="2"/>
        <w:rPr>
          <w:rFonts w:ascii="宋体" w:hAnsi="宋体" w:eastAsia="宋体" w:cs="宋体"/>
          <w:b/>
          <w:bCs/>
          <w:sz w:val="21"/>
          <w:szCs w:val="21"/>
        </w:rPr>
      </w:pPr>
      <w:bookmarkStart w:id="306" w:name="_Toc989195"/>
      <w:r>
        <w:rPr>
          <w:rFonts w:ascii="宋体" w:hAnsi="宋体" w:eastAsia="宋体" w:cs="宋体"/>
          <w:b/>
          <w:bCs/>
          <w:sz w:val="21"/>
          <w:szCs w:val="21"/>
        </w:rPr>
        <w:t>3、计入当期损益的政府补助</w:t>
      </w:r>
      <w:bookmarkEnd w:id="306"/>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会计科目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国产炭纤维增强、低成本、高性能炭/炭复合材料产业化项目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财务局305吨高性能碳/碳复合材料研发与产业化项目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808,575.78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808,575.78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C/C复合材料技术产业化项目专项资金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156,063.56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156,063.56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大批量高密度碳/碳刹车材料制备关键技术研究与应用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湘江新区经济发展局-第四批中央专项资金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266,580.16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收到2022年度湖南省工业企业技术改造经济贡献增量奖补资金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663,700.00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收到湘江新区2022年度支持企业开展标准化建设补助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高效精密硬质合金工模具与高强韧性特粗晶硬质合金掘进刀具麓谷基地产业化项目设备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3,255,056.88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高新技术企业奖补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2024年度第一批创新型省份建设专项资金+创新创业大赛资金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军民融合产业专项发展资金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448,616.34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466,919.46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智能化改造项目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574,267.49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307,798.56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扩岗补贴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25,379.61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2018年金属碳化物车间建设项目支持资金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航天航空用炭/炭复合材料高技术产业化项目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191,018.79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C919大型客机机轮及刹车系统研制保障条件建设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1,752,076.52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一次性吸纳就业补贴款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研发奖补资金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983,800.00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2018年制造强省专项资金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98,102.52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湖南湘江新区科技创新和产业促进局拨付原长沙高新区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2021年度湖南湘江新区先进制造业政策奖励资金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湖南湘江新区科技创新和产业促进局2020年第二批认定高新技术企业补贴资金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西夏墅政府企业表彰</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国家炭/炭复合材料工程技术研究中心项目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7,172,360.21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5,918,234.80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320" w:lineRule="exact"/>
        <w:jc w:val="left"/>
        <w:outlineLvl w:val="1"/>
        <w:rPr>
          <w:rFonts w:ascii="宋体" w:hAnsi="宋体" w:eastAsia="宋体" w:cs="宋体"/>
          <w:b/>
          <w:bCs/>
          <w:sz w:val="24"/>
          <w:szCs w:val="24"/>
        </w:rPr>
      </w:pPr>
      <w:bookmarkStart w:id="307" w:name="_Toc989196"/>
      <w:r>
        <w:rPr>
          <w:rFonts w:ascii="宋体" w:hAnsi="宋体" w:eastAsia="宋体" w:cs="宋体"/>
          <w:b/>
          <w:bCs/>
          <w:sz w:val="24"/>
          <w:szCs w:val="24"/>
        </w:rPr>
        <w:t>十二、与金融工具相关的风险</w:t>
      </w:r>
      <w:bookmarkEnd w:id="307"/>
    </w:p>
    <w:p>
      <w:pPr>
        <w:keepNext/>
        <w:keepLines/>
        <w:spacing w:before="300" w:after="300" w:line="280" w:lineRule="exact"/>
        <w:jc w:val="left"/>
        <w:outlineLvl w:val="2"/>
        <w:rPr>
          <w:rFonts w:ascii="宋体" w:hAnsi="宋体" w:eastAsia="宋体" w:cs="宋体"/>
          <w:b/>
          <w:bCs/>
          <w:sz w:val="21"/>
          <w:szCs w:val="21"/>
        </w:rPr>
      </w:pPr>
      <w:bookmarkStart w:id="308" w:name="_Toc989197"/>
      <w:r>
        <w:rPr>
          <w:rFonts w:ascii="宋体" w:hAnsi="宋体" w:eastAsia="宋体" w:cs="宋体"/>
          <w:b/>
          <w:bCs/>
          <w:sz w:val="21"/>
          <w:szCs w:val="21"/>
        </w:rPr>
        <w:t>1、金融工具产生的各类风险</w:t>
      </w:r>
      <w:bookmarkEnd w:id="308"/>
    </w:p>
    <w:p>
      <w:pPr>
        <w:pStyle w:val="2"/>
        <w:keepNext w:val="0"/>
        <w:keepLines w:val="0"/>
        <w:widowControl/>
        <w:suppressLineNumbers w:val="0"/>
        <w:spacing w:before="100" w:beforeAutospacing="0" w:after="100" w:afterAutospacing="0"/>
        <w:ind w:left="0" w:right="0" w:firstLine="422"/>
        <w:jc w:val="left"/>
        <w:rPr>
          <w:rFonts w:hint="default" w:ascii="Times New Roman" w:hAnsi="Times New Roman" w:cs="Times New Roman"/>
          <w:sz w:val="24"/>
          <w:szCs w:val="24"/>
        </w:rPr>
      </w:pPr>
      <w:r>
        <w:rPr>
          <w:rFonts w:hint="eastAsia" w:ascii="宋体" w:hAnsi="宋体" w:eastAsia="宋体" w:cs="宋体"/>
          <w:color w:val="000000"/>
          <w:sz w:val="21"/>
          <w:szCs w:val="21"/>
        </w:rPr>
        <w:t>金融工具产生的各类风险</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报告期的金融工具，金融资产主要为因经营而直接产生的贷款与应收款项，如货币资金、应收票据、应收账款、其他应收款等；金融负债主要为因经营而直接产生的其他金融负债，如应付票据、应付账款、长短期借款等。这些金融工具的主要目的在于为本公司的运营融资。</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本公司的金融工具导致的主要风险主要包括信用风险、流动风险及市场风险。</w:t>
      </w:r>
    </w:p>
    <w:p>
      <w:pPr>
        <w:pStyle w:val="2"/>
        <w:keepNext w:val="0"/>
        <w:keepLines w:val="0"/>
        <w:widowControl/>
        <w:suppressLineNumbers w:val="0"/>
        <w:spacing w:before="0" w:beforeAutospacing="0" w:after="0" w:afterAutospacing="0" w:line="360" w:lineRule="atLeast"/>
        <w:ind w:left="0" w:right="0" w:firstLine="422"/>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）信用风险</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本公司的金融资产主要为货币资金、应收票据、应收账款、其他应收款、交易性金融资产。信用风险主要来源于客户等未能如期偿付的应收款项，最大的风险敞口等于这些金融工具的账面金额。</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 1 \* GB3 \* MERGEFORMAT </w:instrText>
      </w:r>
      <w:r>
        <w:rPr>
          <w:rFonts w:hint="default" w:ascii="Times New Roman" w:hAnsi="Times New Roman" w:eastAsia="宋体" w:cs="Times New Roman"/>
          <w:sz w:val="21"/>
          <w:szCs w:val="21"/>
        </w:rPr>
        <w:fldChar w:fldCharType="separate"/>
      </w:r>
      <w:r>
        <w:t>①</w:t>
      </w:r>
      <w:r>
        <w:rPr>
          <w:rFonts w:hint="default" w:ascii="Times New Roman" w:hAnsi="Times New Roman" w:eastAsia="宋体" w:cs="Times New Roman"/>
          <w:sz w:val="21"/>
          <w:szCs w:val="21"/>
        </w:rPr>
        <w:fldChar w:fldCharType="end"/>
      </w:r>
      <w:r>
        <w:rPr>
          <w:rFonts w:hint="eastAsia" w:ascii="宋体" w:hAnsi="宋体" w:eastAsia="宋体" w:cs="宋体"/>
          <w:sz w:val="21"/>
          <w:szCs w:val="21"/>
        </w:rPr>
        <w:t>信用风险显著增加判断标准：</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本公司在每个资产负债表日评估相关金融工具的信用风险自初始确认后是否已显著增加。</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当触发以下一个或多个定量、定性标准时，本公司认为金融工具的信用风险已发生显著增加：</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cs="Times New Roman"/>
          <w:sz w:val="21"/>
          <w:szCs w:val="21"/>
          <w:lang w:val="en-US" w:eastAsia="zh-CN"/>
        </w:rPr>
        <w:t>A</w:t>
      </w:r>
      <w:r>
        <w:rPr>
          <w:rFonts w:hint="eastAsia" w:ascii="宋体" w:hAnsi="宋体" w:eastAsia="宋体" w:cs="宋体"/>
          <w:sz w:val="21"/>
          <w:szCs w:val="21"/>
        </w:rPr>
        <w:t>、定量标准主要为报告日剩余存续期违约概率较初始确认时上升超过</w:t>
      </w:r>
      <w:r>
        <w:rPr>
          <w:rFonts w:hint="default" w:ascii="Times New Roman" w:hAnsi="Times New Roman" w:eastAsia="宋体" w:cs="Times New Roman"/>
          <w:sz w:val="21"/>
          <w:szCs w:val="21"/>
        </w:rPr>
        <w:t>100%</w:t>
      </w:r>
      <w:r>
        <w:rPr>
          <w:rFonts w:hint="eastAsia" w:ascii="宋体" w:hAnsi="宋体" w:eastAsia="宋体" w:cs="宋体"/>
          <w:sz w:val="21"/>
          <w:szCs w:val="21"/>
        </w:rPr>
        <w:t>。</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cs="Times New Roman"/>
          <w:sz w:val="21"/>
          <w:szCs w:val="21"/>
          <w:lang w:val="en-US" w:eastAsia="zh-CN"/>
        </w:rPr>
        <w:t>B</w:t>
      </w:r>
      <w:r>
        <w:rPr>
          <w:rFonts w:hint="eastAsia" w:ascii="宋体" w:hAnsi="宋体" w:eastAsia="宋体" w:cs="宋体"/>
          <w:sz w:val="21"/>
          <w:szCs w:val="21"/>
        </w:rPr>
        <w:t>、定性标准主要债务人经营或财务情况出现重大不利变化、预警客户清单等。</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 2 \* GB3 \* MERGEFORMAT </w:instrText>
      </w:r>
      <w:r>
        <w:rPr>
          <w:rFonts w:hint="default" w:ascii="Times New Roman" w:hAnsi="Times New Roman" w:eastAsia="宋体" w:cs="Times New Roman"/>
          <w:sz w:val="21"/>
          <w:szCs w:val="21"/>
        </w:rPr>
        <w:fldChar w:fldCharType="separate"/>
      </w:r>
      <w:r>
        <w:t>②</w:t>
      </w:r>
      <w:r>
        <w:rPr>
          <w:rFonts w:hint="default" w:ascii="Times New Roman" w:hAnsi="Times New Roman" w:eastAsia="宋体" w:cs="Times New Roman"/>
          <w:sz w:val="21"/>
          <w:szCs w:val="21"/>
        </w:rPr>
        <w:fldChar w:fldCharType="end"/>
      </w:r>
      <w:r>
        <w:rPr>
          <w:rFonts w:hint="eastAsia" w:ascii="宋体" w:hAnsi="宋体" w:eastAsia="宋体" w:cs="宋体"/>
          <w:sz w:val="21"/>
          <w:szCs w:val="21"/>
        </w:rPr>
        <w:t>、已发生信用减值资产的定义：</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为确定是否发生信用减值，本公司所采用的界定标准，与内部针对相关金融工具的信用风险管理目标保持一致，同时考虑定量、定性指标。本公司评估债务人是否发生信用减值时，主要考虑以下因素：</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cs="Times New Roman"/>
          <w:sz w:val="21"/>
          <w:szCs w:val="21"/>
          <w:lang w:val="en-US" w:eastAsia="zh-CN"/>
        </w:rPr>
        <w:t>A</w:t>
      </w:r>
      <w:r>
        <w:rPr>
          <w:rFonts w:hint="eastAsia" w:ascii="宋体" w:hAnsi="宋体" w:eastAsia="宋体" w:cs="宋体"/>
          <w:sz w:val="21"/>
          <w:szCs w:val="21"/>
        </w:rPr>
        <w:t>、发行方或债务人发生重大财务困难；</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cs="Times New Roman"/>
          <w:sz w:val="21"/>
          <w:szCs w:val="21"/>
          <w:lang w:val="en-US" w:eastAsia="zh-CN"/>
        </w:rPr>
        <w:t>B</w:t>
      </w:r>
      <w:r>
        <w:rPr>
          <w:rFonts w:hint="eastAsia" w:ascii="宋体" w:hAnsi="宋体" w:eastAsia="宋体" w:cs="宋体"/>
          <w:sz w:val="21"/>
          <w:szCs w:val="21"/>
        </w:rPr>
        <w:t>、债务人违反合同，如偿付利息或本金违约或逾期等；</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cs="Times New Roman"/>
          <w:sz w:val="21"/>
          <w:szCs w:val="21"/>
          <w:lang w:val="en-US" w:eastAsia="zh-CN"/>
        </w:rPr>
        <w:t>C</w:t>
      </w:r>
      <w:r>
        <w:rPr>
          <w:rFonts w:hint="eastAsia" w:ascii="宋体" w:hAnsi="宋体" w:eastAsia="宋体" w:cs="宋体"/>
          <w:sz w:val="21"/>
          <w:szCs w:val="21"/>
        </w:rPr>
        <w:t>、债权人出于与债务人财务困难有关的经济或合同考虑，给予债务人在任何其他情况下都不会做出的让步；</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cs="Times New Roman"/>
          <w:sz w:val="21"/>
          <w:szCs w:val="21"/>
          <w:lang w:val="en-US" w:eastAsia="zh-CN"/>
        </w:rPr>
        <w:t>D</w:t>
      </w:r>
      <w:r>
        <w:rPr>
          <w:rFonts w:hint="eastAsia" w:ascii="宋体" w:hAnsi="宋体" w:eastAsia="宋体" w:cs="宋体"/>
          <w:sz w:val="21"/>
          <w:szCs w:val="21"/>
        </w:rPr>
        <w:t>、债务人很可能破产或进行其他财务重组；</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cs="Times New Roman"/>
          <w:sz w:val="21"/>
          <w:szCs w:val="21"/>
          <w:lang w:val="en-US" w:eastAsia="zh-CN"/>
        </w:rPr>
        <w:t>E</w:t>
      </w:r>
      <w:r>
        <w:rPr>
          <w:rFonts w:hint="eastAsia" w:ascii="宋体" w:hAnsi="宋体" w:eastAsia="宋体" w:cs="宋体"/>
          <w:sz w:val="21"/>
          <w:szCs w:val="21"/>
        </w:rPr>
        <w:t>、发行方或债务人财务困难导致该金融资产的活跃市场消失；</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cs="宋体"/>
          <w:sz w:val="21"/>
          <w:szCs w:val="21"/>
          <w:lang w:val="en-US" w:eastAsia="zh-CN"/>
        </w:rPr>
        <w:t>F</w:t>
      </w:r>
      <w:r>
        <w:rPr>
          <w:rFonts w:hint="eastAsia" w:ascii="宋体" w:hAnsi="宋体" w:eastAsia="宋体" w:cs="宋体"/>
          <w:sz w:val="21"/>
          <w:szCs w:val="21"/>
        </w:rPr>
        <w:t>、以大幅折扣购买或源生一项金融资产，该折扣反映了发生信用损失的事实；</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金融资产发生信用减值，有可能是多个事件的共同作用所致，未必是可单独识别的事件所致。</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 3 \* GB3 \* MERGEFORMAT </w:instrText>
      </w:r>
      <w:r>
        <w:rPr>
          <w:rFonts w:hint="default" w:ascii="Times New Roman" w:hAnsi="Times New Roman" w:eastAsia="宋体" w:cs="Times New Roman"/>
          <w:sz w:val="21"/>
          <w:szCs w:val="21"/>
        </w:rPr>
        <w:fldChar w:fldCharType="separate"/>
      </w:r>
      <w:r>
        <w:t>③</w:t>
      </w:r>
      <w:r>
        <w:rPr>
          <w:rFonts w:hint="default" w:ascii="Times New Roman" w:hAnsi="Times New Roman" w:eastAsia="宋体" w:cs="Times New Roman"/>
          <w:sz w:val="21"/>
          <w:szCs w:val="21"/>
        </w:rPr>
        <w:fldChar w:fldCharType="end"/>
      </w:r>
      <w:r>
        <w:rPr>
          <w:rFonts w:hint="eastAsia" w:ascii="宋体" w:hAnsi="宋体" w:eastAsia="宋体" w:cs="宋体"/>
          <w:sz w:val="21"/>
          <w:szCs w:val="21"/>
        </w:rPr>
        <w:t>、预期信用损失计量的参数</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根据信用风险是否发生显著增加以及是否已发生信用减值，本公司对不同的资产分别以</w:t>
      </w:r>
      <w:r>
        <w:rPr>
          <w:rFonts w:hint="default" w:ascii="Times New Roman" w:hAnsi="Times New Roman" w:eastAsia="宋体" w:cs="Times New Roman"/>
          <w:sz w:val="21"/>
          <w:szCs w:val="21"/>
        </w:rPr>
        <w:t xml:space="preserve">12 </w:t>
      </w:r>
      <w:r>
        <w:rPr>
          <w:rFonts w:hint="eastAsia" w:ascii="宋体" w:hAnsi="宋体" w:eastAsia="宋体" w:cs="宋体"/>
          <w:sz w:val="21"/>
          <w:szCs w:val="21"/>
        </w:rPr>
        <w:t>个月或整个存续期的预期信用损失计量减值准备。预期信用损失计量的关键参数包括违约损失率和违约风险敞口。本公司考虑历史统计数据</w:t>
      </w:r>
      <w:r>
        <w:rPr>
          <w:rFonts w:hint="default" w:ascii="Times New Roman" w:hAnsi="Times New Roman" w:eastAsia="宋体" w:cs="Times New Roman"/>
          <w:sz w:val="21"/>
          <w:szCs w:val="21"/>
        </w:rPr>
        <w:t>(</w:t>
      </w:r>
      <w:r>
        <w:rPr>
          <w:rFonts w:hint="eastAsia" w:ascii="宋体" w:hAnsi="宋体" w:eastAsia="宋体" w:cs="宋体"/>
          <w:sz w:val="21"/>
          <w:szCs w:val="21"/>
        </w:rPr>
        <w:t>回款期限以及还款方式等</w:t>
      </w:r>
      <w:r>
        <w:rPr>
          <w:rFonts w:hint="default" w:ascii="Times New Roman" w:hAnsi="Times New Roman" w:eastAsia="宋体" w:cs="Times New Roman"/>
          <w:sz w:val="21"/>
          <w:szCs w:val="21"/>
        </w:rPr>
        <w:t>)</w:t>
      </w:r>
      <w:r>
        <w:rPr>
          <w:rFonts w:hint="eastAsia" w:ascii="宋体" w:hAnsi="宋体" w:eastAsia="宋体" w:cs="宋体"/>
          <w:sz w:val="21"/>
          <w:szCs w:val="21"/>
        </w:rPr>
        <w:t>的定量分析及前瞻性信息，建立违约概率、违约损失率及违约风险敞口的违约损失率模型。</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相关定义如下：</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cs="Times New Roman"/>
          <w:sz w:val="21"/>
          <w:szCs w:val="21"/>
          <w:lang w:val="en-US" w:eastAsia="zh-CN"/>
        </w:rPr>
        <w:t>A</w:t>
      </w:r>
      <w:r>
        <w:rPr>
          <w:rFonts w:hint="eastAsia" w:ascii="宋体" w:hAnsi="宋体" w:eastAsia="宋体" w:cs="宋体"/>
          <w:sz w:val="21"/>
          <w:szCs w:val="21"/>
        </w:rPr>
        <w:t>、违约概率是指债务人在未来</w:t>
      </w:r>
      <w:r>
        <w:rPr>
          <w:rFonts w:hint="default" w:ascii="Times New Roman" w:hAnsi="Times New Roman" w:eastAsia="宋体" w:cs="Times New Roman"/>
          <w:sz w:val="21"/>
          <w:szCs w:val="21"/>
        </w:rPr>
        <w:t>12</w:t>
      </w:r>
      <w:r>
        <w:rPr>
          <w:rFonts w:hint="eastAsia" w:ascii="宋体" w:hAnsi="宋体" w:eastAsia="宋体" w:cs="宋体"/>
          <w:sz w:val="21"/>
          <w:szCs w:val="21"/>
        </w:rPr>
        <w:t>个月或在整个剩余存续期，无法履行其偿付义务的可能性。本公司的违约概率以应收款项历史迁移率模型为基础且考虑业绩增长因素进行调整，加入前瞻性信息，以反映当前宏观经济环境下债务人违约概率；</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cs="Times New Roman"/>
          <w:sz w:val="21"/>
          <w:szCs w:val="21"/>
          <w:lang w:val="en-US" w:eastAsia="zh-CN"/>
        </w:rPr>
        <w:t>B</w:t>
      </w:r>
      <w:r>
        <w:rPr>
          <w:rFonts w:hint="eastAsia" w:ascii="宋体" w:hAnsi="宋体" w:eastAsia="宋体" w:cs="宋体"/>
          <w:sz w:val="21"/>
          <w:szCs w:val="21"/>
        </w:rPr>
        <w:t>、违约损失率是指本公司对违约风险暴露发生损失程度作出的预期。违约损失率为违约发生时风险敞口损失的百分比，以未来</w:t>
      </w:r>
      <w:r>
        <w:rPr>
          <w:rFonts w:hint="default" w:ascii="Times New Roman" w:hAnsi="Times New Roman" w:eastAsia="宋体" w:cs="Times New Roman"/>
          <w:sz w:val="21"/>
          <w:szCs w:val="21"/>
        </w:rPr>
        <w:t>12</w:t>
      </w:r>
      <w:r>
        <w:rPr>
          <w:rFonts w:hint="eastAsia" w:ascii="宋体" w:hAnsi="宋体" w:eastAsia="宋体" w:cs="宋体"/>
          <w:sz w:val="21"/>
          <w:szCs w:val="21"/>
        </w:rPr>
        <w:t>个月内或整个存续期为基准进行计算；</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cs="Times New Roman"/>
          <w:sz w:val="21"/>
          <w:szCs w:val="21"/>
          <w:lang w:val="en-US" w:eastAsia="zh-CN"/>
        </w:rPr>
        <w:t>C</w:t>
      </w:r>
      <w:r>
        <w:rPr>
          <w:rFonts w:hint="eastAsia" w:ascii="宋体" w:hAnsi="宋体" w:eastAsia="宋体" w:cs="宋体"/>
          <w:sz w:val="21"/>
          <w:szCs w:val="21"/>
        </w:rPr>
        <w:t>、违约风险敞口是指，在未来</w:t>
      </w:r>
      <w:r>
        <w:rPr>
          <w:rFonts w:hint="default" w:ascii="Times New Roman" w:hAnsi="Times New Roman" w:eastAsia="宋体" w:cs="Times New Roman"/>
          <w:sz w:val="21"/>
          <w:szCs w:val="21"/>
        </w:rPr>
        <w:t>12</w:t>
      </w:r>
      <w:r>
        <w:rPr>
          <w:rFonts w:hint="eastAsia" w:ascii="宋体" w:hAnsi="宋体" w:eastAsia="宋体" w:cs="宋体"/>
          <w:sz w:val="21"/>
          <w:szCs w:val="21"/>
        </w:rPr>
        <w:t>个月或在整个剩余存续期中，在违约发生时，本公司应被偿付的金额。</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前瞻性信息</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信用风险显著增加的评估及预期信用损失的计算均涉及前瞻性信息。本公司通过进行历史数据分析，识别出影响各业务类型信用风险及预期信用损失的关键经济指标。</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本公司的货币资金主要为银行存款、保证金性质的其他货币资金，主要存放于在国内</w:t>
      </w:r>
      <w:r>
        <w:rPr>
          <w:rFonts w:hint="default" w:ascii="Times New Roman" w:hAnsi="Times New Roman" w:eastAsia="宋体" w:cs="Times New Roman"/>
          <w:sz w:val="21"/>
          <w:szCs w:val="21"/>
        </w:rPr>
        <w:t>A</w:t>
      </w:r>
      <w:r>
        <w:rPr>
          <w:rFonts w:hint="eastAsia" w:ascii="宋体" w:hAnsi="宋体" w:eastAsia="宋体" w:cs="宋体"/>
          <w:sz w:val="21"/>
          <w:szCs w:val="21"/>
        </w:rPr>
        <w:t>股上市的部分商业银行；应收票据主要为银行承兑汇票；交易性金融资产为购买银行的理财产品。本公司管理层认为上述金融资产不存在重大的信用风险。</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本公司应收账款主要为飞机刹车材料、军用及民用</w:t>
      </w:r>
      <w:r>
        <w:rPr>
          <w:rFonts w:hint="default" w:ascii="Times New Roman" w:hAnsi="Times New Roman" w:eastAsia="宋体" w:cs="Times New Roman"/>
          <w:sz w:val="21"/>
          <w:szCs w:val="21"/>
        </w:rPr>
        <w:t>CC</w:t>
      </w:r>
      <w:r>
        <w:rPr>
          <w:rFonts w:hint="eastAsia" w:ascii="宋体" w:hAnsi="宋体" w:eastAsia="宋体" w:cs="宋体"/>
          <w:sz w:val="21"/>
          <w:szCs w:val="21"/>
        </w:rPr>
        <w:t>复合材料和粉末冶金材料销售形成的应收账款，其中：飞机刹车材料和军用</w:t>
      </w:r>
      <w:r>
        <w:rPr>
          <w:rFonts w:hint="default" w:ascii="Times New Roman" w:hAnsi="Times New Roman" w:eastAsia="宋体" w:cs="Times New Roman"/>
          <w:sz w:val="21"/>
          <w:szCs w:val="21"/>
        </w:rPr>
        <w:t>CC</w:t>
      </w:r>
      <w:r>
        <w:rPr>
          <w:rFonts w:hint="eastAsia" w:ascii="宋体" w:hAnsi="宋体" w:eastAsia="宋体" w:cs="宋体"/>
          <w:sz w:val="21"/>
          <w:szCs w:val="21"/>
        </w:rPr>
        <w:t xml:space="preserve">复合材料销售客户，主要为国内航空公司、部队等军方和军工产品配套企业等，相应主要客户较为稳定且优质，报告期末，本公司管理层根据公司坏账准备计提政策，合理的计提了坏账准备。本公司管理层认为，上述应收账款不存在重大信用风险。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本公司其他应收款，主要为企业往来款、备用金等，已根据公司相应坏账准备计提政策，合理的计提了减值准备，本公司管理层认为，其他应收款所产生的信用风险是可控的。</w:t>
      </w:r>
      <w:r>
        <w:rPr>
          <w:rFonts w:hint="default" w:ascii="Times New Roman" w:hAnsi="Times New Roman" w:eastAsia="宋体" w:cs="Times New Roman"/>
          <w:color w:val="000000"/>
          <w:sz w:val="21"/>
          <w:szCs w:val="21"/>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）流动性风险</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 xml:space="preserve">本公司采用循环流动性计划工具管理资金短缺风险。该工具既考虑其金融工具的到期日，也考虑本公司运营产生的预计现金流量。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金融负债按未折现的合同现金流量所做的到期期限分析</w:t>
      </w:r>
    </w:p>
    <w:tbl>
      <w:tblPr>
        <w:tblStyle w:val="3"/>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234"/>
        <w:gridCol w:w="1974"/>
        <w:gridCol w:w="1842"/>
        <w:gridCol w:w="19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项目</w:t>
            </w:r>
          </w:p>
        </w:tc>
        <w:tc>
          <w:tcPr>
            <w:tcW w:w="5013"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期末余额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1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年以内</w:t>
            </w:r>
          </w:p>
        </w:tc>
        <w:tc>
          <w:tcPr>
            <w:tcW w:w="1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年以上</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合计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短期借款</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 xml:space="preserve">205,000,000.00 </w:t>
            </w:r>
          </w:p>
        </w:tc>
        <w:tc>
          <w:tcPr>
            <w:tcW w:w="1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ascii="Calibri" w:hAnsi="Calibri" w:cs="Calibri"/>
                <w:sz w:val="21"/>
                <w:szCs w:val="21"/>
              </w:rPr>
              <w:t> </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 xml:space="preserve">205,000,000.00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应付票据</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 xml:space="preserve">58,371,903.40 </w:t>
            </w:r>
          </w:p>
        </w:tc>
        <w:tc>
          <w:tcPr>
            <w:tcW w:w="1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Calibri" w:hAnsi="Calibri" w:cs="Calibri"/>
                <w:sz w:val="21"/>
                <w:szCs w:val="21"/>
              </w:rPr>
              <w:t> </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 xml:space="preserve">58,371,903.40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应付账款</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157,988,785.32</w:t>
            </w:r>
          </w:p>
        </w:tc>
        <w:tc>
          <w:tcPr>
            <w:tcW w:w="1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jc w:val="right"/>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 xml:space="preserve">20,739,788.54 </w:t>
            </w:r>
          </w:p>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 </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 xml:space="preserve">178,728,573.86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其他应付款</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3,186,404.38</w:t>
            </w:r>
          </w:p>
        </w:tc>
        <w:tc>
          <w:tcPr>
            <w:tcW w:w="1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jc w:val="right"/>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 xml:space="preserve">35,293,111.89 </w:t>
            </w:r>
          </w:p>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 </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 xml:space="preserve">38,479,516.27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其他流动负债</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 xml:space="preserve">42,245,686.86 </w:t>
            </w:r>
          </w:p>
        </w:tc>
        <w:tc>
          <w:tcPr>
            <w:tcW w:w="1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Calibri" w:hAnsi="Calibri" w:cs="Calibri"/>
                <w:sz w:val="21"/>
                <w:szCs w:val="21"/>
              </w:rPr>
              <w:t> </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 xml:space="preserve">42,245,686.86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一年内到期的非流动负债</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Calibri" w:hAnsi="Calibri" w:cs="Calibri"/>
                <w:sz w:val="21"/>
                <w:szCs w:val="21"/>
              </w:rPr>
              <w:t> </w:t>
            </w:r>
          </w:p>
        </w:tc>
        <w:tc>
          <w:tcPr>
            <w:tcW w:w="1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Calibri" w:hAnsi="Calibri" w:cs="Calibri"/>
                <w:sz w:val="21"/>
                <w:szCs w:val="21"/>
              </w:rPr>
              <w:t> </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Calibri" w:hAnsi="Calibri" w:cs="Calibri"/>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长期借款</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Calibri" w:hAnsi="Calibri" w:cs="Calibri"/>
                <w:sz w:val="21"/>
                <w:szCs w:val="21"/>
              </w:rPr>
              <w:t> </w:t>
            </w:r>
          </w:p>
        </w:tc>
        <w:tc>
          <w:tcPr>
            <w:tcW w:w="1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Calibri" w:hAnsi="Calibri" w:cs="Calibri"/>
                <w:sz w:val="21"/>
                <w:szCs w:val="21"/>
              </w:rPr>
              <w:t> </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Calibri" w:hAnsi="Calibri" w:cs="Calibri"/>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合计</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466,792,779.96</w:t>
            </w:r>
          </w:p>
        </w:tc>
        <w:tc>
          <w:tcPr>
            <w:tcW w:w="1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jc w:val="right"/>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 xml:space="preserve">56,032,900.43 </w:t>
            </w:r>
          </w:p>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 </w:t>
            </w:r>
          </w:p>
        </w:tc>
        <w:tc>
          <w:tcPr>
            <w:tcW w:w="1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 xml:space="preserve">522,825,680.39 </w:t>
            </w:r>
          </w:p>
        </w:tc>
      </w:tr>
    </w:tbl>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 </w:t>
      </w:r>
    </w:p>
    <w:tbl>
      <w:tblPr>
        <w:tblStyle w:val="3"/>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90"/>
        <w:gridCol w:w="1948"/>
        <w:gridCol w:w="1939"/>
        <w:gridCol w:w="194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6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项目</w:t>
            </w:r>
          </w:p>
        </w:tc>
        <w:tc>
          <w:tcPr>
            <w:tcW w:w="5051"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6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168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年以内</w:t>
            </w:r>
          </w:p>
        </w:tc>
        <w:tc>
          <w:tcPr>
            <w:tcW w:w="16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年以上</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合计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短期借款</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230,175,000.00</w:t>
            </w:r>
          </w:p>
        </w:tc>
        <w:tc>
          <w:tcPr>
            <w:tcW w:w="16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 </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230,175,000.00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应付票据</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125,433,836.83</w:t>
            </w:r>
          </w:p>
        </w:tc>
        <w:tc>
          <w:tcPr>
            <w:tcW w:w="16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 </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125,433,836.83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应付账款</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83,607,509.08</w:t>
            </w:r>
          </w:p>
        </w:tc>
        <w:tc>
          <w:tcPr>
            <w:tcW w:w="16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19,581,993.84</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103,189,502.92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其他应付款</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1,631,082.92</w:t>
            </w:r>
          </w:p>
        </w:tc>
        <w:tc>
          <w:tcPr>
            <w:tcW w:w="16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37,062,740.81</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38,693,823.73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其他流动负债</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48,637,053.78</w:t>
            </w:r>
          </w:p>
        </w:tc>
        <w:tc>
          <w:tcPr>
            <w:tcW w:w="16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 </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48,637,053.78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一年内到期的非流动负债</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 </w:t>
            </w:r>
          </w:p>
        </w:tc>
        <w:tc>
          <w:tcPr>
            <w:tcW w:w="16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 </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长期借款</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 </w:t>
            </w:r>
          </w:p>
        </w:tc>
        <w:tc>
          <w:tcPr>
            <w:tcW w:w="16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 </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合计</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489,484,482.61</w:t>
            </w:r>
          </w:p>
        </w:tc>
        <w:tc>
          <w:tcPr>
            <w:tcW w:w="16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56,644,734.65</w:t>
            </w:r>
          </w:p>
        </w:tc>
        <w:tc>
          <w:tcPr>
            <w:tcW w:w="16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546,129,217.26</w:t>
            </w:r>
          </w:p>
        </w:tc>
      </w:tr>
    </w:tbl>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）市场风险</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金融工具的市场</w:t>
      </w:r>
      <w:r>
        <w:rPr>
          <w:rFonts w:hint="eastAsia" w:ascii="宋体" w:hAnsi="宋体" w:eastAsia="宋体" w:cs="宋体"/>
          <w:sz w:val="21"/>
          <w:szCs w:val="21"/>
        </w:rPr>
        <w:t>风险</w:t>
      </w:r>
      <w:r>
        <w:rPr>
          <w:rFonts w:hint="eastAsia" w:ascii="宋体" w:hAnsi="宋体" w:eastAsia="宋体" w:cs="宋体"/>
          <w:color w:val="000000"/>
          <w:sz w:val="21"/>
          <w:szCs w:val="21"/>
        </w:rPr>
        <w:t>是指金融工具的公允价值或未来现金流量因市场价格变动而发生波动的风险，包</w:t>
      </w:r>
      <w:r>
        <w:rPr>
          <w:rFonts w:hint="eastAsia" w:ascii="宋体" w:hAnsi="宋体" w:eastAsia="宋体" w:cs="宋体"/>
          <w:b w:val="0"/>
          <w:bCs w:val="0"/>
          <w:color w:val="000000"/>
          <w:sz w:val="21"/>
          <w:szCs w:val="21"/>
        </w:rPr>
        <w:t>括汇率风险、利率风险和其他价格风险。</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Calibri" w:hAnsi="Calibri" w:eastAsia="宋体" w:cs="Calibri"/>
          <w:b w:val="0"/>
          <w:bCs w:val="0"/>
          <w:color w:val="000000"/>
          <w:sz w:val="21"/>
          <w:szCs w:val="21"/>
        </w:rPr>
        <w:t>①</w:t>
      </w:r>
      <w:r>
        <w:rPr>
          <w:rFonts w:hint="eastAsia" w:ascii="宋体" w:hAnsi="宋体" w:eastAsia="宋体" w:cs="宋体"/>
          <w:b w:val="0"/>
          <w:bCs w:val="0"/>
          <w:color w:val="000000"/>
          <w:sz w:val="21"/>
          <w:szCs w:val="21"/>
        </w:rPr>
        <w:t>利率风险</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b w:val="0"/>
          <w:bCs w:val="0"/>
          <w:color w:val="000000"/>
          <w:sz w:val="21"/>
          <w:szCs w:val="21"/>
        </w:rPr>
        <w:t>利率风险是指金融工具的公允价值或未来现金流量因市场利率变动而发生波动的风险。</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b w:val="0"/>
          <w:bCs w:val="0"/>
          <w:color w:val="000000"/>
          <w:sz w:val="21"/>
          <w:szCs w:val="21"/>
        </w:rPr>
        <w:t>本公司借款均为</w:t>
      </w:r>
      <w:r>
        <w:rPr>
          <w:rFonts w:hint="eastAsia" w:ascii="宋体" w:hAnsi="宋体" w:eastAsia="宋体" w:cs="宋体"/>
          <w:b w:val="0"/>
          <w:bCs w:val="0"/>
          <w:sz w:val="21"/>
          <w:szCs w:val="21"/>
        </w:rPr>
        <w:t>银行</w:t>
      </w:r>
      <w:r>
        <w:rPr>
          <w:rFonts w:hint="eastAsia" w:ascii="宋体" w:hAnsi="宋体" w:eastAsia="宋体" w:cs="宋体"/>
          <w:b w:val="0"/>
          <w:bCs w:val="0"/>
          <w:color w:val="000000"/>
          <w:sz w:val="21"/>
          <w:szCs w:val="21"/>
        </w:rPr>
        <w:t>借款，借款合同对借款利率均进行了明确约定，故本公司金融负债不存在市场利率变动的重大风险</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Calibri" w:hAnsi="Calibri" w:eastAsia="宋体" w:cs="Calibri"/>
          <w:b w:val="0"/>
          <w:bCs w:val="0"/>
          <w:color w:val="000000"/>
          <w:sz w:val="21"/>
          <w:szCs w:val="21"/>
        </w:rPr>
        <w:t>②</w:t>
      </w:r>
      <w:r>
        <w:rPr>
          <w:rFonts w:hint="eastAsia" w:ascii="宋体" w:hAnsi="宋体" w:eastAsia="宋体" w:cs="宋体"/>
          <w:b w:val="0"/>
          <w:bCs w:val="0"/>
          <w:color w:val="000000"/>
          <w:sz w:val="21"/>
          <w:szCs w:val="21"/>
        </w:rPr>
        <w:t>汇率风险</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汇率风险是指金融工具的公允价值或未来现金流量因外汇汇率变动而发生波动的风险。</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sz w:val="21"/>
          <w:szCs w:val="21"/>
        </w:rPr>
        <w:t>本公司承受外汇风险主要与所持有的美元、港币或欧元现金、银行存款和部分客户货款与人民币之间的汇率变动。但本公司管理层认为，美元、港币或欧元的现金和银行存款、部分客户货款与本公司总资产所占比例较小，故本公司所面临的外汇风险并不重大。</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pPr>
        <w:keepNext/>
        <w:keepLines/>
        <w:spacing w:before="300" w:after="300" w:line="320" w:lineRule="exact"/>
        <w:jc w:val="left"/>
        <w:outlineLvl w:val="1"/>
        <w:rPr>
          <w:rFonts w:ascii="宋体" w:hAnsi="宋体" w:eastAsia="宋体" w:cs="宋体"/>
          <w:b/>
          <w:bCs/>
          <w:sz w:val="24"/>
          <w:szCs w:val="24"/>
        </w:rPr>
      </w:pPr>
      <w:bookmarkStart w:id="309" w:name="_Toc989198"/>
      <w:r>
        <w:rPr>
          <w:rFonts w:ascii="宋体" w:hAnsi="宋体" w:eastAsia="宋体" w:cs="宋体"/>
          <w:b/>
          <w:bCs/>
          <w:sz w:val="24"/>
          <w:szCs w:val="24"/>
        </w:rPr>
        <w:t>十三、公允价值的披露</w:t>
      </w:r>
      <w:bookmarkEnd w:id="309"/>
    </w:p>
    <w:p>
      <w:pPr>
        <w:keepNext/>
        <w:keepLines/>
        <w:spacing w:before="300" w:after="300" w:line="280" w:lineRule="exact"/>
        <w:jc w:val="left"/>
        <w:outlineLvl w:val="2"/>
        <w:rPr>
          <w:rFonts w:ascii="宋体" w:hAnsi="宋体" w:eastAsia="宋体" w:cs="宋体"/>
          <w:b/>
          <w:bCs/>
          <w:sz w:val="21"/>
          <w:szCs w:val="21"/>
        </w:rPr>
      </w:pPr>
      <w:bookmarkStart w:id="310" w:name="_Toc989199"/>
      <w:r>
        <w:rPr>
          <w:rFonts w:ascii="宋体" w:hAnsi="宋体" w:eastAsia="宋体" w:cs="宋体"/>
          <w:b/>
          <w:bCs/>
          <w:sz w:val="21"/>
          <w:szCs w:val="21"/>
        </w:rPr>
        <w:t>1、以公允价值计量的资产和负债的期末公允价值</w:t>
      </w:r>
      <w:bookmarkEnd w:id="3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（三）其他权益工具投资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95,934,401.55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95,934,401.55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（六）应收款项融资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7,878,465.02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7,878,465.02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持续以公允价值计量的负债总额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103,812,866.57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103,812,866.57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280" w:lineRule="exact"/>
        <w:jc w:val="left"/>
        <w:outlineLvl w:val="2"/>
        <w:rPr>
          <w:rFonts w:ascii="宋体" w:hAnsi="宋体" w:eastAsia="宋体" w:cs="宋体"/>
          <w:b/>
          <w:bCs/>
          <w:sz w:val="21"/>
          <w:szCs w:val="21"/>
        </w:rPr>
      </w:pPr>
      <w:bookmarkStart w:id="311" w:name="_Toc989200"/>
      <w:r>
        <w:rPr>
          <w:rFonts w:ascii="宋体" w:hAnsi="宋体" w:eastAsia="宋体" w:cs="宋体"/>
          <w:b/>
          <w:bCs/>
          <w:sz w:val="21"/>
          <w:szCs w:val="21"/>
        </w:rPr>
        <w:t>2、持续和非持续第一层次公允价值计量项目市价的确定依据</w:t>
      </w:r>
      <w:bookmarkEnd w:id="311"/>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第一层次输入值是在计量日能够取得的相同资产或负债在活跃市场上未经调整的报价。</w:t>
      </w:r>
    </w:p>
    <w:p>
      <w:pPr>
        <w:keepNext/>
        <w:keepLines/>
        <w:spacing w:before="300" w:after="300" w:line="280" w:lineRule="exact"/>
        <w:jc w:val="left"/>
        <w:outlineLvl w:val="2"/>
        <w:rPr>
          <w:rFonts w:ascii="宋体" w:hAnsi="宋体" w:eastAsia="宋体" w:cs="宋体"/>
          <w:b/>
          <w:bCs/>
          <w:sz w:val="21"/>
          <w:szCs w:val="21"/>
        </w:rPr>
      </w:pPr>
      <w:bookmarkStart w:id="312" w:name="_Toc989201"/>
      <w:r>
        <w:rPr>
          <w:rFonts w:ascii="宋体" w:hAnsi="宋体" w:eastAsia="宋体" w:cs="宋体"/>
          <w:b/>
          <w:bCs/>
          <w:sz w:val="21"/>
          <w:szCs w:val="21"/>
        </w:rPr>
        <w:t>3、持续和非持续第二层次公允价值计量项目，采用的估值技术和重要参数的定性及定量信息</w:t>
      </w:r>
      <w:bookmarkEnd w:id="312"/>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第二层次输入值是除第一层次输入值外相关资产或负债直接或间接可观察的输入值。</w:t>
      </w:r>
    </w:p>
    <w:p>
      <w:pPr>
        <w:keepNext/>
        <w:keepLines/>
        <w:spacing w:before="300" w:after="300" w:line="280" w:lineRule="exact"/>
        <w:jc w:val="left"/>
        <w:outlineLvl w:val="2"/>
        <w:rPr>
          <w:rFonts w:ascii="宋体" w:hAnsi="宋体" w:eastAsia="宋体" w:cs="宋体"/>
          <w:b/>
          <w:bCs/>
          <w:sz w:val="21"/>
          <w:szCs w:val="21"/>
        </w:rPr>
      </w:pPr>
      <w:bookmarkStart w:id="313" w:name="_Toc989202"/>
      <w:r>
        <w:rPr>
          <w:rFonts w:ascii="宋体" w:hAnsi="宋体" w:eastAsia="宋体" w:cs="宋体"/>
          <w:b/>
          <w:bCs/>
          <w:sz w:val="21"/>
          <w:szCs w:val="21"/>
        </w:rPr>
        <w:t>4、持续和非持续第三层次公允价值计量项目，采用的估值技术和重要参数的定性及定量信息</w:t>
      </w:r>
      <w:bookmarkEnd w:id="313"/>
    </w:p>
    <w:p>
      <w:pPr>
        <w:keepNext/>
        <w:keepLines/>
        <w:spacing w:before="300" w:after="300" w:line="280" w:lineRule="exact"/>
        <w:jc w:val="left"/>
        <w:outlineLvl w:val="2"/>
        <w:rPr>
          <w:rFonts w:ascii="宋体" w:hAnsi="宋体" w:eastAsia="宋体" w:cs="宋体"/>
          <w:b/>
          <w:bCs/>
          <w:sz w:val="21"/>
          <w:szCs w:val="21"/>
        </w:rPr>
      </w:pPr>
      <w:bookmarkStart w:id="314" w:name="_Toc989203"/>
      <w:r>
        <w:rPr>
          <w:rFonts w:ascii="宋体" w:hAnsi="宋体" w:eastAsia="宋体" w:cs="宋体"/>
          <w:b/>
          <w:bCs/>
          <w:sz w:val="21"/>
          <w:szCs w:val="21"/>
        </w:rPr>
        <w:t>5、持续的第三层次公允价值计量项目，期初与期末账面价值间的调节信息及不可观察参数敏感性分析</w:t>
      </w:r>
      <w:bookmarkEnd w:id="314"/>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第三层次输入值是相关资产或负债的不可观察输入值。</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公允价值计量结果所属的层次，由对公允价值计量整体而言具有重要意义的输入值所属的最低层次决定。</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公允价值计量结果所属的层次，由对公允价值计量整体而言具有重要意义的输入值所属的最低层次决定。</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持续和非持续第三层次公允价值计量项目，采用的估值技术和重要参数的定性及定量信息</w:t>
      </w:r>
      <w:r>
        <w:rPr>
          <w:rFonts w:ascii="Arial" w:hAnsi="Arial" w:eastAsia="宋体" w:cs="Arial"/>
          <w:color w:val="0000FF"/>
          <w:sz w:val="16"/>
          <w:szCs w:val="16"/>
        </w:rPr>
        <w:t>  </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本公司持有的在市场上无可用的观察输入值及估值技术的其他权益工具投资，以第三层级估值作为公允价值的计量依据。其中，湖南沃尔博精密工具有限公司（曾用名：上海钨夫投资管理有限公司）采用现金流量折现法对其估值，上海海通创新锦程投资管理中心</w:t>
      </w:r>
      <w:r>
        <w:rPr>
          <w:rFonts w:hint="default" w:ascii="Times New Roman" w:hAnsi="Times New Roman" w:eastAsia="宋体" w:cs="Times New Roman"/>
          <w:sz w:val="21"/>
          <w:szCs w:val="21"/>
        </w:rPr>
        <w:t>(</w:t>
      </w:r>
      <w:r>
        <w:rPr>
          <w:rFonts w:hint="eastAsia" w:ascii="宋体" w:hAnsi="宋体" w:eastAsia="宋体" w:cs="宋体"/>
          <w:sz w:val="21"/>
          <w:szCs w:val="21"/>
        </w:rPr>
        <w:t>有限合伙</w:t>
      </w:r>
      <w:r>
        <w:rPr>
          <w:rFonts w:hint="default" w:ascii="Times New Roman" w:hAnsi="Times New Roman" w:eastAsia="宋体" w:cs="Times New Roman"/>
          <w:sz w:val="21"/>
          <w:szCs w:val="21"/>
        </w:rPr>
        <w:t>)</w:t>
      </w:r>
      <w:r>
        <w:rPr>
          <w:rFonts w:hint="eastAsia" w:ascii="宋体" w:hAnsi="宋体" w:eastAsia="宋体" w:cs="宋体"/>
          <w:sz w:val="21"/>
          <w:szCs w:val="21"/>
        </w:rPr>
        <w:t>采用上市公司比较法对其估值。</w:t>
      </w:r>
    </w:p>
    <w:tbl>
      <w:tblPr>
        <w:tblStyle w:val="3"/>
        <w:tblW w:w="4607"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08"/>
        <w:gridCol w:w="1485"/>
        <w:gridCol w:w="1694"/>
        <w:gridCol w:w="13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5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项目</w:t>
            </w:r>
          </w:p>
        </w:tc>
        <w:tc>
          <w:tcPr>
            <w:tcW w:w="14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期末公允价值</w:t>
            </w:r>
          </w:p>
        </w:tc>
        <w:tc>
          <w:tcPr>
            <w:tcW w:w="16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估值技术</w:t>
            </w:r>
          </w:p>
        </w:tc>
        <w:tc>
          <w:tcPr>
            <w:tcW w:w="139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不可观察输入值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上海海通创新锦程投资管理中心</w:t>
            </w:r>
            <w:r>
              <w:rPr>
                <w:rFonts w:hint="default" w:ascii="Times New Roman" w:hAnsi="Times New Roman" w:cs="Times New Roman"/>
                <w:color w:val="000000"/>
                <w:sz w:val="18"/>
                <w:szCs w:val="18"/>
              </w:rPr>
              <w:t>(</w:t>
            </w:r>
            <w:r>
              <w:rPr>
                <w:rFonts w:hint="eastAsia" w:ascii="宋体" w:hAnsi="宋体" w:eastAsia="宋体" w:cs="宋体"/>
                <w:color w:val="000000"/>
                <w:sz w:val="18"/>
                <w:szCs w:val="18"/>
              </w:rPr>
              <w:t>有限合伙</w:t>
            </w:r>
            <w:r>
              <w:rPr>
                <w:rFonts w:hint="default" w:ascii="Times New Roman" w:hAnsi="Times New Roman" w:cs="Times New Roman"/>
                <w:color w:val="000000"/>
                <w:sz w:val="18"/>
                <w:szCs w:val="18"/>
              </w:rPr>
              <w:t>)</w:t>
            </w:r>
            <w:r>
              <w:rPr>
                <w:rFonts w:hint="eastAsia" w:ascii="宋体" w:hAnsi="宋体" w:eastAsia="宋体" w:cs="宋体"/>
                <w:color w:val="000000"/>
                <w:sz w:val="18"/>
                <w:szCs w:val="18"/>
              </w:rPr>
              <w:t>（权益工具投资）</w:t>
            </w:r>
          </w:p>
        </w:tc>
        <w:tc>
          <w:tcPr>
            <w:tcW w:w="14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20,951,478.00</w:t>
            </w:r>
          </w:p>
        </w:tc>
        <w:tc>
          <w:tcPr>
            <w:tcW w:w="1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eastAsia" w:ascii="宋体" w:hAnsi="宋体" w:eastAsia="宋体" w:cs="宋体"/>
                <w:color w:val="000000"/>
                <w:sz w:val="18"/>
                <w:szCs w:val="18"/>
              </w:rPr>
              <w:t>上市公司比较法</w:t>
            </w:r>
          </w:p>
        </w:tc>
        <w:tc>
          <w:tcPr>
            <w:tcW w:w="13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流动性折价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湖南沃尔博精密工具有限公司（权益工具投资）</w:t>
            </w:r>
          </w:p>
        </w:tc>
        <w:tc>
          <w:tcPr>
            <w:tcW w:w="14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41,849,364.04</w:t>
            </w:r>
          </w:p>
        </w:tc>
        <w:tc>
          <w:tcPr>
            <w:tcW w:w="1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eastAsia" w:ascii="宋体" w:hAnsi="宋体" w:eastAsia="宋体" w:cs="宋体"/>
                <w:color w:val="000000"/>
                <w:sz w:val="18"/>
                <w:szCs w:val="18"/>
              </w:rPr>
              <w:t>交易价格法</w:t>
            </w:r>
          </w:p>
        </w:tc>
        <w:tc>
          <w:tcPr>
            <w:tcW w:w="13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近期交易价格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深圳富联智能制造产业创新中心有限公司</w:t>
            </w:r>
          </w:p>
        </w:tc>
        <w:tc>
          <w:tcPr>
            <w:tcW w:w="14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3,133,559.51</w:t>
            </w:r>
          </w:p>
        </w:tc>
        <w:tc>
          <w:tcPr>
            <w:tcW w:w="1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eastAsia" w:ascii="宋体" w:hAnsi="宋体" w:eastAsia="宋体" w:cs="宋体"/>
                <w:color w:val="000000"/>
                <w:sz w:val="18"/>
                <w:szCs w:val="18"/>
              </w:rPr>
              <w:t>净资产价值</w:t>
            </w:r>
          </w:p>
        </w:tc>
        <w:tc>
          <w:tcPr>
            <w:tcW w:w="13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期末净资产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湖南飞机起降系统技术研发有限公司</w:t>
            </w:r>
          </w:p>
        </w:tc>
        <w:tc>
          <w:tcPr>
            <w:tcW w:w="14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30,000,000.00</w:t>
            </w:r>
          </w:p>
        </w:tc>
        <w:tc>
          <w:tcPr>
            <w:tcW w:w="1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eastAsia" w:ascii="宋体" w:hAnsi="宋体" w:eastAsia="宋体" w:cs="宋体"/>
                <w:color w:val="000000"/>
                <w:sz w:val="18"/>
                <w:szCs w:val="18"/>
              </w:rPr>
              <w:t>交易价格法</w:t>
            </w:r>
          </w:p>
        </w:tc>
        <w:tc>
          <w:tcPr>
            <w:tcW w:w="13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近期交易价格</w:t>
            </w:r>
          </w:p>
        </w:tc>
      </w:tr>
    </w:tbl>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）应收款项融资为应收银行承兑汇票，其管理模式实质为既收取合同现金流量又背书转让或贴现，故公司将银行承兑汇票根据票面金额作为公允价值进行计量。</w:t>
      </w:r>
    </w:p>
    <w:p>
      <w:pPr>
        <w:keepNext/>
        <w:keepLines/>
        <w:spacing w:before="300" w:after="300" w:line="280" w:lineRule="exact"/>
        <w:jc w:val="left"/>
        <w:outlineLvl w:val="2"/>
        <w:rPr>
          <w:rFonts w:ascii="宋体" w:hAnsi="宋体" w:eastAsia="宋体" w:cs="宋体"/>
          <w:b/>
          <w:bCs/>
          <w:sz w:val="21"/>
          <w:szCs w:val="21"/>
        </w:rPr>
      </w:pPr>
      <w:bookmarkStart w:id="315" w:name="_Toc989204"/>
      <w:r>
        <w:rPr>
          <w:rFonts w:ascii="宋体" w:hAnsi="宋体" w:eastAsia="宋体" w:cs="宋体"/>
          <w:b/>
          <w:bCs/>
          <w:sz w:val="21"/>
          <w:szCs w:val="21"/>
        </w:rPr>
        <w:t>6、持续的公允价值计量项目，本期内发生各层级之间转换的，转换的原因及确定转换时点的政策</w:t>
      </w:r>
      <w:bookmarkEnd w:id="315"/>
    </w:p>
    <w:p>
      <w:pPr>
        <w:keepNext/>
        <w:keepLines/>
        <w:spacing w:before="300" w:after="300" w:line="280" w:lineRule="exact"/>
        <w:jc w:val="left"/>
        <w:outlineLvl w:val="2"/>
        <w:rPr>
          <w:rFonts w:ascii="宋体" w:hAnsi="宋体" w:eastAsia="宋体" w:cs="宋体"/>
          <w:b/>
          <w:bCs/>
          <w:sz w:val="21"/>
          <w:szCs w:val="21"/>
        </w:rPr>
      </w:pPr>
      <w:bookmarkStart w:id="316" w:name="_Toc989205"/>
      <w:r>
        <w:rPr>
          <w:rFonts w:ascii="宋体" w:hAnsi="宋体" w:eastAsia="宋体" w:cs="宋体"/>
          <w:b/>
          <w:bCs/>
          <w:sz w:val="21"/>
          <w:szCs w:val="21"/>
        </w:rPr>
        <w:t>7、本期内发生的估值技术变更及变更原因</w:t>
      </w:r>
      <w:bookmarkEnd w:id="316"/>
    </w:p>
    <w:p>
      <w:pPr>
        <w:keepNext/>
        <w:keepLines/>
        <w:spacing w:before="300" w:after="300" w:line="280" w:lineRule="exact"/>
        <w:jc w:val="left"/>
        <w:outlineLvl w:val="2"/>
        <w:rPr>
          <w:rFonts w:ascii="宋体" w:hAnsi="宋体" w:eastAsia="宋体" w:cs="宋体"/>
          <w:b/>
          <w:bCs/>
          <w:sz w:val="21"/>
          <w:szCs w:val="21"/>
        </w:rPr>
      </w:pPr>
      <w:bookmarkStart w:id="317" w:name="_Toc989206"/>
      <w:r>
        <w:rPr>
          <w:rFonts w:ascii="宋体" w:hAnsi="宋体" w:eastAsia="宋体" w:cs="宋体"/>
          <w:b/>
          <w:bCs/>
          <w:sz w:val="21"/>
          <w:szCs w:val="21"/>
        </w:rPr>
        <w:t>8、不以公允价值计量的金融资产和金融负债的公允价值情况</w:t>
      </w:r>
      <w:bookmarkEnd w:id="317"/>
    </w:p>
    <w:p>
      <w:pPr>
        <w:keepNext/>
        <w:keepLines/>
        <w:spacing w:before="300" w:after="300" w:line="280" w:lineRule="exact"/>
        <w:jc w:val="left"/>
        <w:outlineLvl w:val="2"/>
        <w:rPr>
          <w:rFonts w:ascii="宋体" w:hAnsi="宋体" w:eastAsia="宋体" w:cs="宋体"/>
          <w:b/>
          <w:bCs/>
          <w:sz w:val="21"/>
          <w:szCs w:val="21"/>
        </w:rPr>
      </w:pPr>
      <w:bookmarkStart w:id="318" w:name="_Toc989207"/>
      <w:r>
        <w:rPr>
          <w:rFonts w:ascii="宋体" w:hAnsi="宋体" w:eastAsia="宋体" w:cs="宋体"/>
          <w:b/>
          <w:bCs/>
          <w:sz w:val="21"/>
          <w:szCs w:val="21"/>
        </w:rPr>
        <w:t>9、其他</w:t>
      </w:r>
      <w:bookmarkEnd w:id="318"/>
    </w:p>
    <w:p>
      <w:pPr>
        <w:keepNext/>
        <w:keepLines/>
        <w:spacing w:before="300" w:after="300" w:line="320" w:lineRule="exact"/>
        <w:jc w:val="left"/>
        <w:outlineLvl w:val="1"/>
        <w:rPr>
          <w:rFonts w:ascii="宋体" w:hAnsi="宋体" w:eastAsia="宋体" w:cs="宋体"/>
          <w:b/>
          <w:bCs/>
          <w:sz w:val="24"/>
          <w:szCs w:val="24"/>
        </w:rPr>
      </w:pPr>
      <w:bookmarkStart w:id="319" w:name="_Toc989208"/>
      <w:r>
        <w:rPr>
          <w:rFonts w:ascii="宋体" w:hAnsi="宋体" w:eastAsia="宋体" w:cs="宋体"/>
          <w:b/>
          <w:bCs/>
          <w:sz w:val="24"/>
          <w:szCs w:val="24"/>
        </w:rPr>
        <w:t>十四、关联方及关联交易</w:t>
      </w:r>
      <w:bookmarkEnd w:id="319"/>
    </w:p>
    <w:p>
      <w:pPr>
        <w:keepNext/>
        <w:keepLines/>
        <w:spacing w:before="300" w:after="300" w:line="280" w:lineRule="exact"/>
        <w:jc w:val="left"/>
        <w:outlineLvl w:val="2"/>
        <w:rPr>
          <w:rFonts w:ascii="宋体" w:hAnsi="宋体" w:eastAsia="宋体" w:cs="宋体"/>
          <w:b/>
          <w:bCs/>
          <w:sz w:val="21"/>
          <w:szCs w:val="21"/>
        </w:rPr>
      </w:pPr>
      <w:bookmarkStart w:id="320" w:name="_Toc989209"/>
      <w:r>
        <w:rPr>
          <w:rFonts w:ascii="宋体" w:hAnsi="宋体" w:eastAsia="宋体" w:cs="宋体"/>
          <w:b/>
          <w:bCs/>
          <w:sz w:val="21"/>
          <w:szCs w:val="21"/>
        </w:rPr>
        <w:t>1、本企业的母公司情况</w:t>
      </w:r>
      <w:bookmarkEnd w:id="320"/>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母公司对本企业的表决权比例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研究、开发、生产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16,326.53万元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本企业的母公司情况的说明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本企业最终控制方是湖南省人民政府国有资产监督管理委员会。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1" w:name="_Toc989210"/>
      <w:r>
        <w:rPr>
          <w:rFonts w:ascii="宋体" w:hAnsi="宋体" w:eastAsia="宋体" w:cs="宋体"/>
          <w:b/>
          <w:bCs/>
          <w:sz w:val="21"/>
          <w:szCs w:val="21"/>
        </w:rPr>
        <w:t>2、本企业的子公司情况</w:t>
      </w:r>
      <w:bookmarkEnd w:id="321"/>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本企业子公司的情况详见附注“十、在其他主体中的权益”。</w:t>
      </w:r>
    </w:p>
    <w:p>
      <w:pPr>
        <w:keepNext/>
        <w:keepLines/>
        <w:spacing w:before="300" w:after="300" w:line="280" w:lineRule="exact"/>
        <w:jc w:val="left"/>
        <w:outlineLvl w:val="2"/>
        <w:rPr>
          <w:rFonts w:ascii="宋体" w:hAnsi="宋体" w:eastAsia="宋体" w:cs="宋体"/>
          <w:b/>
          <w:bCs/>
          <w:sz w:val="21"/>
          <w:szCs w:val="21"/>
        </w:rPr>
      </w:pPr>
      <w:bookmarkStart w:id="322" w:name="_Toc989211"/>
      <w:r>
        <w:rPr>
          <w:rFonts w:ascii="宋体" w:hAnsi="宋体" w:eastAsia="宋体" w:cs="宋体"/>
          <w:b/>
          <w:bCs/>
          <w:sz w:val="21"/>
          <w:szCs w:val="21"/>
        </w:rPr>
        <w:t>3、本企业合营和联营企业情况</w:t>
      </w:r>
      <w:bookmarkEnd w:id="322"/>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本企业重要的合营或联营企业详见附注“十、在其他主体中的权益”。</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本期与本公司发生关联方交易，或前期与本公司发生关联方交易形成余额的其他合营或联营企业情况如下：</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联营企业</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3" w:name="_Toc989212"/>
      <w:r>
        <w:rPr>
          <w:rFonts w:ascii="宋体" w:hAnsi="宋体" w:eastAsia="宋体" w:cs="宋体"/>
          <w:b/>
          <w:bCs/>
          <w:sz w:val="21"/>
          <w:szCs w:val="21"/>
        </w:rPr>
        <w:t>4、其他关联方情况</w:t>
      </w:r>
      <w:bookmarkEnd w:id="323"/>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湖南省中南建设装饰有限公司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湖南省建设项目投资管理有限责任公司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沃尔夫切削技术（太仓）有限公司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湖南省机械设备进出口有限公司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湖南湘江研究院教育管理有限公司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Werkzeugtechnologie GmbH</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Precision Tools India Pvt.Ltd</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4" w:name="_Toc989213"/>
      <w:r>
        <w:rPr>
          <w:rFonts w:ascii="宋体" w:hAnsi="宋体" w:eastAsia="宋体" w:cs="宋体"/>
          <w:b/>
          <w:bCs/>
          <w:sz w:val="21"/>
          <w:szCs w:val="21"/>
        </w:rPr>
        <w:t>5、关联交易情况</w:t>
      </w:r>
      <w:bookmarkEnd w:id="324"/>
    </w:p>
    <w:p>
      <w:pPr>
        <w:keepNext/>
        <w:keepLines/>
        <w:spacing w:before="300" w:after="300" w:line="280" w:lineRule="exact"/>
        <w:jc w:val="left"/>
        <w:outlineLvl w:val="3"/>
        <w:rPr>
          <w:rFonts w:ascii="宋体" w:hAnsi="宋体" w:eastAsia="宋体" w:cs="宋体"/>
          <w:b/>
          <w:bCs/>
          <w:sz w:val="21"/>
          <w:szCs w:val="21"/>
        </w:rPr>
      </w:pPr>
      <w:bookmarkStart w:id="325" w:name="_Toc989214"/>
      <w:r>
        <w:rPr>
          <w:rFonts w:ascii="宋体" w:hAnsi="宋体" w:eastAsia="宋体" w:cs="宋体"/>
          <w:b/>
          <w:bCs/>
          <w:sz w:val="21"/>
          <w:szCs w:val="21"/>
        </w:rPr>
        <w:t>（1） 购销商品、提供和接受劳务的关联交易</w:t>
      </w:r>
      <w:bookmarkEnd w:id="325"/>
    </w:p>
    <w:p>
      <w:pPr>
        <w:spacing w:before="40" w:after="40" w:line="240" w:lineRule="exact"/>
        <w:jc w:val="left"/>
        <w:rPr>
          <w:rFonts w:ascii="宋体" w:hAnsi="宋体" w:eastAsia="宋体" w:cs="宋体"/>
          <w:sz w:val="18"/>
          <w:szCs w:val="18"/>
        </w:rPr>
      </w:pPr>
      <w:r>
        <w:rPr>
          <w:rFonts w:ascii="宋体" w:hAnsi="宋体" w:eastAsia="宋体" w:cs="宋体"/>
          <w:sz w:val="18"/>
          <w:szCs w:val="18"/>
        </w:rPr>
        <w:t>采购商品/接受劳务情况表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577,295.95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644,930.39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湖南省中南建设装饰有限公司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建筑装饰装修设计、施工、维修服务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2,490,005.42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577,295.95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3,134,935.81</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出售商品/提供劳务情况表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销售产品和劳务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1,045,789.48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975,063.46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餐费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63,640.00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15,701.76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9,902.85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2,566.56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2,008.74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966.84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材料销售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326,653.11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餐费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22,080.00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餐费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1,415.09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餐费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9,375.00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湖南省机械设备进出口有限公司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销售产品和劳务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788,240.56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销售产品和劳务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71,395.45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2,020,203.90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1,327,595.00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购销商品、提供和接受劳务的关联交易说明</w:t>
      </w:r>
    </w:p>
    <w:p>
      <w:pPr>
        <w:keepNext/>
        <w:keepLines/>
        <w:spacing w:before="300" w:after="300" w:line="280" w:lineRule="exact"/>
        <w:jc w:val="left"/>
        <w:outlineLvl w:val="3"/>
        <w:rPr>
          <w:rFonts w:ascii="宋体" w:hAnsi="宋体" w:eastAsia="宋体" w:cs="宋体"/>
          <w:b/>
          <w:bCs/>
          <w:sz w:val="21"/>
          <w:szCs w:val="21"/>
        </w:rPr>
      </w:pPr>
      <w:bookmarkStart w:id="326" w:name="_Toc989215"/>
      <w:r>
        <w:rPr>
          <w:rFonts w:ascii="宋体" w:hAnsi="宋体" w:eastAsia="宋体" w:cs="宋体"/>
          <w:b/>
          <w:bCs/>
          <w:sz w:val="21"/>
          <w:szCs w:val="21"/>
        </w:rPr>
        <w:t>（2） 关联租赁情况</w:t>
      </w:r>
      <w:bookmarkEnd w:id="326"/>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本公司作为出租方：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上期确认的租赁收入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4,036.70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14,098.17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113,905.77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15,412.84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21,170.20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48,807.33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82,355.04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142,782.39</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本公司作为承租方：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1,442.64</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19,802.64</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关联租赁情况说明</w:t>
      </w:r>
    </w:p>
    <w:p>
      <w:pPr>
        <w:keepNext/>
        <w:keepLines/>
        <w:spacing w:before="300" w:after="300" w:line="280" w:lineRule="exact"/>
        <w:jc w:val="left"/>
        <w:outlineLvl w:val="3"/>
        <w:rPr>
          <w:rFonts w:ascii="宋体" w:hAnsi="宋体" w:eastAsia="宋体" w:cs="宋体"/>
          <w:b/>
          <w:bCs/>
          <w:sz w:val="21"/>
          <w:szCs w:val="21"/>
        </w:rPr>
      </w:pPr>
      <w:bookmarkStart w:id="327" w:name="_Toc989216"/>
      <w:r>
        <w:rPr>
          <w:rFonts w:ascii="宋体" w:hAnsi="宋体" w:eastAsia="宋体" w:cs="宋体"/>
          <w:b/>
          <w:bCs/>
          <w:sz w:val="21"/>
          <w:szCs w:val="21"/>
        </w:rPr>
        <w:t>（3） 关键管理人员报酬</w:t>
      </w:r>
      <w:bookmarkEnd w:id="3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关键管理人员薪酬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902,380.00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949,429.94</w:t>
            </w:r>
          </w:p>
        </w:tc>
      </w:tr>
    </w:tbl>
    <w:p>
      <w:pPr>
        <w:keepNext/>
        <w:keepLines/>
        <w:spacing w:before="300" w:after="300" w:line="280" w:lineRule="exact"/>
        <w:jc w:val="left"/>
        <w:outlineLvl w:val="3"/>
        <w:rPr>
          <w:rFonts w:ascii="宋体" w:hAnsi="宋体" w:eastAsia="宋体" w:cs="宋体"/>
          <w:b/>
          <w:bCs/>
          <w:sz w:val="21"/>
          <w:szCs w:val="21"/>
        </w:rPr>
      </w:pPr>
      <w:bookmarkStart w:id="328" w:name="_Toc989217"/>
      <w:r>
        <w:rPr>
          <w:rFonts w:ascii="宋体" w:hAnsi="宋体" w:eastAsia="宋体" w:cs="宋体"/>
          <w:b/>
          <w:bCs/>
          <w:sz w:val="21"/>
          <w:szCs w:val="21"/>
        </w:rPr>
        <w:t>（4） 其他关联交易</w:t>
      </w:r>
      <w:bookmarkEnd w:id="328"/>
    </w:p>
    <w:p>
      <w:pPr>
        <w:keepNext/>
        <w:keepLines/>
        <w:spacing w:before="300" w:after="300" w:line="280" w:lineRule="exact"/>
        <w:jc w:val="left"/>
        <w:outlineLvl w:val="2"/>
        <w:rPr>
          <w:rFonts w:ascii="宋体" w:hAnsi="宋体" w:eastAsia="宋体" w:cs="宋体"/>
          <w:b/>
          <w:bCs/>
          <w:sz w:val="21"/>
          <w:szCs w:val="21"/>
        </w:rPr>
      </w:pPr>
      <w:bookmarkStart w:id="329" w:name="_Toc989218"/>
      <w:r>
        <w:rPr>
          <w:rFonts w:ascii="宋体" w:hAnsi="宋体" w:eastAsia="宋体" w:cs="宋体"/>
          <w:b/>
          <w:bCs/>
          <w:sz w:val="21"/>
          <w:szCs w:val="21"/>
        </w:rPr>
        <w:t>6、关联方应收应付款项</w:t>
      </w:r>
      <w:bookmarkEnd w:id="329"/>
    </w:p>
    <w:p>
      <w:pPr>
        <w:keepNext/>
        <w:keepLines/>
        <w:spacing w:before="300" w:after="300" w:line="280" w:lineRule="exact"/>
        <w:jc w:val="left"/>
        <w:outlineLvl w:val="3"/>
        <w:rPr>
          <w:rFonts w:ascii="宋体" w:hAnsi="宋体" w:eastAsia="宋体" w:cs="宋体"/>
          <w:b/>
          <w:bCs/>
          <w:sz w:val="21"/>
          <w:szCs w:val="21"/>
        </w:rPr>
      </w:pPr>
      <w:bookmarkStart w:id="330" w:name="_Toc989219"/>
      <w:r>
        <w:rPr>
          <w:rFonts w:ascii="宋体" w:hAnsi="宋体" w:eastAsia="宋体" w:cs="宋体"/>
          <w:b/>
          <w:bCs/>
          <w:sz w:val="21"/>
          <w:szCs w:val="21"/>
        </w:rPr>
        <w:t>（1） 应收项目</w:t>
      </w:r>
      <w:bookmarkEnd w:id="3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17,887,357.44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1,458,491.95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19,391,732.25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1,819,122.29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291,246.80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14,562.34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291,246.80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14,562.34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湖南省机械设备进出口有限公司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667,137.01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33,356.85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230,847.18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11,542.36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20,559.74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1,027.99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80,676.86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4,033.84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沃尔夫切削技术（太仓）有限公司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Precision Tools India Pvt.Ltd</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15,587.10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208,244.76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10,412.24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Werkzeugtechnologie GmbH</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275,554.50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44,483.03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310,656.18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28,424.23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14,675.70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733.79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13,552.10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6,383.00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773.80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13,361.62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湖南省机械设备进出口有限公司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4,090,715.89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1,398,872.56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331" w:name="_Toc989220"/>
      <w:r>
        <w:rPr>
          <w:rFonts w:ascii="宋体" w:hAnsi="宋体" w:eastAsia="宋体" w:cs="宋体"/>
          <w:b/>
          <w:bCs/>
          <w:sz w:val="21"/>
          <w:szCs w:val="21"/>
        </w:rPr>
        <w:t>（2） 应付项目</w:t>
      </w:r>
      <w:bookmarkEnd w:id="3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120,948.00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湖南省建设项目投资管理有限责任公司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72,750.00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1,012,350.00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1,442.64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34,964,200.00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34,862,200.00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21,120.53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4,400.00</w:t>
            </w:r>
          </w:p>
        </w:tc>
      </w:tr>
    </w:tbl>
    <w:p>
      <w:pPr>
        <w:keepNext/>
        <w:keepLines/>
        <w:spacing w:before="300" w:after="300" w:line="320" w:lineRule="exact"/>
        <w:jc w:val="left"/>
        <w:outlineLvl w:val="1"/>
        <w:rPr>
          <w:rFonts w:ascii="宋体" w:hAnsi="宋体" w:eastAsia="宋体" w:cs="宋体"/>
          <w:b/>
          <w:bCs/>
          <w:sz w:val="24"/>
          <w:szCs w:val="24"/>
        </w:rPr>
      </w:pPr>
      <w:bookmarkStart w:id="332" w:name="_Toc989221"/>
      <w:r>
        <w:rPr>
          <w:rFonts w:ascii="宋体" w:hAnsi="宋体" w:eastAsia="宋体" w:cs="宋体"/>
          <w:b/>
          <w:bCs/>
          <w:sz w:val="24"/>
          <w:szCs w:val="24"/>
        </w:rPr>
        <w:t>十五、承诺及或有事项</w:t>
      </w:r>
      <w:bookmarkEnd w:id="332"/>
    </w:p>
    <w:p>
      <w:pPr>
        <w:keepNext/>
        <w:keepLines/>
        <w:spacing w:before="300" w:after="300" w:line="280" w:lineRule="exact"/>
        <w:jc w:val="left"/>
        <w:outlineLvl w:val="2"/>
        <w:rPr>
          <w:rFonts w:ascii="宋体" w:hAnsi="宋体" w:eastAsia="宋体" w:cs="宋体"/>
          <w:b/>
          <w:bCs/>
          <w:sz w:val="21"/>
          <w:szCs w:val="21"/>
        </w:rPr>
      </w:pPr>
      <w:bookmarkStart w:id="333" w:name="_Toc989222"/>
      <w:r>
        <w:rPr>
          <w:rFonts w:ascii="宋体" w:hAnsi="宋体" w:eastAsia="宋体" w:cs="宋体"/>
          <w:b/>
          <w:bCs/>
          <w:sz w:val="21"/>
          <w:szCs w:val="21"/>
        </w:rPr>
        <w:t>1、重要承诺事项</w:t>
      </w:r>
      <w:bookmarkEnd w:id="333"/>
    </w:p>
    <w:p>
      <w:pPr>
        <w:spacing w:before="100" w:after="100" w:line="240" w:lineRule="exact"/>
        <w:jc w:val="left"/>
        <w:rPr>
          <w:rFonts w:ascii="宋体" w:hAnsi="宋体" w:eastAsia="宋体" w:cs="宋体"/>
          <w:sz w:val="18"/>
          <w:szCs w:val="18"/>
        </w:rPr>
      </w:pPr>
      <w:r>
        <w:rPr>
          <w:rFonts w:ascii="宋体" w:hAnsi="宋体" w:eastAsia="宋体" w:cs="宋体"/>
          <w:sz w:val="18"/>
          <w:szCs w:val="18"/>
        </w:rPr>
        <w:t>资产负债表日存在的重要承诺</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截至资产负债表日，公司已开立未到期的信用证为</w:t>
      </w:r>
      <w:r>
        <w:rPr>
          <w:rFonts w:hint="default" w:ascii="Times New Roman" w:hAnsi="Times New Roman" w:eastAsia="宋体" w:cs="Times New Roman"/>
          <w:color w:val="000000"/>
          <w:sz w:val="21"/>
          <w:szCs w:val="21"/>
        </w:rPr>
        <w:t>20,883,950.36</w:t>
      </w:r>
      <w:r>
        <w:rPr>
          <w:rFonts w:hint="eastAsia" w:ascii="宋体" w:hAnsi="宋体" w:eastAsia="宋体" w:cs="宋体"/>
          <w:color w:val="000000"/>
          <w:sz w:val="21"/>
          <w:szCs w:val="21"/>
        </w:rPr>
        <w:t>元，信用证到期日</w:t>
      </w:r>
      <w:r>
        <w:rPr>
          <w:rFonts w:hint="default" w:ascii="Times New Roman" w:hAnsi="Times New Roman" w:eastAsia="宋体" w:cs="Times New Roman"/>
          <w:color w:val="000000"/>
          <w:sz w:val="21"/>
          <w:szCs w:val="21"/>
        </w:rPr>
        <w:t>2025</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7</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日，其中，信用证保证金</w:t>
      </w:r>
      <w:r>
        <w:rPr>
          <w:rFonts w:hint="default" w:ascii="Times New Roman" w:hAnsi="Times New Roman" w:eastAsia="宋体" w:cs="Times New Roman"/>
          <w:color w:val="000000"/>
          <w:sz w:val="21"/>
          <w:szCs w:val="21"/>
        </w:rPr>
        <w:t>20,883,950.36</w:t>
      </w:r>
      <w:r>
        <w:rPr>
          <w:rFonts w:hint="eastAsia" w:ascii="宋体" w:hAnsi="宋体" w:eastAsia="宋体" w:cs="宋体"/>
          <w:color w:val="000000"/>
          <w:sz w:val="21"/>
          <w:szCs w:val="21"/>
        </w:rPr>
        <w:t>元。</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rPr>
        <w:t>除上述事项外，公司没有需要披露的其他承诺事项</w:t>
      </w:r>
    </w:p>
    <w:p>
      <w:pPr>
        <w:keepNext/>
        <w:keepLines/>
        <w:spacing w:before="300" w:after="300" w:line="280" w:lineRule="exact"/>
        <w:jc w:val="left"/>
        <w:outlineLvl w:val="2"/>
        <w:rPr>
          <w:rFonts w:ascii="宋体" w:hAnsi="宋体" w:eastAsia="宋体" w:cs="宋体"/>
          <w:b/>
          <w:bCs/>
          <w:sz w:val="21"/>
          <w:szCs w:val="21"/>
        </w:rPr>
      </w:pPr>
      <w:bookmarkStart w:id="334" w:name="_Toc989223"/>
      <w:r>
        <w:rPr>
          <w:rFonts w:ascii="宋体" w:hAnsi="宋体" w:eastAsia="宋体" w:cs="宋体"/>
          <w:b/>
          <w:bCs/>
          <w:sz w:val="21"/>
          <w:szCs w:val="21"/>
        </w:rPr>
        <w:t>2、或有事项</w:t>
      </w:r>
      <w:bookmarkEnd w:id="334"/>
    </w:p>
    <w:p>
      <w:pPr>
        <w:keepNext/>
        <w:keepLines/>
        <w:spacing w:before="300" w:after="300" w:line="280" w:lineRule="exact"/>
        <w:jc w:val="left"/>
        <w:outlineLvl w:val="3"/>
        <w:rPr>
          <w:rFonts w:ascii="宋体" w:hAnsi="宋体" w:eastAsia="宋体" w:cs="宋体"/>
          <w:b/>
          <w:bCs/>
          <w:sz w:val="21"/>
          <w:szCs w:val="21"/>
        </w:rPr>
      </w:pPr>
      <w:bookmarkStart w:id="335" w:name="_Toc989224"/>
      <w:r>
        <w:rPr>
          <w:rFonts w:ascii="宋体" w:hAnsi="宋体" w:eastAsia="宋体" w:cs="宋体"/>
          <w:b/>
          <w:bCs/>
          <w:sz w:val="21"/>
          <w:szCs w:val="21"/>
        </w:rPr>
        <w:t>（1） 资产负债表日存在的重要或有事项</w:t>
      </w:r>
      <w:bookmarkEnd w:id="335"/>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 1 \* GB3 \* MERGEFORMAT </w:instrText>
      </w:r>
      <w:r>
        <w:rPr>
          <w:rFonts w:hint="eastAsia" w:ascii="宋体" w:hAnsi="宋体" w:eastAsia="宋体" w:cs="宋体"/>
          <w:color w:val="000000"/>
          <w:sz w:val="21"/>
          <w:szCs w:val="21"/>
        </w:rPr>
        <w:fldChar w:fldCharType="separate"/>
      </w:r>
      <w:r>
        <w:t>①</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资产负债表日存在的重要或有事项</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资产负债表日存在的重要或有事项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截至资产负债表日，公司已背书或贴现且在资产负债表日尚未到期的应收票据金额为</w:t>
      </w:r>
      <w:r>
        <w:rPr>
          <w:rFonts w:hint="default" w:ascii="Times New Roman" w:hAnsi="Times New Roman" w:eastAsia="宋体" w:cs="Times New Roman"/>
          <w:color w:val="000000"/>
          <w:sz w:val="21"/>
          <w:szCs w:val="21"/>
        </w:rPr>
        <w:t>77,618,420.13</w:t>
      </w:r>
      <w:r>
        <w:rPr>
          <w:rFonts w:hint="eastAsia" w:ascii="宋体" w:hAnsi="宋体" w:eastAsia="宋体" w:cs="宋体"/>
          <w:color w:val="000000"/>
          <w:sz w:val="21"/>
          <w:szCs w:val="21"/>
        </w:rPr>
        <w:t>元，其中：已终止确认金额为</w:t>
      </w:r>
      <w:r>
        <w:rPr>
          <w:rFonts w:hint="default" w:ascii="Times New Roman" w:hAnsi="Times New Roman" w:eastAsia="宋体" w:cs="Times New Roman"/>
          <w:color w:val="000000"/>
          <w:sz w:val="21"/>
          <w:szCs w:val="21"/>
        </w:rPr>
        <w:t>  36,628,765.92</w:t>
      </w:r>
      <w:r>
        <w:rPr>
          <w:rFonts w:hint="eastAsia" w:ascii="宋体" w:hAnsi="宋体" w:eastAsia="宋体" w:cs="宋体"/>
          <w:color w:val="000000"/>
          <w:sz w:val="21"/>
          <w:szCs w:val="21"/>
        </w:rPr>
        <w:t>元，</w:t>
      </w:r>
      <w:r>
        <w:rPr>
          <w:rFonts w:hint="eastAsia" w:ascii="宋体" w:hAnsi="宋体" w:eastAsia="宋体" w:cs="宋体"/>
          <w:b w:val="0"/>
          <w:bCs w:val="0"/>
          <w:color w:val="000000"/>
          <w:sz w:val="21"/>
          <w:szCs w:val="21"/>
        </w:rPr>
        <w:t>未终止确认金额为</w:t>
      </w:r>
      <w:r>
        <w:rPr>
          <w:rFonts w:hint="default" w:ascii="Times New Roman" w:hAnsi="Times New Roman" w:eastAsia="宋体" w:cs="Times New Roman"/>
          <w:b w:val="0"/>
          <w:bCs w:val="0"/>
          <w:color w:val="000000"/>
          <w:sz w:val="21"/>
          <w:szCs w:val="21"/>
        </w:rPr>
        <w:t>40,989,654.21</w:t>
      </w:r>
      <w:r>
        <w:rPr>
          <w:rFonts w:hint="eastAsia" w:ascii="宋体" w:hAnsi="宋体" w:eastAsia="宋体" w:cs="宋体"/>
          <w:b w:val="0"/>
          <w:bCs w:val="0"/>
          <w:color w:val="000000"/>
          <w:sz w:val="21"/>
          <w:szCs w:val="21"/>
        </w:rPr>
        <w:t>元。</w:t>
      </w:r>
    </w:p>
    <w:p>
      <w:pPr>
        <w:pStyle w:val="2"/>
        <w:keepNext w:val="0"/>
        <w:keepLines w:val="0"/>
        <w:widowControl/>
        <w:suppressLineNumbers w:val="0"/>
        <w:spacing w:before="0" w:beforeAutospacing="0" w:after="0" w:afterAutospacing="0" w:line="360" w:lineRule="atLeast"/>
        <w:ind w:left="0" w:right="0" w:firstLine="360"/>
        <w:jc w:val="both"/>
        <w:rPr>
          <w:rFonts w:hint="default" w:ascii="Times New Roman" w:hAnsi="Times New Roman" w:cs="Times New Roman"/>
          <w:sz w:val="21"/>
          <w:szCs w:val="21"/>
        </w:rPr>
      </w:pPr>
      <w:r>
        <w:rPr>
          <w:rFonts w:hint="eastAsia" w:ascii="宋体" w:hAnsi="宋体" w:eastAsia="宋体" w:cs="宋体"/>
          <w:b w:val="0"/>
          <w:bCs w:val="0"/>
          <w:sz w:val="18"/>
          <w:szCs w:val="18"/>
        </w:rPr>
        <w:t> </w:t>
      </w:r>
      <w:r>
        <w:rPr>
          <w:rFonts w:hint="eastAsia" w:ascii="宋体" w:hAnsi="宋体" w:eastAsia="宋体" w:cs="宋体"/>
          <w:b w:val="0"/>
          <w:bCs w:val="0"/>
          <w:color w:val="000000"/>
          <w:sz w:val="21"/>
          <w:szCs w:val="21"/>
        </w:rPr>
        <w:t>除上述事项外，公司没有需要披露的重要或有事项</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 2 \* GB3 \* MERGEFORMAT </w:instrText>
      </w:r>
      <w:r>
        <w:rPr>
          <w:rFonts w:hint="eastAsia" w:ascii="宋体" w:hAnsi="宋体" w:eastAsia="宋体" w:cs="宋体"/>
          <w:b w:val="0"/>
          <w:bCs w:val="0"/>
          <w:sz w:val="21"/>
          <w:szCs w:val="21"/>
        </w:rPr>
        <w:fldChar w:fldCharType="separate"/>
      </w:r>
      <w:r>
        <w:t>②</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t>公司没有需要披露的重要或有事项，也应予以说明</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b w:val="0"/>
          <w:bCs w:val="0"/>
          <w:sz w:val="18"/>
          <w:szCs w:val="18"/>
        </w:rPr>
        <w:t>公司不存在需要披露的重要或有事项。</w:t>
      </w:r>
    </w:p>
    <w:p>
      <w:pPr>
        <w:keepNext/>
        <w:keepLines/>
        <w:spacing w:before="300" w:after="300" w:line="280" w:lineRule="exact"/>
        <w:jc w:val="left"/>
        <w:outlineLvl w:val="3"/>
        <w:rPr>
          <w:rFonts w:ascii="宋体" w:hAnsi="宋体" w:eastAsia="宋体" w:cs="宋体"/>
          <w:b/>
          <w:bCs/>
          <w:sz w:val="21"/>
          <w:szCs w:val="21"/>
        </w:rPr>
      </w:pPr>
      <w:bookmarkStart w:id="336" w:name="_Toc989225"/>
      <w:r>
        <w:rPr>
          <w:rFonts w:ascii="宋体" w:hAnsi="宋体" w:eastAsia="宋体" w:cs="宋体"/>
          <w:b/>
          <w:bCs/>
          <w:sz w:val="21"/>
          <w:szCs w:val="21"/>
        </w:rPr>
        <w:t>（2） 公司没有需要披露的重要或有事项，也应予以说明</w:t>
      </w:r>
      <w:bookmarkEnd w:id="336"/>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公司不存在需要披露的重要或有事项。</w:t>
      </w:r>
    </w:p>
    <w:p>
      <w:pPr>
        <w:keepNext/>
        <w:keepLines/>
        <w:spacing w:before="300" w:after="300" w:line="280" w:lineRule="exact"/>
        <w:jc w:val="left"/>
        <w:outlineLvl w:val="2"/>
        <w:rPr>
          <w:rFonts w:ascii="宋体" w:hAnsi="宋体" w:eastAsia="宋体" w:cs="宋体"/>
          <w:b/>
          <w:bCs/>
          <w:sz w:val="21"/>
          <w:szCs w:val="21"/>
        </w:rPr>
      </w:pPr>
      <w:bookmarkStart w:id="337" w:name="_Toc989226"/>
      <w:r>
        <w:rPr>
          <w:rFonts w:ascii="宋体" w:hAnsi="宋体" w:eastAsia="宋体" w:cs="宋体"/>
          <w:b/>
          <w:bCs/>
          <w:sz w:val="21"/>
          <w:szCs w:val="21"/>
        </w:rPr>
        <w:t>3、其他</w:t>
      </w:r>
      <w:bookmarkEnd w:id="337"/>
    </w:p>
    <w:p>
      <w:pPr>
        <w:keepNext/>
        <w:keepLines/>
        <w:spacing w:before="300" w:after="300" w:line="320" w:lineRule="exact"/>
        <w:jc w:val="left"/>
        <w:outlineLvl w:val="1"/>
        <w:rPr>
          <w:rFonts w:ascii="宋体" w:hAnsi="宋体" w:eastAsia="宋体" w:cs="宋体"/>
          <w:b/>
          <w:bCs/>
          <w:sz w:val="24"/>
          <w:szCs w:val="24"/>
        </w:rPr>
      </w:pPr>
      <w:bookmarkStart w:id="338" w:name="_Toc989227"/>
      <w:r>
        <w:rPr>
          <w:rFonts w:ascii="宋体" w:hAnsi="宋体" w:eastAsia="宋体" w:cs="宋体"/>
          <w:b/>
          <w:bCs/>
          <w:sz w:val="24"/>
          <w:szCs w:val="24"/>
        </w:rPr>
        <w:t>十六、资产负债表日后事项</w:t>
      </w:r>
      <w:bookmarkEnd w:id="338"/>
    </w:p>
    <w:p>
      <w:pPr>
        <w:keepNext/>
        <w:keepLines/>
        <w:spacing w:before="300" w:after="300" w:line="280" w:lineRule="exact"/>
        <w:jc w:val="left"/>
        <w:outlineLvl w:val="2"/>
      </w:pPr>
      <w:bookmarkStart w:id="339" w:name="_Toc989228"/>
      <w:r>
        <w:rPr>
          <w:rFonts w:ascii="宋体" w:hAnsi="宋体" w:eastAsia="宋体" w:cs="宋体"/>
          <w:b/>
          <w:bCs/>
          <w:sz w:val="21"/>
          <w:szCs w:val="21"/>
        </w:rPr>
        <w:t>1、利润分配情况</w:t>
      </w:r>
      <w:bookmarkEnd w:id="339"/>
    </w:p>
    <w:p>
      <w:pPr>
        <w:keepNext/>
        <w:keepLines/>
        <w:spacing w:before="300" w:after="300" w:line="280" w:lineRule="exact"/>
        <w:jc w:val="left"/>
        <w:outlineLvl w:val="2"/>
        <w:rPr>
          <w:rFonts w:ascii="宋体" w:hAnsi="宋体" w:eastAsia="宋体" w:cs="宋体"/>
          <w:b/>
          <w:bCs/>
          <w:sz w:val="21"/>
          <w:szCs w:val="21"/>
        </w:rPr>
      </w:pPr>
      <w:bookmarkStart w:id="340" w:name="_Toc989229"/>
      <w:r>
        <w:rPr>
          <w:rFonts w:ascii="宋体" w:hAnsi="宋体" w:eastAsia="宋体" w:cs="宋体"/>
          <w:b/>
          <w:bCs/>
          <w:sz w:val="21"/>
          <w:szCs w:val="21"/>
        </w:rPr>
        <w:t>2、销售退回</w:t>
      </w:r>
      <w:bookmarkEnd w:id="340"/>
    </w:p>
    <w:p>
      <w:pPr>
        <w:keepNext/>
        <w:keepLines/>
        <w:spacing w:before="300" w:after="300" w:line="280" w:lineRule="exact"/>
        <w:jc w:val="left"/>
        <w:outlineLvl w:val="2"/>
        <w:rPr>
          <w:rFonts w:ascii="宋体" w:hAnsi="宋体" w:eastAsia="宋体" w:cs="宋体"/>
          <w:b/>
          <w:bCs/>
          <w:sz w:val="21"/>
          <w:szCs w:val="21"/>
        </w:rPr>
      </w:pPr>
      <w:bookmarkStart w:id="341" w:name="_Toc989230"/>
      <w:r>
        <w:rPr>
          <w:rFonts w:ascii="宋体" w:hAnsi="宋体" w:eastAsia="宋体" w:cs="宋体"/>
          <w:b/>
          <w:bCs/>
          <w:sz w:val="21"/>
          <w:szCs w:val="21"/>
        </w:rPr>
        <w:t>3、其他资产负债表日后事项说明</w:t>
      </w:r>
      <w:bookmarkEnd w:id="341"/>
    </w:p>
    <w:p>
      <w:pPr>
        <w:keepNext/>
        <w:keepLines/>
        <w:spacing w:before="300" w:after="300" w:line="320" w:lineRule="exact"/>
        <w:jc w:val="left"/>
        <w:outlineLvl w:val="1"/>
        <w:rPr>
          <w:rFonts w:ascii="宋体" w:hAnsi="宋体" w:eastAsia="宋体" w:cs="宋体"/>
          <w:b/>
          <w:bCs/>
          <w:sz w:val="24"/>
          <w:szCs w:val="24"/>
        </w:rPr>
      </w:pPr>
      <w:bookmarkStart w:id="342" w:name="_Toc989231"/>
      <w:r>
        <w:rPr>
          <w:rFonts w:ascii="宋体" w:hAnsi="宋体" w:eastAsia="宋体" w:cs="宋体"/>
          <w:b/>
          <w:bCs/>
          <w:sz w:val="24"/>
          <w:szCs w:val="24"/>
        </w:rPr>
        <w:t>十七、资本管理</w:t>
      </w:r>
      <w:bookmarkEnd w:id="342"/>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本公司资本管理的主要目标是确保本公司持续经营的能力，并保持健康的资本比率，以支持业务发展并使股东价值最大化。</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本公司管理资本结构并根据经济形势以及相关资产的风险特征的变化对其进行调整。为维持或调整资本结构，本公司可以调整对股东的利润分配、向股东归还资本或发行新股。</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本公司不受外部强制性资本要求约束。与上期相比，公司资本管理目标、政策或程序未发生变化。</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本公司采用杠杆比率来管理资本，杠杆比率是指净负债和调整后资本加净负债的比率。净负债包括金融负债减去金融资产。资本包括所有者权益减去其他综合收益，公司于资产负债表日的杠杆比率如下</w:t>
      </w:r>
    </w:p>
    <w:tbl>
      <w:tblPr>
        <w:tblStyle w:val="3"/>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110"/>
        <w:gridCol w:w="2497"/>
        <w:gridCol w:w="241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 </w:t>
            </w:r>
          </w:p>
        </w:tc>
        <w:tc>
          <w:tcPr>
            <w:tcW w:w="21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期末余额</w:t>
            </w:r>
          </w:p>
        </w:tc>
        <w:tc>
          <w:tcPr>
            <w:tcW w:w="20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金融负债</w:t>
            </w:r>
          </w:p>
        </w:tc>
        <w:tc>
          <w:tcPr>
            <w:tcW w:w="21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522,825,680.39</w:t>
            </w:r>
          </w:p>
        </w:tc>
        <w:tc>
          <w:tcPr>
            <w:tcW w:w="20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546,129,217.26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减：金融资产</w:t>
            </w:r>
          </w:p>
        </w:tc>
        <w:tc>
          <w:tcPr>
            <w:tcW w:w="21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839,629,153.41</w:t>
            </w:r>
          </w:p>
        </w:tc>
        <w:tc>
          <w:tcPr>
            <w:tcW w:w="20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918,394,182.99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净负债小计</w:t>
            </w:r>
          </w:p>
        </w:tc>
        <w:tc>
          <w:tcPr>
            <w:tcW w:w="21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-316,803,473.02</w:t>
            </w:r>
          </w:p>
        </w:tc>
        <w:tc>
          <w:tcPr>
            <w:tcW w:w="20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-372,264,965.73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资本</w:t>
            </w:r>
          </w:p>
        </w:tc>
        <w:tc>
          <w:tcPr>
            <w:tcW w:w="21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2,132,445,229.52</w:t>
            </w:r>
          </w:p>
        </w:tc>
        <w:tc>
          <w:tcPr>
            <w:tcW w:w="20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2,130,410,596.90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净负债和资本合计</w:t>
            </w:r>
          </w:p>
        </w:tc>
        <w:tc>
          <w:tcPr>
            <w:tcW w:w="21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right"/>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 xml:space="preserve">1,815,641,756.50 </w:t>
            </w:r>
          </w:p>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0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1,758,145,631.18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杠杆比率</w:t>
            </w:r>
          </w:p>
        </w:tc>
        <w:tc>
          <w:tcPr>
            <w:tcW w:w="21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-17.45%</w:t>
            </w:r>
          </w:p>
        </w:tc>
        <w:tc>
          <w:tcPr>
            <w:tcW w:w="20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-21.17%</w:t>
            </w:r>
          </w:p>
        </w:tc>
      </w:tr>
    </w:tbl>
    <w:p>
      <w:pPr>
        <w:keepNext/>
        <w:keepLines/>
        <w:spacing w:before="300" w:after="300" w:line="320" w:lineRule="exact"/>
        <w:jc w:val="left"/>
        <w:outlineLvl w:val="1"/>
        <w:rPr>
          <w:rFonts w:ascii="宋体" w:hAnsi="宋体" w:eastAsia="宋体" w:cs="宋体"/>
          <w:b/>
          <w:bCs/>
          <w:sz w:val="24"/>
          <w:szCs w:val="24"/>
        </w:rPr>
      </w:pPr>
      <w:bookmarkStart w:id="343" w:name="_Toc989232"/>
      <w:r>
        <w:rPr>
          <w:rFonts w:ascii="宋体" w:hAnsi="宋体" w:eastAsia="宋体" w:cs="宋体"/>
          <w:b/>
          <w:bCs/>
          <w:sz w:val="24"/>
          <w:szCs w:val="24"/>
        </w:rPr>
        <w:t>十八、其他重要事项</w:t>
      </w:r>
      <w:bookmarkEnd w:id="343"/>
    </w:p>
    <w:p>
      <w:pPr>
        <w:keepNext/>
        <w:keepLines/>
        <w:spacing w:before="300" w:after="300" w:line="280" w:lineRule="exact"/>
        <w:jc w:val="left"/>
        <w:outlineLvl w:val="2"/>
        <w:rPr>
          <w:rFonts w:ascii="宋体" w:hAnsi="宋体" w:eastAsia="宋体" w:cs="宋体"/>
          <w:b/>
          <w:bCs/>
          <w:sz w:val="21"/>
          <w:szCs w:val="21"/>
        </w:rPr>
      </w:pPr>
      <w:bookmarkStart w:id="344" w:name="_Toc989233"/>
      <w:r>
        <w:rPr>
          <w:rFonts w:ascii="宋体" w:hAnsi="宋体" w:eastAsia="宋体" w:cs="宋体"/>
          <w:b/>
          <w:bCs/>
          <w:sz w:val="21"/>
          <w:szCs w:val="21"/>
        </w:rPr>
        <w:t>1、分部信息</w:t>
      </w:r>
      <w:bookmarkEnd w:id="344"/>
    </w:p>
    <w:p>
      <w:pPr>
        <w:keepNext/>
        <w:keepLines/>
        <w:spacing w:before="300" w:after="300" w:line="280" w:lineRule="exact"/>
        <w:jc w:val="left"/>
        <w:outlineLvl w:val="3"/>
        <w:rPr>
          <w:rFonts w:ascii="宋体" w:hAnsi="宋体" w:eastAsia="宋体" w:cs="宋体"/>
          <w:b/>
          <w:bCs/>
          <w:sz w:val="21"/>
          <w:szCs w:val="21"/>
        </w:rPr>
      </w:pPr>
      <w:bookmarkStart w:id="345" w:name="_Toc989234"/>
      <w:r>
        <w:rPr>
          <w:rFonts w:ascii="宋体" w:hAnsi="宋体" w:eastAsia="宋体" w:cs="宋体"/>
          <w:b/>
          <w:bCs/>
          <w:sz w:val="21"/>
          <w:szCs w:val="21"/>
        </w:rPr>
        <w:t>（1） 报告分部的确定依据与会计政策</w:t>
      </w:r>
      <w:bookmarkEnd w:id="345"/>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本公司业务分航空航天产品及碳</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碳复合材料业务和粉末冶金业务，因这两种业务具有不同的风险及报酬，故本公司将上述两种业务分成两个分部。</w:t>
      </w:r>
    </w:p>
    <w:p>
      <w:pPr>
        <w:keepNext/>
        <w:keepLines/>
        <w:spacing w:before="300" w:after="300" w:line="280" w:lineRule="exact"/>
        <w:jc w:val="left"/>
        <w:outlineLvl w:val="3"/>
        <w:rPr>
          <w:rFonts w:ascii="宋体" w:hAnsi="宋体" w:eastAsia="宋体" w:cs="宋体"/>
          <w:b/>
          <w:bCs/>
          <w:sz w:val="21"/>
          <w:szCs w:val="21"/>
        </w:rPr>
      </w:pPr>
      <w:bookmarkStart w:id="346" w:name="_Toc989235"/>
      <w:r>
        <w:rPr>
          <w:rFonts w:ascii="宋体" w:hAnsi="宋体" w:eastAsia="宋体" w:cs="宋体"/>
          <w:b/>
          <w:bCs/>
          <w:sz w:val="21"/>
          <w:szCs w:val="21"/>
        </w:rPr>
        <w:t>（2） 报告分部的财务信息</w:t>
      </w:r>
      <w:bookmarkEnd w:id="34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航空航天及碳/碳复合材料业务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粉末冶金业务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分部间抵销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对外交易收入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85,864,753.01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220,748,326.16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-4,578,426.04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302,034,653.13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分部间交易收入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对联营和合营企业的投资收益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-4,241,128.53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8,872.21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-4,232,256.32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资产减值损失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23,042.15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-39,223.02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信用减值损失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9,216,815.92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-4,875,342.93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-1,916,344.21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2,425,128.78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折旧费和摊销费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19,928,111.15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24,129,871.68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44,057,982.83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利润总额（亏损总额）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19,754,975.71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-10,001,356.88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-1,963,506.47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7,790,112.36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6,675,237.05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-632,305.68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-287,451.63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5,755,479.74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净利润（净亏损）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13,079,738.66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-9,369,051.20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-1,676,054.84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2,034,632.62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2,902,932,496.50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1,484,012,338.77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-1,554,863,267.03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2,832,081,568.24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558,133,495.17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480,472,615.55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-353,288,494.83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685,317,615.89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其他重要的非现金项目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折旧费和摊销费以外的其他非现金费用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-28,757.88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50,317.19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21,559.31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对联营和合营企业的长期股权投资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10,669,286.20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10,669,286.20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长期股权投资以外的其他非流动资产增加额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-6,372,974.82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27,356,336.05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-1,367,282.72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19,616,078.51</w:t>
            </w:r>
          </w:p>
        </w:tc>
      </w:tr>
    </w:tbl>
    <w:p>
      <w:pPr>
        <w:keepNext/>
        <w:keepLines/>
        <w:spacing w:before="300" w:after="300" w:line="280" w:lineRule="exact"/>
        <w:jc w:val="left"/>
        <w:outlineLvl w:val="3"/>
        <w:rPr>
          <w:rFonts w:ascii="宋体" w:hAnsi="宋体" w:eastAsia="宋体" w:cs="宋体"/>
          <w:b/>
          <w:bCs/>
          <w:sz w:val="21"/>
          <w:szCs w:val="21"/>
        </w:rPr>
      </w:pPr>
      <w:bookmarkStart w:id="347" w:name="_Toc989236"/>
      <w:r>
        <w:rPr>
          <w:rFonts w:ascii="宋体" w:hAnsi="宋体" w:eastAsia="宋体" w:cs="宋体"/>
          <w:b/>
          <w:bCs/>
          <w:sz w:val="21"/>
          <w:szCs w:val="21"/>
        </w:rPr>
        <w:t>（3） 其他说明</w:t>
      </w:r>
      <w:bookmarkEnd w:id="347"/>
    </w:p>
    <w:p>
      <w:pPr>
        <w:pStyle w:val="2"/>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color w:val="000000"/>
          <w:sz w:val="21"/>
          <w:szCs w:val="21"/>
        </w:rPr>
        <w:t>执行《公开发行证券的公司信息披露编报规则第</w:t>
      </w:r>
      <w:r>
        <w:rPr>
          <w:rFonts w:hint="default" w:ascii="Times New Roman" w:hAnsi="Times New Roman" w:eastAsia="宋体" w:cs="Times New Roman"/>
          <w:color w:val="000000"/>
          <w:sz w:val="21"/>
          <w:szCs w:val="21"/>
        </w:rPr>
        <w:t xml:space="preserve">15 </w:t>
      </w:r>
      <w:r>
        <w:rPr>
          <w:rFonts w:hint="eastAsia" w:ascii="宋体" w:hAnsi="宋体" w:eastAsia="宋体" w:cs="宋体"/>
          <w:color w:val="000000"/>
          <w:sz w:val="21"/>
          <w:szCs w:val="21"/>
        </w:rPr>
        <w:t>号——财务报告的一般规定（</w:t>
      </w:r>
      <w:r>
        <w:rPr>
          <w:rFonts w:hint="default" w:ascii="Times New Roman" w:hAnsi="Times New Roman" w:eastAsia="宋体" w:cs="Times New Roman"/>
          <w:color w:val="000000"/>
          <w:sz w:val="21"/>
          <w:szCs w:val="21"/>
        </w:rPr>
        <w:t>2023</w:t>
      </w:r>
      <w:r>
        <w:rPr>
          <w:rFonts w:hint="eastAsia" w:ascii="宋体" w:hAnsi="宋体" w:eastAsia="宋体" w:cs="宋体"/>
          <w:color w:val="000000"/>
          <w:sz w:val="21"/>
          <w:szCs w:val="21"/>
        </w:rPr>
        <w:t>年修订）》的主要影响</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本公司在编制本财务报表时，按照中国证券监督管理委员会于</w:t>
      </w:r>
      <w:r>
        <w:rPr>
          <w:rFonts w:hint="default" w:ascii="Times New Roman" w:hAnsi="Times New Roman" w:eastAsia="宋体" w:cs="Times New Roman"/>
          <w:color w:val="000000"/>
          <w:sz w:val="21"/>
          <w:szCs w:val="21"/>
        </w:rPr>
        <w:t xml:space="preserve">2023 </w:t>
      </w:r>
      <w:r>
        <w:rPr>
          <w:rFonts w:hint="eastAsia" w:ascii="宋体" w:hAnsi="宋体" w:eastAsia="宋体" w:cs="宋体"/>
          <w:color w:val="000000"/>
          <w:sz w:val="21"/>
          <w:szCs w:val="21"/>
        </w:rPr>
        <w:t xml:space="preserve">年 </w:t>
      </w:r>
      <w:r>
        <w:rPr>
          <w:rFonts w:hint="default" w:ascii="Times New Roman" w:hAnsi="Times New Roman" w:eastAsia="宋体" w:cs="Times New Roman"/>
          <w:color w:val="000000"/>
          <w:sz w:val="21"/>
          <w:szCs w:val="21"/>
        </w:rPr>
        <w:t xml:space="preserve">12 </w:t>
      </w:r>
      <w:r>
        <w:rPr>
          <w:rFonts w:hint="eastAsia" w:ascii="宋体" w:hAnsi="宋体" w:eastAsia="宋体" w:cs="宋体"/>
          <w:color w:val="000000"/>
          <w:sz w:val="21"/>
          <w:szCs w:val="21"/>
        </w:rPr>
        <w:t xml:space="preserve">月 </w:t>
      </w:r>
      <w:r>
        <w:rPr>
          <w:rFonts w:hint="default" w:ascii="Times New Roman" w:hAnsi="Times New Roman" w:eastAsia="宋体" w:cs="Times New Roman"/>
          <w:color w:val="000000"/>
          <w:sz w:val="21"/>
          <w:szCs w:val="21"/>
        </w:rPr>
        <w:t xml:space="preserve">22 </w:t>
      </w:r>
      <w:r>
        <w:rPr>
          <w:rFonts w:hint="eastAsia" w:ascii="宋体" w:hAnsi="宋体" w:eastAsia="宋体" w:cs="宋体"/>
          <w:color w:val="000000"/>
          <w:sz w:val="21"/>
          <w:szCs w:val="21"/>
        </w:rPr>
        <w:t>日发布的《公开发行证券的公司信息披露编报规则第</w:t>
      </w:r>
      <w:r>
        <w:rPr>
          <w:rFonts w:hint="default" w:ascii="Times New Roman" w:hAnsi="Times New Roman" w:eastAsia="宋体" w:cs="Times New Roman"/>
          <w:color w:val="000000"/>
          <w:sz w:val="21"/>
          <w:szCs w:val="21"/>
        </w:rPr>
        <w:t xml:space="preserve">15 </w:t>
      </w:r>
      <w:r>
        <w:rPr>
          <w:rFonts w:hint="eastAsia" w:ascii="宋体" w:hAnsi="宋体" w:eastAsia="宋体" w:cs="宋体"/>
          <w:color w:val="000000"/>
          <w:sz w:val="21"/>
          <w:szCs w:val="21"/>
        </w:rPr>
        <w:t>号——财务报告的一般规定（</w:t>
      </w:r>
      <w:r>
        <w:rPr>
          <w:rFonts w:hint="default" w:ascii="Times New Roman" w:hAnsi="Times New Roman" w:eastAsia="宋体" w:cs="Times New Roman"/>
          <w:color w:val="000000"/>
          <w:sz w:val="21"/>
          <w:szCs w:val="21"/>
        </w:rPr>
        <w:t>2023</w:t>
      </w:r>
      <w:r>
        <w:rPr>
          <w:rFonts w:hint="eastAsia" w:ascii="宋体" w:hAnsi="宋体" w:eastAsia="宋体" w:cs="宋体"/>
          <w:color w:val="000000"/>
          <w:sz w:val="21"/>
          <w:szCs w:val="21"/>
        </w:rPr>
        <w:t>年修订）》的要求披露有关财务信息，除金融工具、存货、长期资产减值、营业收入、现金流量、研发支出、政府补助等项目外，执行该规定没有对其他项目的可比会计期间主要财务数据披露格式产生重大影响。</w:t>
      </w:r>
    </w:p>
    <w:p>
      <w:pPr>
        <w:keepNext/>
        <w:keepLines/>
        <w:spacing w:before="300" w:after="300" w:line="280" w:lineRule="exact"/>
        <w:jc w:val="left"/>
        <w:outlineLvl w:val="2"/>
        <w:rPr>
          <w:rFonts w:ascii="宋体" w:hAnsi="宋体" w:eastAsia="宋体" w:cs="宋体"/>
          <w:b/>
          <w:bCs/>
          <w:sz w:val="21"/>
          <w:szCs w:val="21"/>
        </w:rPr>
      </w:pPr>
      <w:bookmarkStart w:id="348" w:name="_Toc989237"/>
      <w:r>
        <w:rPr>
          <w:rFonts w:ascii="宋体" w:hAnsi="宋体" w:eastAsia="宋体" w:cs="宋体"/>
          <w:b/>
          <w:bCs/>
          <w:sz w:val="21"/>
          <w:szCs w:val="21"/>
        </w:rPr>
        <w:t>2、其他</w:t>
      </w:r>
      <w:bookmarkEnd w:id="348"/>
    </w:p>
    <w:p>
      <w:pPr>
        <w:pStyle w:val="2"/>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1"/>
          <w:szCs w:val="21"/>
        </w:rPr>
      </w:pPr>
      <w:r>
        <w:rPr>
          <w:rFonts w:hint="eastAsia" w:ascii="宋体" w:hAnsi="宋体" w:eastAsia="宋体" w:cs="宋体"/>
          <w:color w:val="000000"/>
          <w:sz w:val="21"/>
          <w:szCs w:val="21"/>
        </w:rPr>
        <w:t>（1）为子公司湖南博云东方粉末冶金有限公司提供的担保</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ascii="Calibri" w:hAnsi="Calibri" w:eastAsia="宋体" w:cs="Calibri"/>
          <w:color w:val="000000"/>
          <w:sz w:val="21"/>
          <w:szCs w:val="21"/>
        </w:rPr>
        <w:t>①</w:t>
      </w:r>
      <w:r>
        <w:rPr>
          <w:rFonts w:hint="default" w:ascii="Times New Roman" w:hAnsi="Times New Roman" w:eastAsia="宋体" w:cs="Times New Roman"/>
          <w:color w:val="000000"/>
          <w:sz w:val="21"/>
          <w:szCs w:val="21"/>
        </w:rPr>
        <w:t>2020</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08</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21</w:t>
      </w:r>
      <w:r>
        <w:rPr>
          <w:rFonts w:hint="eastAsia" w:ascii="宋体" w:hAnsi="宋体" w:eastAsia="宋体" w:cs="宋体"/>
          <w:color w:val="000000"/>
          <w:sz w:val="21"/>
          <w:szCs w:val="21"/>
        </w:rPr>
        <w:t>日，本公司与中国建设银行股份有限公司长沙河西支行签订了编号为“</w:t>
      </w:r>
      <w:r>
        <w:rPr>
          <w:rFonts w:hint="default" w:ascii="Times New Roman" w:hAnsi="Times New Roman" w:eastAsia="宋体" w:cs="Times New Roman"/>
          <w:color w:val="000000"/>
          <w:sz w:val="21"/>
          <w:szCs w:val="21"/>
        </w:rPr>
        <w:t>HTC430783700ZGDB202000003</w:t>
      </w:r>
      <w:r>
        <w:rPr>
          <w:rFonts w:hint="eastAsia" w:ascii="宋体" w:hAnsi="宋体" w:eastAsia="宋体" w:cs="宋体"/>
          <w:color w:val="000000"/>
          <w:sz w:val="21"/>
          <w:szCs w:val="21"/>
        </w:rPr>
        <w:t>”最高额保证合同，为中国建设银行股份有限公司长沙河西支行向本公司子公司湖南博云东方粉末冶金有限公司提供的最高额度为</w:t>
      </w:r>
      <w:r>
        <w:rPr>
          <w:rFonts w:hint="default" w:ascii="Times New Roman" w:hAnsi="Times New Roman" w:eastAsia="宋体" w:cs="Times New Roman"/>
          <w:color w:val="000000"/>
          <w:sz w:val="21"/>
          <w:szCs w:val="21"/>
        </w:rPr>
        <w:t>4,000</w:t>
      </w:r>
      <w:r>
        <w:rPr>
          <w:rFonts w:hint="eastAsia" w:ascii="宋体" w:hAnsi="宋体" w:eastAsia="宋体" w:cs="宋体"/>
          <w:color w:val="000000"/>
          <w:sz w:val="21"/>
          <w:szCs w:val="21"/>
        </w:rPr>
        <w:t>万元人民币的授信提供连带责任保证，授信期间为</w:t>
      </w:r>
      <w:r>
        <w:rPr>
          <w:rFonts w:hint="default" w:ascii="Times New Roman" w:hAnsi="Times New Roman" w:eastAsia="宋体" w:cs="Times New Roman"/>
          <w:color w:val="000000"/>
          <w:sz w:val="21"/>
          <w:szCs w:val="21"/>
        </w:rPr>
        <w:t>2020</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08</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21</w:t>
      </w:r>
      <w:r>
        <w:rPr>
          <w:rFonts w:hint="eastAsia" w:ascii="宋体" w:hAnsi="宋体" w:eastAsia="宋体" w:cs="宋体"/>
          <w:color w:val="000000"/>
          <w:sz w:val="21"/>
          <w:szCs w:val="21"/>
        </w:rPr>
        <w:t>日至</w:t>
      </w:r>
      <w:r>
        <w:rPr>
          <w:rFonts w:hint="default" w:ascii="Times New Roman" w:hAnsi="Times New Roman" w:eastAsia="宋体" w:cs="Times New Roman"/>
          <w:color w:val="000000"/>
          <w:sz w:val="21"/>
          <w:szCs w:val="21"/>
        </w:rPr>
        <w:t>2025</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08</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21</w:t>
      </w:r>
      <w:r>
        <w:rPr>
          <w:rFonts w:hint="eastAsia" w:ascii="宋体" w:hAnsi="宋体" w:eastAsia="宋体" w:cs="宋体"/>
          <w:color w:val="000000"/>
          <w:sz w:val="21"/>
          <w:szCs w:val="21"/>
        </w:rPr>
        <w:t>日。</w:t>
      </w:r>
    </w:p>
    <w:p>
      <w:pPr>
        <w:pStyle w:val="2"/>
        <w:keepNext w:val="0"/>
        <w:keepLines w:val="0"/>
        <w:widowControl/>
        <w:suppressLineNumbers w:val="0"/>
        <w:spacing w:before="0" w:beforeAutospacing="0" w:after="0" w:afterAutospacing="0" w:line="360" w:lineRule="atLeast"/>
        <w:ind w:right="0" w:firstLine="420" w:firstLineChars="200"/>
        <w:jc w:val="left"/>
        <w:rPr>
          <w:rFonts w:hint="default" w:ascii="Times New Roman" w:hAnsi="Times New Roman" w:cs="Times New Roman"/>
          <w:sz w:val="24"/>
          <w:szCs w:val="24"/>
        </w:rPr>
      </w:pPr>
      <w:r>
        <w:rPr>
          <w:rFonts w:hint="eastAsia" w:ascii="宋体" w:hAnsi="宋体" w:eastAsia="宋体" w:cs="宋体"/>
          <w:color w:val="000000"/>
          <w:sz w:val="21"/>
          <w:szCs w:val="21"/>
        </w:rPr>
        <w:t>截至</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6</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30</w:t>
      </w:r>
      <w:r>
        <w:rPr>
          <w:rFonts w:hint="eastAsia" w:ascii="宋体" w:hAnsi="宋体" w:eastAsia="宋体" w:cs="宋体"/>
          <w:color w:val="000000"/>
          <w:sz w:val="21"/>
          <w:szCs w:val="21"/>
        </w:rPr>
        <w:t>日，本公司子公司湖南博云东方粉末冶金有限公司在该行借款余额为</w:t>
      </w:r>
      <w:r>
        <w:rPr>
          <w:rFonts w:hint="default" w:ascii="Times New Roman" w:hAnsi="Times New Roman" w:eastAsia="宋体" w:cs="Times New Roman"/>
          <w:color w:val="000000"/>
          <w:sz w:val="21"/>
          <w:szCs w:val="21"/>
        </w:rPr>
        <w:t>0</w:t>
      </w:r>
      <w:r>
        <w:rPr>
          <w:rFonts w:hint="eastAsia" w:ascii="宋体" w:hAnsi="宋体" w:eastAsia="宋体" w:cs="宋体"/>
          <w:color w:val="000000"/>
          <w:sz w:val="21"/>
          <w:szCs w:val="21"/>
        </w:rPr>
        <w:t>元。</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 （</w:t>
      </w: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）为子公司长沙鑫航机轮刹车有限公司提供的担保</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Calibri" w:hAnsi="Calibri" w:eastAsia="宋体" w:cs="Calibri"/>
          <w:color w:val="000000"/>
          <w:sz w:val="21"/>
          <w:szCs w:val="21"/>
        </w:rPr>
        <w:t>①</w:t>
      </w:r>
      <w:r>
        <w:rPr>
          <w:rFonts w:hint="default" w:ascii="Times New Roman" w:hAnsi="Times New Roman" w:eastAsia="宋体" w:cs="Times New Roman"/>
          <w:color w:val="000000"/>
          <w:sz w:val="21"/>
          <w:szCs w:val="21"/>
        </w:rPr>
        <w:t>2023</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4</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21</w:t>
      </w:r>
      <w:r>
        <w:rPr>
          <w:rFonts w:hint="eastAsia" w:ascii="宋体" w:hAnsi="宋体" w:eastAsia="宋体" w:cs="宋体"/>
          <w:color w:val="000000"/>
          <w:sz w:val="21"/>
          <w:szCs w:val="21"/>
        </w:rPr>
        <w:t>日，本公司与中国建设银行股份有限公司长沙河西支行签订了编号为“</w:t>
      </w:r>
      <w:r>
        <w:rPr>
          <w:rFonts w:hint="default" w:ascii="Times New Roman" w:hAnsi="Times New Roman" w:eastAsia="宋体" w:cs="Times New Roman"/>
          <w:color w:val="000000"/>
          <w:sz w:val="21"/>
          <w:szCs w:val="21"/>
        </w:rPr>
        <w:t>HTC430783700ZGDB2023N008</w:t>
      </w:r>
      <w:r>
        <w:rPr>
          <w:rFonts w:hint="eastAsia" w:ascii="宋体" w:hAnsi="宋体" w:eastAsia="宋体" w:cs="宋体"/>
          <w:color w:val="000000"/>
          <w:sz w:val="21"/>
          <w:szCs w:val="21"/>
        </w:rPr>
        <w:t>”最高额保证合同，为中国建设银行股份有限公司长沙河西支行向本公司子公司长沙鑫航机轮刹车有限公司提供的最高额度为</w:t>
      </w:r>
      <w:r>
        <w:rPr>
          <w:rFonts w:hint="default" w:ascii="Times New Roman" w:hAnsi="Times New Roman" w:eastAsia="宋体" w:cs="Times New Roman"/>
          <w:color w:val="000000"/>
          <w:sz w:val="21"/>
          <w:szCs w:val="21"/>
        </w:rPr>
        <w:t>1,000</w:t>
      </w:r>
      <w:r>
        <w:rPr>
          <w:rFonts w:hint="eastAsia" w:ascii="宋体" w:hAnsi="宋体" w:eastAsia="宋体" w:cs="宋体"/>
          <w:color w:val="000000"/>
          <w:sz w:val="21"/>
          <w:szCs w:val="21"/>
        </w:rPr>
        <w:t>万元人民币的授信提供连带责任保证，授信期间为</w:t>
      </w:r>
      <w:r>
        <w:rPr>
          <w:rFonts w:hint="default" w:ascii="Times New Roman" w:hAnsi="Times New Roman" w:eastAsia="宋体" w:cs="Times New Roman"/>
          <w:color w:val="000000"/>
          <w:sz w:val="21"/>
          <w:szCs w:val="21"/>
        </w:rPr>
        <w:t>2023</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03</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16</w:t>
      </w:r>
      <w:r>
        <w:rPr>
          <w:rFonts w:hint="eastAsia" w:ascii="宋体" w:hAnsi="宋体" w:eastAsia="宋体" w:cs="宋体"/>
          <w:color w:val="000000"/>
          <w:sz w:val="21"/>
          <w:szCs w:val="21"/>
        </w:rPr>
        <w:t>日至</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03</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16</w:t>
      </w:r>
      <w:r>
        <w:rPr>
          <w:rFonts w:hint="eastAsia" w:ascii="宋体" w:hAnsi="宋体" w:eastAsia="宋体" w:cs="宋体"/>
          <w:color w:val="000000"/>
          <w:sz w:val="21"/>
          <w:szCs w:val="21"/>
        </w:rPr>
        <w:t>日。</w:t>
      </w:r>
    </w:p>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截至</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6</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30</w:t>
      </w:r>
      <w:r>
        <w:rPr>
          <w:rFonts w:hint="eastAsia" w:ascii="宋体" w:hAnsi="宋体" w:eastAsia="宋体" w:cs="宋体"/>
          <w:color w:val="000000"/>
          <w:sz w:val="21"/>
          <w:szCs w:val="21"/>
        </w:rPr>
        <w:t>日，本公司子公司长沙鑫航机轮刹车有限公司在该行借款余额为</w:t>
      </w:r>
      <w:r>
        <w:rPr>
          <w:rFonts w:hint="default" w:ascii="Times New Roman" w:hAnsi="Times New Roman" w:eastAsia="宋体" w:cs="Times New Roman"/>
          <w:color w:val="000000"/>
          <w:sz w:val="21"/>
          <w:szCs w:val="21"/>
        </w:rPr>
        <w:t>1,000</w:t>
      </w:r>
      <w:r>
        <w:rPr>
          <w:rFonts w:hint="eastAsia" w:ascii="宋体" w:hAnsi="宋体" w:eastAsia="宋体" w:cs="宋体"/>
          <w:color w:val="000000"/>
          <w:sz w:val="21"/>
          <w:szCs w:val="21"/>
        </w:rPr>
        <w:t>万元。</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Calibri" w:hAnsi="Calibri" w:eastAsia="宋体" w:cs="Calibri"/>
          <w:color w:val="000000"/>
          <w:sz w:val="21"/>
          <w:szCs w:val="21"/>
        </w:rPr>
        <w:t>②</w:t>
      </w:r>
      <w:r>
        <w:rPr>
          <w:rFonts w:hint="default" w:ascii="Times New Roman" w:hAnsi="Times New Roman" w:eastAsia="宋体" w:cs="Times New Roman"/>
          <w:color w:val="000000"/>
          <w:sz w:val="21"/>
          <w:szCs w:val="21"/>
        </w:rPr>
        <w:t>2023</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9</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08</w:t>
      </w:r>
      <w:r>
        <w:rPr>
          <w:rFonts w:hint="eastAsia" w:ascii="宋体" w:hAnsi="宋体" w:eastAsia="宋体" w:cs="宋体"/>
          <w:color w:val="000000"/>
          <w:sz w:val="21"/>
          <w:szCs w:val="21"/>
        </w:rPr>
        <w:t>日，本公司与中国银行股份有限公司湖南湘江新区分行签订了编号为“湘中银普惠保字</w:t>
      </w:r>
      <w:r>
        <w:rPr>
          <w:rFonts w:hint="default" w:ascii="Times New Roman" w:hAnsi="Times New Roman" w:eastAsia="宋体" w:cs="Times New Roman"/>
          <w:color w:val="000000"/>
          <w:sz w:val="21"/>
          <w:szCs w:val="21"/>
        </w:rPr>
        <w:t>20231557</w:t>
      </w:r>
      <w:r>
        <w:rPr>
          <w:rFonts w:hint="eastAsia" w:ascii="宋体" w:hAnsi="宋体" w:eastAsia="宋体" w:cs="宋体"/>
          <w:color w:val="000000"/>
          <w:sz w:val="21"/>
          <w:szCs w:val="21"/>
        </w:rPr>
        <w:t>号”最高额保证合同，为中国银行股份有限公司湖南湘江新区分行向本公司子公司长沙鑫航机轮刹车有限公司提供的最高额度为</w:t>
      </w:r>
      <w:r>
        <w:rPr>
          <w:rFonts w:hint="default" w:ascii="Times New Roman" w:hAnsi="Times New Roman" w:eastAsia="宋体" w:cs="Times New Roman"/>
          <w:color w:val="000000"/>
          <w:sz w:val="21"/>
          <w:szCs w:val="21"/>
        </w:rPr>
        <w:t>1,000</w:t>
      </w:r>
      <w:r>
        <w:rPr>
          <w:rFonts w:hint="eastAsia" w:ascii="宋体" w:hAnsi="宋体" w:eastAsia="宋体" w:cs="宋体"/>
          <w:color w:val="000000"/>
          <w:sz w:val="21"/>
          <w:szCs w:val="21"/>
        </w:rPr>
        <w:t>万元人民币的授信提供连带责任保证，授信期间为</w:t>
      </w:r>
      <w:r>
        <w:rPr>
          <w:rFonts w:hint="default" w:ascii="Times New Roman" w:hAnsi="Times New Roman" w:eastAsia="宋体" w:cs="Times New Roman"/>
          <w:color w:val="000000"/>
          <w:sz w:val="21"/>
          <w:szCs w:val="21"/>
        </w:rPr>
        <w:t>2023</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09</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08</w:t>
      </w:r>
      <w:r>
        <w:rPr>
          <w:rFonts w:hint="eastAsia" w:ascii="宋体" w:hAnsi="宋体" w:eastAsia="宋体" w:cs="宋体"/>
          <w:color w:val="000000"/>
          <w:sz w:val="21"/>
          <w:szCs w:val="21"/>
        </w:rPr>
        <w:t>日至</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09</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08</w:t>
      </w:r>
      <w:r>
        <w:rPr>
          <w:rFonts w:hint="eastAsia" w:ascii="宋体" w:hAnsi="宋体" w:eastAsia="宋体" w:cs="宋体"/>
          <w:color w:val="000000"/>
          <w:sz w:val="21"/>
          <w:szCs w:val="21"/>
        </w:rPr>
        <w:t>日。</w:t>
      </w:r>
    </w:p>
    <w:p>
      <w:pPr>
        <w:pStyle w:val="2"/>
        <w:keepNext w:val="0"/>
        <w:keepLines w:val="0"/>
        <w:widowControl/>
        <w:suppressLineNumbers w:val="0"/>
        <w:spacing w:before="0" w:beforeAutospacing="0" w:after="0" w:afterAutospacing="0" w:line="360" w:lineRule="atLeast"/>
        <w:ind w:left="0" w:right="0" w:firstLine="420" w:firstLineChars="200"/>
        <w:jc w:val="both"/>
        <w:rPr>
          <w:rFonts w:hint="default" w:ascii="Times New Roman" w:hAnsi="Times New Roman" w:cs="Times New Roman"/>
          <w:sz w:val="24"/>
          <w:szCs w:val="24"/>
        </w:rPr>
      </w:pPr>
      <w:r>
        <w:rPr>
          <w:rFonts w:hint="eastAsia" w:ascii="宋体" w:hAnsi="宋体" w:eastAsia="宋体" w:cs="宋体"/>
          <w:sz w:val="21"/>
          <w:szCs w:val="21"/>
        </w:rPr>
        <w:t>截至</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6</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30</w:t>
      </w:r>
      <w:r>
        <w:rPr>
          <w:rFonts w:hint="eastAsia" w:ascii="宋体" w:hAnsi="宋体" w:eastAsia="宋体" w:cs="宋体"/>
          <w:color w:val="000000"/>
          <w:sz w:val="21"/>
          <w:szCs w:val="21"/>
        </w:rPr>
        <w:t>日</w:t>
      </w:r>
      <w:r>
        <w:rPr>
          <w:rFonts w:hint="eastAsia" w:ascii="宋体" w:hAnsi="宋体" w:eastAsia="宋体" w:cs="宋体"/>
          <w:sz w:val="21"/>
          <w:szCs w:val="21"/>
        </w:rPr>
        <w:t>，本公司子公司长沙鑫航机轮刹车有限公司在该行借款余额为</w:t>
      </w:r>
      <w:r>
        <w:rPr>
          <w:rFonts w:hint="default" w:ascii="Calibri" w:hAnsi="Calibri" w:eastAsia="宋体" w:cs="Calibri"/>
          <w:sz w:val="21"/>
          <w:szCs w:val="21"/>
        </w:rPr>
        <w:t>1,000</w:t>
      </w:r>
      <w:r>
        <w:rPr>
          <w:rFonts w:hint="eastAsia" w:ascii="宋体" w:hAnsi="宋体" w:eastAsia="宋体" w:cs="宋体"/>
          <w:sz w:val="21"/>
          <w:szCs w:val="21"/>
        </w:rPr>
        <w:t>万元。</w:t>
      </w:r>
    </w:p>
    <w:p>
      <w:pPr>
        <w:pStyle w:val="2"/>
        <w:keepNext w:val="0"/>
        <w:keepLines w:val="0"/>
        <w:widowControl/>
        <w:suppressLineNumbers w:val="0"/>
        <w:spacing w:before="300" w:beforeAutospacing="0" w:after="0" w:afterAutospacing="0" w:line="280" w:lineRule="atLeast"/>
        <w:ind w:left="0" w:right="0"/>
        <w:jc w:val="left"/>
        <w:rPr>
          <w:rFonts w:hint="default" w:ascii="Times New Roman" w:hAnsi="Times New Roman" w:cs="Times New Roman"/>
          <w:sz w:val="21"/>
          <w:szCs w:val="21"/>
        </w:rPr>
      </w:pPr>
      <w:r>
        <w:rPr>
          <w:rStyle w:val="5"/>
          <w:rFonts w:hint="eastAsia" w:ascii="宋体" w:hAnsi="宋体" w:eastAsia="宋体" w:cs="宋体"/>
          <w:b/>
          <w:bCs/>
          <w:sz w:val="21"/>
          <w:szCs w:val="21"/>
        </w:rPr>
        <w:t xml:space="preserve">3、其他重要事项 </w:t>
      </w:r>
    </w:p>
    <w:p>
      <w:pPr>
        <w:pStyle w:val="2"/>
        <w:keepNext w:val="0"/>
        <w:keepLines w:val="0"/>
        <w:widowControl/>
        <w:suppressLineNumbers w:val="0"/>
        <w:spacing w:before="0" w:beforeAutospacing="0" w:after="0" w:afterAutospacing="0" w:line="360" w:lineRule="atLeast"/>
        <w:ind w:left="0" w:right="0" w:firstLine="210"/>
        <w:jc w:val="both"/>
        <w:rPr>
          <w:rFonts w:hint="default" w:ascii="Times New Roman" w:hAnsi="Times New Roman" w:cs="Times New Roman"/>
          <w:sz w:val="21"/>
          <w:szCs w:val="21"/>
        </w:rPr>
      </w:pPr>
      <w:r>
        <w:rPr>
          <w:rFonts w:hint="eastAsia" w:ascii="宋体" w:hAnsi="宋体" w:eastAsia="宋体" w:cs="宋体"/>
          <w:color w:val="000000"/>
          <w:sz w:val="21"/>
          <w:szCs w:val="21"/>
        </w:rPr>
        <w:t>（1）前期会计差错更正</w:t>
      </w:r>
      <w:r>
        <w:rPr>
          <w:rFonts w:hint="eastAsia" w:ascii="宋体" w:hAnsi="宋体" w:eastAsia="宋体" w:cs="宋体"/>
          <w:sz w:val="21"/>
          <w:szCs w:val="21"/>
        </w:rPr>
        <w:t>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rPr>
        <w:t>①追溯重述法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本报告期未发生采用追溯重述法的前期会计差错更正事项。</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rPr>
        <w:t>②未来适用法</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本报告期未发生采用未来适用法的前期会计差错更正事项。</w:t>
      </w:r>
    </w:p>
    <w:p>
      <w:pPr>
        <w:keepNext/>
        <w:keepLines/>
        <w:spacing w:before="300" w:after="300" w:line="320" w:lineRule="exact"/>
        <w:jc w:val="left"/>
        <w:outlineLvl w:val="1"/>
        <w:rPr>
          <w:rFonts w:ascii="宋体" w:hAnsi="宋体" w:eastAsia="宋体" w:cs="宋体"/>
          <w:b/>
          <w:bCs/>
          <w:sz w:val="24"/>
          <w:szCs w:val="24"/>
        </w:rPr>
      </w:pPr>
      <w:bookmarkStart w:id="349" w:name="_Toc989238"/>
      <w:r>
        <w:rPr>
          <w:rFonts w:ascii="宋体" w:hAnsi="宋体" w:eastAsia="宋体" w:cs="宋体"/>
          <w:b/>
          <w:bCs/>
          <w:sz w:val="24"/>
          <w:szCs w:val="24"/>
        </w:rPr>
        <w:t>十九、母公司财务报表主要项目注释</w:t>
      </w:r>
      <w:bookmarkEnd w:id="349"/>
    </w:p>
    <w:p>
      <w:pPr>
        <w:keepNext/>
        <w:keepLines/>
        <w:spacing w:before="300" w:after="300" w:line="280" w:lineRule="exact"/>
        <w:jc w:val="left"/>
        <w:outlineLvl w:val="2"/>
        <w:rPr>
          <w:rFonts w:ascii="宋体" w:hAnsi="宋体" w:eastAsia="宋体" w:cs="宋体"/>
          <w:b/>
          <w:bCs/>
          <w:sz w:val="21"/>
          <w:szCs w:val="21"/>
        </w:rPr>
      </w:pPr>
      <w:bookmarkStart w:id="350" w:name="_Toc989239"/>
      <w:r>
        <w:rPr>
          <w:rFonts w:ascii="宋体" w:hAnsi="宋体" w:eastAsia="宋体" w:cs="宋体"/>
          <w:b/>
          <w:bCs/>
          <w:sz w:val="21"/>
          <w:szCs w:val="21"/>
        </w:rPr>
        <w:t>1、应收账款</w:t>
      </w:r>
      <w:bookmarkEnd w:id="350"/>
    </w:p>
    <w:p>
      <w:pPr>
        <w:keepNext/>
        <w:keepLines/>
        <w:spacing w:before="300" w:after="300" w:line="280" w:lineRule="exact"/>
        <w:jc w:val="left"/>
        <w:outlineLvl w:val="3"/>
        <w:rPr>
          <w:rFonts w:ascii="宋体" w:hAnsi="宋体" w:eastAsia="宋体" w:cs="宋体"/>
          <w:b/>
          <w:bCs/>
          <w:sz w:val="21"/>
          <w:szCs w:val="21"/>
        </w:rPr>
      </w:pPr>
      <w:bookmarkStart w:id="351" w:name="_Toc989240"/>
      <w:r>
        <w:rPr>
          <w:rFonts w:ascii="宋体" w:hAnsi="宋体" w:eastAsia="宋体" w:cs="宋体"/>
          <w:b/>
          <w:bCs/>
          <w:sz w:val="21"/>
          <w:szCs w:val="21"/>
        </w:rPr>
        <w:t>（1） 按账龄披露</w:t>
      </w:r>
      <w:bookmarkEnd w:id="351"/>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84,585,738.63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136,749,706.27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18,136,237.90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34,813,443.38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43,218,763.52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45,769,227.04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65,489,191.66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68,406,426.42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17,729,101.96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22,466,336.72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211,429,931.71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285,738,803.11</w:t>
            </w:r>
          </w:p>
        </w:tc>
      </w:tr>
    </w:tbl>
    <w:p>
      <w:pPr>
        <w:keepNext/>
        <w:keepLines/>
        <w:spacing w:before="300" w:after="300" w:line="280" w:lineRule="exact"/>
        <w:jc w:val="left"/>
        <w:outlineLvl w:val="3"/>
        <w:rPr>
          <w:rFonts w:ascii="宋体" w:hAnsi="宋体" w:eastAsia="宋体" w:cs="宋体"/>
          <w:b/>
          <w:bCs/>
          <w:sz w:val="21"/>
          <w:szCs w:val="21"/>
        </w:rPr>
      </w:pPr>
      <w:bookmarkStart w:id="352" w:name="_Toc989241"/>
      <w:r>
        <w:rPr>
          <w:rFonts w:ascii="宋体" w:hAnsi="宋体" w:eastAsia="宋体" w:cs="宋体"/>
          <w:b/>
          <w:bCs/>
          <w:sz w:val="21"/>
          <w:szCs w:val="21"/>
        </w:rPr>
        <w:t>（2） 按坏账计提方法分类披露</w:t>
      </w:r>
      <w:bookmarkEnd w:id="3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165,659,842.01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78.35%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21,000,394.03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144,659,447.98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239,968,713.41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26,297,576.09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213,671,137.32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211,429,931.71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66,770,483.73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144,659,447.98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285,738,803.11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72,067,665.79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213,671,137.32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按单项计提坏账准备类别名称：45,770,089.70元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30,253,497.70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30,253,497.70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30,253,497.70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30,253,497.70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按组合计提坏账准备类别名称：21,000,394.03元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84,585,738.63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4,229,286.95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18,136,237.90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1,813,623.79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43,218,763.52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8,643,752.70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17,729,101.96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5,318,730.59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995,000.00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165,659,842.01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21,000,394.03</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353" w:name="_Toc989242"/>
      <w:r>
        <w:rPr>
          <w:rFonts w:ascii="宋体" w:hAnsi="宋体" w:eastAsia="宋体" w:cs="宋体"/>
          <w:b/>
          <w:bCs/>
          <w:sz w:val="21"/>
          <w:szCs w:val="21"/>
        </w:rPr>
        <w:t>（3） 本期计提、收回或转回的坏账准备情况</w:t>
      </w:r>
      <w:bookmarkEnd w:id="353"/>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26,297,576.09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-5,297,182.06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21,000,394.03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72,067,665.79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-5,297,182.06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66,770,483.73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确定原坏账准备计提比例的依据及其合理性</w:t>
            </w:r>
          </w:p>
        </w:tc>
      </w:tr>
    </w:tbl>
    <w:p>
      <w:pPr>
        <w:keepNext/>
        <w:keepLines/>
        <w:spacing w:before="300" w:after="300" w:line="280" w:lineRule="exact"/>
        <w:jc w:val="left"/>
        <w:outlineLvl w:val="3"/>
        <w:rPr>
          <w:rFonts w:ascii="宋体" w:hAnsi="宋体" w:eastAsia="宋体" w:cs="宋体"/>
          <w:b/>
          <w:bCs/>
          <w:sz w:val="21"/>
          <w:szCs w:val="21"/>
        </w:rPr>
      </w:pPr>
      <w:bookmarkStart w:id="354" w:name="_Toc989243"/>
      <w:r>
        <w:rPr>
          <w:rFonts w:ascii="宋体" w:hAnsi="宋体" w:eastAsia="宋体" w:cs="宋体"/>
          <w:b/>
          <w:bCs/>
          <w:sz w:val="21"/>
          <w:szCs w:val="21"/>
        </w:rPr>
        <w:t>（4） 本期实际核销的应收账款情况</w:t>
      </w:r>
      <w:bookmarkEnd w:id="35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pStyle w:val="2"/>
        <w:keepNext w:val="0"/>
        <w:keepLines w:val="0"/>
        <w:widowControl/>
        <w:suppressLineNumbers w:val="0"/>
        <w:spacing w:before="300" w:beforeAutospacing="0" w:after="300" w:afterAutospacing="0" w:line="280" w:lineRule="atLeast"/>
        <w:ind w:left="0" w:right="0"/>
        <w:jc w:val="left"/>
        <w:rPr>
          <w:rFonts w:hint="default" w:ascii="Times New Roman" w:hAnsi="Times New Roman" w:cs="Times New Roman"/>
          <w:sz w:val="21"/>
          <w:szCs w:val="21"/>
        </w:rPr>
      </w:pPr>
      <w:r>
        <w:rPr>
          <w:rStyle w:val="5"/>
          <w:rFonts w:hint="eastAsia" w:ascii="宋体" w:hAnsi="宋体" w:eastAsia="宋体" w:cs="宋体"/>
          <w:b/>
          <w:bCs/>
          <w:sz w:val="21"/>
          <w:szCs w:val="21"/>
        </w:rPr>
        <w:t>（5） 按欠款方归集的期末余额前五名的应收账款和合同资产情况</w:t>
      </w:r>
    </w:p>
    <w:p>
      <w:pPr>
        <w:pStyle w:val="2"/>
        <w:keepNext w:val="0"/>
        <w:keepLines w:val="0"/>
        <w:widowControl/>
        <w:suppressLineNumbers w:val="0"/>
        <w:spacing w:before="0" w:beforeAutospacing="1" w:after="0" w:afterAutospacing="1"/>
        <w:ind w:left="0" w:right="0" w:firstLine="420"/>
      </w:pPr>
      <w:r>
        <w:rPr>
          <w:rFonts w:hint="eastAsia" w:ascii="宋体" w:hAnsi="宋体" w:eastAsia="宋体" w:cs="宋体"/>
          <w:color w:val="000000"/>
          <w:sz w:val="21"/>
          <w:szCs w:val="21"/>
        </w:rPr>
        <w:t>按欠款方归集的期末余额前五名应收账款和合同资产汇总金额145,418,217.79元，占应收账款和合同资产期末余额合计数的比例68.78</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，相应计提的坏账准备期末余额汇总金额18,627,251.71元。</w:t>
      </w:r>
    </w:p>
    <w:p>
      <w:pPr>
        <w:keepNext/>
        <w:keepLines/>
        <w:spacing w:before="300" w:after="300" w:line="280" w:lineRule="exact"/>
        <w:jc w:val="left"/>
        <w:outlineLvl w:val="3"/>
        <w:rPr>
          <w:rFonts w:ascii="宋体" w:hAnsi="宋体" w:eastAsia="宋体" w:cs="宋体"/>
          <w:b/>
          <w:bCs/>
          <w:sz w:val="21"/>
          <w:szCs w:val="21"/>
        </w:rPr>
      </w:pPr>
      <w:bookmarkStart w:id="355" w:name="_Toc989244"/>
      <w:r>
        <w:rPr>
          <w:rFonts w:ascii="宋体" w:hAnsi="宋体" w:eastAsia="宋体" w:cs="宋体"/>
          <w:b/>
          <w:bCs/>
          <w:sz w:val="21"/>
          <w:szCs w:val="21"/>
        </w:rPr>
        <w:t>（</w:t>
      </w:r>
      <w:r>
        <w:rPr>
          <w:rFonts w:hint="eastAsia" w:ascii="宋体" w:hAnsi="宋体" w:cs="宋体"/>
          <w:b/>
          <w:bCs/>
          <w:sz w:val="21"/>
          <w:szCs w:val="21"/>
          <w:lang w:val="en-US" w:eastAsia="zh-CN"/>
        </w:rPr>
        <w:t>6</w:t>
      </w:r>
      <w:r>
        <w:rPr>
          <w:rFonts w:ascii="宋体" w:hAnsi="宋体" w:eastAsia="宋体" w:cs="宋体"/>
          <w:b/>
          <w:bCs/>
          <w:sz w:val="21"/>
          <w:szCs w:val="21"/>
        </w:rPr>
        <w:t>） 按欠款方归集的期末余额前五名的应收账款和合同资产情况</w:t>
      </w:r>
      <w:bookmarkEnd w:id="3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应收账款坏账准备和合同资产减值准备期末余额</w:t>
            </w:r>
          </w:p>
        </w:tc>
      </w:tr>
    </w:tbl>
    <w:p>
      <w:pPr>
        <w:keepNext/>
        <w:keepLines/>
        <w:spacing w:before="300" w:after="300" w:line="280" w:lineRule="exact"/>
        <w:jc w:val="left"/>
        <w:outlineLvl w:val="2"/>
        <w:rPr>
          <w:rFonts w:ascii="宋体" w:hAnsi="宋体" w:eastAsia="宋体" w:cs="宋体"/>
          <w:b/>
          <w:bCs/>
          <w:sz w:val="21"/>
          <w:szCs w:val="21"/>
        </w:rPr>
      </w:pPr>
      <w:bookmarkStart w:id="356" w:name="_Toc989245"/>
      <w:r>
        <w:rPr>
          <w:rFonts w:ascii="宋体" w:hAnsi="宋体" w:eastAsia="宋体" w:cs="宋体"/>
          <w:b/>
          <w:bCs/>
          <w:sz w:val="21"/>
          <w:szCs w:val="21"/>
        </w:rPr>
        <w:t>2、其他应收款</w:t>
      </w:r>
      <w:bookmarkEnd w:id="35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488,554.89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115,041.28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488,554.89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115,041.28</w:t>
            </w:r>
          </w:p>
        </w:tc>
      </w:tr>
    </w:tbl>
    <w:p>
      <w:pPr>
        <w:keepNext/>
        <w:keepLines/>
        <w:spacing w:before="300" w:after="300" w:line="280" w:lineRule="exact"/>
        <w:jc w:val="left"/>
        <w:outlineLvl w:val="3"/>
        <w:rPr>
          <w:rFonts w:ascii="宋体" w:hAnsi="宋体" w:eastAsia="宋体" w:cs="宋体"/>
          <w:b/>
          <w:bCs/>
          <w:sz w:val="18"/>
          <w:szCs w:val="18"/>
        </w:rPr>
      </w:pPr>
      <w:bookmarkStart w:id="357" w:name="_Toc989246"/>
      <w:r>
        <w:rPr>
          <w:rFonts w:ascii="宋体" w:hAnsi="宋体" w:eastAsia="宋体" w:cs="宋体"/>
          <w:b/>
          <w:bCs/>
          <w:sz w:val="18"/>
          <w:szCs w:val="18"/>
        </w:rPr>
        <w:t>（1） 其他应收款</w:t>
      </w:r>
      <w:bookmarkEnd w:id="357"/>
    </w:p>
    <w:p>
      <w:pPr>
        <w:keepNext/>
        <w:keepLines/>
        <w:spacing w:before="300" w:after="300" w:line="280" w:lineRule="exact"/>
        <w:jc w:val="left"/>
        <w:outlineLvl w:val="4"/>
        <w:rPr>
          <w:rFonts w:ascii="宋体" w:hAnsi="宋体" w:eastAsia="宋体" w:cs="宋体"/>
          <w:b w:val="0"/>
          <w:bCs w:val="0"/>
          <w:sz w:val="18"/>
          <w:szCs w:val="18"/>
        </w:rPr>
      </w:pPr>
      <w:bookmarkStart w:id="358" w:name="_Toc989247"/>
      <w:r>
        <w:rPr>
          <w:rFonts w:ascii="宋体" w:hAnsi="宋体" w:eastAsia="宋体" w:cs="宋体"/>
          <w:b w:val="0"/>
          <w:bCs w:val="0"/>
          <w:sz w:val="18"/>
          <w:szCs w:val="18"/>
        </w:rPr>
        <w:fldChar w:fldCharType="begin"/>
      </w:r>
      <w:r>
        <w:rPr>
          <w:rFonts w:ascii="宋体" w:hAnsi="宋体" w:eastAsia="宋体" w:cs="宋体"/>
          <w:b w:val="0"/>
          <w:bCs w:val="0"/>
          <w:sz w:val="18"/>
          <w:szCs w:val="18"/>
        </w:rPr>
        <w:instrText xml:space="preserve"> = 1 \* GB3 \* MERGEFORMAT </w:instrText>
      </w:r>
      <w:r>
        <w:rPr>
          <w:rFonts w:ascii="宋体" w:hAnsi="宋体" w:eastAsia="宋体" w:cs="宋体"/>
          <w:b w:val="0"/>
          <w:bCs w:val="0"/>
          <w:sz w:val="18"/>
          <w:szCs w:val="18"/>
        </w:rPr>
        <w:fldChar w:fldCharType="separate"/>
      </w:r>
      <w:r>
        <w:rPr>
          <w:b w:val="0"/>
          <w:bCs w:val="0"/>
        </w:rPr>
        <w:t>①</w:t>
      </w:r>
      <w:r>
        <w:rPr>
          <w:rFonts w:ascii="宋体" w:hAnsi="宋体" w:eastAsia="宋体" w:cs="宋体"/>
          <w:b w:val="0"/>
          <w:bCs w:val="0"/>
          <w:sz w:val="18"/>
          <w:szCs w:val="18"/>
        </w:rPr>
        <w:fldChar w:fldCharType="end"/>
      </w:r>
      <w:r>
        <w:rPr>
          <w:rFonts w:ascii="宋体" w:hAnsi="宋体" w:eastAsia="宋体" w:cs="宋体"/>
          <w:b w:val="0"/>
          <w:bCs w:val="0"/>
          <w:sz w:val="18"/>
          <w:szCs w:val="18"/>
        </w:rPr>
        <w:t xml:space="preserve"> 其他应收款按款项性质分类情况</w:t>
      </w:r>
      <w:bookmarkEnd w:id="3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2,215,352.06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2,169,180.16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350,104.40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2,565,456.46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2,171,839.16</w:t>
            </w:r>
          </w:p>
        </w:tc>
      </w:tr>
    </w:tbl>
    <w:p>
      <w:pPr>
        <w:keepNext/>
        <w:keepLines/>
        <w:spacing w:before="300" w:after="300" w:line="280" w:lineRule="exact"/>
        <w:jc w:val="left"/>
        <w:outlineLvl w:val="4"/>
        <w:rPr>
          <w:rFonts w:ascii="宋体" w:hAnsi="宋体" w:eastAsia="宋体" w:cs="宋体"/>
          <w:b w:val="0"/>
          <w:bCs w:val="0"/>
          <w:sz w:val="18"/>
          <w:szCs w:val="18"/>
        </w:rPr>
      </w:pPr>
      <w:bookmarkStart w:id="359" w:name="_Toc989248"/>
      <w:r>
        <w:rPr>
          <w:rFonts w:ascii="宋体" w:hAnsi="宋体" w:eastAsia="宋体" w:cs="宋体"/>
          <w:b w:val="0"/>
          <w:bCs w:val="0"/>
          <w:sz w:val="18"/>
          <w:szCs w:val="18"/>
        </w:rPr>
        <w:fldChar w:fldCharType="begin"/>
      </w:r>
      <w:r>
        <w:rPr>
          <w:rFonts w:ascii="宋体" w:hAnsi="宋体" w:eastAsia="宋体" w:cs="宋体"/>
          <w:b w:val="0"/>
          <w:bCs w:val="0"/>
          <w:sz w:val="18"/>
          <w:szCs w:val="18"/>
        </w:rPr>
        <w:instrText xml:space="preserve"> = 2 \* GB3 \* MERGEFORMAT </w:instrText>
      </w:r>
      <w:r>
        <w:rPr>
          <w:rFonts w:ascii="宋体" w:hAnsi="宋体" w:eastAsia="宋体" w:cs="宋体"/>
          <w:b w:val="0"/>
          <w:bCs w:val="0"/>
          <w:sz w:val="18"/>
          <w:szCs w:val="18"/>
        </w:rPr>
        <w:fldChar w:fldCharType="separate"/>
      </w:r>
      <w:r>
        <w:rPr>
          <w:rFonts w:ascii="宋体" w:hAnsi="宋体" w:eastAsia="宋体" w:cs="宋体"/>
          <w:b w:val="0"/>
          <w:bCs w:val="0"/>
          <w:sz w:val="18"/>
          <w:szCs w:val="18"/>
        </w:rPr>
        <w:t>②</w:t>
      </w:r>
      <w:r>
        <w:rPr>
          <w:rFonts w:ascii="宋体" w:hAnsi="宋体" w:eastAsia="宋体" w:cs="宋体"/>
          <w:b w:val="0"/>
          <w:bCs w:val="0"/>
          <w:sz w:val="18"/>
          <w:szCs w:val="18"/>
        </w:rPr>
        <w:fldChar w:fldCharType="end"/>
      </w:r>
      <w:r>
        <w:rPr>
          <w:rFonts w:ascii="宋体" w:hAnsi="宋体" w:eastAsia="宋体" w:cs="宋体"/>
          <w:b w:val="0"/>
          <w:bCs w:val="0"/>
          <w:sz w:val="18"/>
          <w:szCs w:val="18"/>
        </w:rPr>
        <w:t>按账龄披露</w:t>
      </w:r>
      <w:bookmarkEnd w:id="3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499,890.47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105,297.92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975.25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2,065,565.99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2,065,565.99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27,317.90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2,038,248.09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2,038,248.09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2,565,456.46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2,171,839.16</w:t>
            </w:r>
          </w:p>
        </w:tc>
      </w:tr>
    </w:tbl>
    <w:p>
      <w:pPr>
        <w:keepNext/>
        <w:keepLines/>
        <w:spacing w:before="300" w:after="300" w:line="280" w:lineRule="exact"/>
        <w:jc w:val="left"/>
        <w:outlineLvl w:val="4"/>
        <w:rPr>
          <w:rFonts w:ascii="宋体" w:hAnsi="宋体" w:eastAsia="宋体" w:cs="宋体"/>
          <w:b w:val="0"/>
          <w:bCs w:val="0"/>
          <w:sz w:val="18"/>
          <w:szCs w:val="18"/>
        </w:rPr>
      </w:pPr>
      <w:bookmarkStart w:id="360" w:name="_Toc989249"/>
      <w:r>
        <w:rPr>
          <w:rFonts w:ascii="宋体" w:hAnsi="宋体" w:eastAsia="宋体" w:cs="宋体"/>
          <w:b w:val="0"/>
          <w:bCs w:val="0"/>
          <w:sz w:val="18"/>
          <w:szCs w:val="18"/>
        </w:rPr>
        <w:fldChar w:fldCharType="begin"/>
      </w:r>
      <w:r>
        <w:rPr>
          <w:rFonts w:ascii="宋体" w:hAnsi="宋体" w:eastAsia="宋体" w:cs="宋体"/>
          <w:b w:val="0"/>
          <w:bCs w:val="0"/>
          <w:sz w:val="18"/>
          <w:szCs w:val="18"/>
        </w:rPr>
        <w:instrText xml:space="preserve"> = 3 \* GB3 \* MERGEFORMAT </w:instrText>
      </w:r>
      <w:r>
        <w:rPr>
          <w:rFonts w:ascii="宋体" w:hAnsi="宋体" w:eastAsia="宋体" w:cs="宋体"/>
          <w:b w:val="0"/>
          <w:bCs w:val="0"/>
          <w:sz w:val="18"/>
          <w:szCs w:val="18"/>
        </w:rPr>
        <w:fldChar w:fldCharType="separate"/>
      </w:r>
      <w:r>
        <w:rPr>
          <w:b w:val="0"/>
          <w:bCs w:val="0"/>
        </w:rPr>
        <w:t>③</w:t>
      </w:r>
      <w:r>
        <w:rPr>
          <w:rFonts w:ascii="宋体" w:hAnsi="宋体" w:eastAsia="宋体" w:cs="宋体"/>
          <w:b w:val="0"/>
          <w:bCs w:val="0"/>
          <w:sz w:val="18"/>
          <w:szCs w:val="18"/>
        </w:rPr>
        <w:fldChar w:fldCharType="end"/>
      </w:r>
      <w:r>
        <w:rPr>
          <w:rFonts w:ascii="宋体" w:hAnsi="宋体" w:eastAsia="宋体" w:cs="宋体"/>
          <w:b w:val="0"/>
          <w:bCs w:val="0"/>
          <w:sz w:val="18"/>
          <w:szCs w:val="18"/>
        </w:rPr>
        <w:t xml:space="preserve"> 按坏账计提方法分类披露</w:t>
      </w:r>
      <w:bookmarkEnd w:id="36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1,888,521.87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1,399,966.98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488,554.89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1,494,904.57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1,379,863.29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92.30%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115,041.28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2,565,456.46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2,076,901.57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488,554.89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2,171,839.16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2,056,797.88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115,041.28</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按单项计提坏账准备类别名称：676,934.59元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小额难以收回其他应收款合计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按组合计提坏账准备类别名称：1,399,966.98元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499,890.47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24,994.53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27,317.90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13,658.95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1,361,313.50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1,361,313.50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1,888,521.87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1,399,966.98</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按预期信用损失一般模型计提坏账准备：</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2024年1月1日余额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63,326.89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1,993,470.99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2,056,797.88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20,103.69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20,103.69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2024年6月30日余额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83,430.58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1,993,470.99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2,076,901.57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各阶段划分依据和坏账准备计提比例</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4"/>
        <w:rPr>
          <w:rFonts w:ascii="宋体" w:hAnsi="宋体" w:eastAsia="宋体" w:cs="宋体"/>
          <w:b w:val="0"/>
          <w:bCs w:val="0"/>
          <w:sz w:val="18"/>
          <w:szCs w:val="18"/>
        </w:rPr>
      </w:pPr>
      <w:bookmarkStart w:id="361" w:name="_Toc989250"/>
      <w:r>
        <w:rPr>
          <w:rFonts w:ascii="宋体" w:hAnsi="宋体" w:eastAsia="宋体" w:cs="宋体"/>
          <w:b w:val="0"/>
          <w:bCs w:val="0"/>
          <w:sz w:val="18"/>
          <w:szCs w:val="18"/>
        </w:rPr>
        <w:fldChar w:fldCharType="begin"/>
      </w:r>
      <w:r>
        <w:rPr>
          <w:rFonts w:ascii="宋体" w:hAnsi="宋体" w:eastAsia="宋体" w:cs="宋体"/>
          <w:b w:val="0"/>
          <w:bCs w:val="0"/>
          <w:sz w:val="18"/>
          <w:szCs w:val="18"/>
        </w:rPr>
        <w:instrText xml:space="preserve"> = 4 \* GB3 \* MERGEFORMAT </w:instrText>
      </w:r>
      <w:r>
        <w:rPr>
          <w:rFonts w:ascii="宋体" w:hAnsi="宋体" w:eastAsia="宋体" w:cs="宋体"/>
          <w:b w:val="0"/>
          <w:bCs w:val="0"/>
          <w:sz w:val="18"/>
          <w:szCs w:val="18"/>
        </w:rPr>
        <w:fldChar w:fldCharType="separate"/>
      </w:r>
      <w:r>
        <w:t>④</w:t>
      </w:r>
      <w:r>
        <w:rPr>
          <w:rFonts w:ascii="宋体" w:hAnsi="宋体" w:eastAsia="宋体" w:cs="宋体"/>
          <w:b w:val="0"/>
          <w:bCs w:val="0"/>
          <w:sz w:val="18"/>
          <w:szCs w:val="18"/>
        </w:rPr>
        <w:fldChar w:fldCharType="end"/>
      </w:r>
      <w:r>
        <w:rPr>
          <w:rFonts w:ascii="宋体" w:hAnsi="宋体" w:eastAsia="宋体" w:cs="宋体"/>
          <w:b w:val="0"/>
          <w:bCs w:val="0"/>
          <w:sz w:val="18"/>
          <w:szCs w:val="18"/>
        </w:rPr>
        <w:t>本期计提、收回或转回的坏账准备情况</w:t>
      </w:r>
      <w:bookmarkEnd w:id="361"/>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按信用风险特征组合计提坏账准备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1,379,863.29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20,103.69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1,399,966.98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2,056,797.88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20,103.69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2,076,901.57</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确定原坏账准备计提比例的依据及其合理性</w:t>
            </w:r>
          </w:p>
        </w:tc>
      </w:tr>
    </w:tbl>
    <w:p>
      <w:pPr>
        <w:keepNext/>
        <w:keepLines/>
        <w:spacing w:before="300" w:after="300" w:line="280" w:lineRule="exact"/>
        <w:jc w:val="left"/>
        <w:outlineLvl w:val="4"/>
        <w:rPr>
          <w:rFonts w:ascii="宋体" w:hAnsi="宋体" w:eastAsia="宋体" w:cs="宋体"/>
          <w:b w:val="0"/>
          <w:bCs w:val="0"/>
          <w:sz w:val="18"/>
          <w:szCs w:val="18"/>
        </w:rPr>
      </w:pPr>
      <w:bookmarkStart w:id="362" w:name="_Toc989251"/>
      <w:r>
        <w:rPr>
          <w:rFonts w:ascii="宋体" w:hAnsi="宋体" w:eastAsia="宋体" w:cs="宋体"/>
          <w:b w:val="0"/>
          <w:bCs w:val="0"/>
          <w:sz w:val="18"/>
          <w:szCs w:val="18"/>
        </w:rPr>
        <w:fldChar w:fldCharType="begin"/>
      </w:r>
      <w:r>
        <w:rPr>
          <w:rFonts w:ascii="宋体" w:hAnsi="宋体" w:eastAsia="宋体" w:cs="宋体"/>
          <w:b w:val="0"/>
          <w:bCs w:val="0"/>
          <w:sz w:val="18"/>
          <w:szCs w:val="18"/>
        </w:rPr>
        <w:instrText xml:space="preserve"> = 5 \* GB3 \* MERGEFORMAT </w:instrText>
      </w:r>
      <w:r>
        <w:rPr>
          <w:rFonts w:ascii="宋体" w:hAnsi="宋体" w:eastAsia="宋体" w:cs="宋体"/>
          <w:b w:val="0"/>
          <w:bCs w:val="0"/>
          <w:sz w:val="18"/>
          <w:szCs w:val="18"/>
        </w:rPr>
        <w:fldChar w:fldCharType="separate"/>
      </w:r>
      <w:r>
        <w:rPr>
          <w:b w:val="0"/>
          <w:bCs w:val="0"/>
        </w:rPr>
        <w:t>⑤</w:t>
      </w:r>
      <w:r>
        <w:rPr>
          <w:rFonts w:ascii="宋体" w:hAnsi="宋体" w:eastAsia="宋体" w:cs="宋体"/>
          <w:b w:val="0"/>
          <w:bCs w:val="0"/>
          <w:sz w:val="18"/>
          <w:szCs w:val="18"/>
        </w:rPr>
        <w:fldChar w:fldCharType="end"/>
      </w:r>
      <w:r>
        <w:rPr>
          <w:rFonts w:ascii="宋体" w:hAnsi="宋体" w:eastAsia="宋体" w:cs="宋体"/>
          <w:b w:val="0"/>
          <w:bCs w:val="0"/>
          <w:sz w:val="18"/>
          <w:szCs w:val="18"/>
        </w:rPr>
        <w:t>本期实际核销的其他应收款情况</w:t>
      </w:r>
      <w:bookmarkEnd w:id="3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keepNext/>
        <w:keepLines/>
        <w:spacing w:before="300" w:after="300" w:line="280" w:lineRule="exact"/>
        <w:jc w:val="left"/>
        <w:outlineLvl w:val="4"/>
        <w:rPr>
          <w:rFonts w:ascii="宋体" w:hAnsi="宋体" w:eastAsia="宋体" w:cs="宋体"/>
          <w:b w:val="0"/>
          <w:bCs w:val="0"/>
          <w:sz w:val="18"/>
          <w:szCs w:val="18"/>
        </w:rPr>
      </w:pPr>
      <w:bookmarkStart w:id="363" w:name="_Toc989252"/>
      <w:r>
        <w:rPr>
          <w:rFonts w:ascii="宋体" w:hAnsi="宋体" w:eastAsia="宋体" w:cs="宋体"/>
          <w:b w:val="0"/>
          <w:bCs w:val="0"/>
          <w:sz w:val="18"/>
          <w:szCs w:val="18"/>
        </w:rPr>
        <w:fldChar w:fldCharType="begin"/>
      </w:r>
      <w:r>
        <w:rPr>
          <w:rFonts w:ascii="宋体" w:hAnsi="宋体" w:eastAsia="宋体" w:cs="宋体"/>
          <w:b w:val="0"/>
          <w:bCs w:val="0"/>
          <w:sz w:val="18"/>
          <w:szCs w:val="18"/>
        </w:rPr>
        <w:instrText xml:space="preserve"> = 6 \* GB3 \* MERGEFORMAT </w:instrText>
      </w:r>
      <w:r>
        <w:rPr>
          <w:rFonts w:ascii="宋体" w:hAnsi="宋体" w:eastAsia="宋体" w:cs="宋体"/>
          <w:b w:val="0"/>
          <w:bCs w:val="0"/>
          <w:sz w:val="18"/>
          <w:szCs w:val="18"/>
        </w:rPr>
        <w:fldChar w:fldCharType="separate"/>
      </w:r>
      <w:r>
        <w:t>⑥</w:t>
      </w:r>
      <w:r>
        <w:rPr>
          <w:rFonts w:ascii="宋体" w:hAnsi="宋体" w:eastAsia="宋体" w:cs="宋体"/>
          <w:b w:val="0"/>
          <w:bCs w:val="0"/>
          <w:sz w:val="18"/>
          <w:szCs w:val="18"/>
        </w:rPr>
        <w:fldChar w:fldCharType="end"/>
      </w:r>
      <w:r>
        <w:rPr>
          <w:rFonts w:ascii="宋体" w:hAnsi="宋体" w:eastAsia="宋体" w:cs="宋体"/>
          <w:b w:val="0"/>
          <w:bCs w:val="0"/>
          <w:sz w:val="18"/>
          <w:szCs w:val="18"/>
        </w:rPr>
        <w:t>按欠款方归集的期末余额前五名的其他应收款情况</w:t>
      </w:r>
      <w:bookmarkEnd w:id="36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上海雍丰国际贸易有限公司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长沙怡和有色新金属有限公司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宝鸡市天河钛业有限公司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海航航空技术（福州）有限责任公司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  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杨鹏</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个人借支</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1,905,070.40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1,772,070.40</w:t>
            </w:r>
          </w:p>
        </w:tc>
      </w:tr>
    </w:tbl>
    <w:p>
      <w:pPr>
        <w:keepNext/>
        <w:keepLines/>
        <w:spacing w:before="300" w:after="300" w:line="280" w:lineRule="exact"/>
        <w:jc w:val="left"/>
        <w:outlineLvl w:val="4"/>
        <w:rPr>
          <w:rFonts w:ascii="宋体" w:hAnsi="宋体" w:eastAsia="宋体" w:cs="宋体"/>
          <w:b w:val="0"/>
          <w:bCs w:val="0"/>
          <w:sz w:val="18"/>
          <w:szCs w:val="18"/>
        </w:rPr>
      </w:pPr>
      <w:bookmarkStart w:id="364" w:name="_Toc989253"/>
      <w:r>
        <w:rPr>
          <w:rFonts w:ascii="宋体" w:hAnsi="宋体" w:eastAsia="宋体" w:cs="宋体"/>
          <w:b w:val="0"/>
          <w:bCs w:val="0"/>
          <w:sz w:val="18"/>
          <w:szCs w:val="18"/>
        </w:rPr>
        <w:fldChar w:fldCharType="begin"/>
      </w:r>
      <w:r>
        <w:rPr>
          <w:rFonts w:ascii="宋体" w:hAnsi="宋体" w:eastAsia="宋体" w:cs="宋体"/>
          <w:b w:val="0"/>
          <w:bCs w:val="0"/>
          <w:sz w:val="18"/>
          <w:szCs w:val="18"/>
        </w:rPr>
        <w:instrText xml:space="preserve"> = 7 \* GB3 \* MERGEFORMAT </w:instrText>
      </w:r>
      <w:r>
        <w:rPr>
          <w:rFonts w:ascii="宋体" w:hAnsi="宋体" w:eastAsia="宋体" w:cs="宋体"/>
          <w:b w:val="0"/>
          <w:bCs w:val="0"/>
          <w:sz w:val="18"/>
          <w:szCs w:val="18"/>
        </w:rPr>
        <w:fldChar w:fldCharType="separate"/>
      </w:r>
      <w:r>
        <w:rPr>
          <w:b w:val="0"/>
          <w:bCs w:val="0"/>
        </w:rPr>
        <w:t>⑦</w:t>
      </w:r>
      <w:r>
        <w:rPr>
          <w:rFonts w:ascii="宋体" w:hAnsi="宋体" w:eastAsia="宋体" w:cs="宋体"/>
          <w:b w:val="0"/>
          <w:bCs w:val="0"/>
          <w:sz w:val="18"/>
          <w:szCs w:val="18"/>
        </w:rPr>
        <w:fldChar w:fldCharType="end"/>
      </w:r>
      <w:r>
        <w:rPr>
          <w:rFonts w:ascii="宋体" w:hAnsi="宋体" w:eastAsia="宋体" w:cs="宋体"/>
          <w:b w:val="0"/>
          <w:bCs w:val="0"/>
          <w:sz w:val="18"/>
          <w:szCs w:val="18"/>
        </w:rPr>
        <w:t xml:space="preserve"> 因资金集中管理而列报于其他应收款</w:t>
      </w:r>
      <w:bookmarkEnd w:id="364"/>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65" w:name="_Toc989254"/>
      <w:r>
        <w:rPr>
          <w:rFonts w:ascii="宋体" w:hAnsi="宋体" w:eastAsia="宋体" w:cs="宋体"/>
          <w:b/>
          <w:bCs/>
          <w:sz w:val="21"/>
          <w:szCs w:val="21"/>
        </w:rPr>
        <w:t>3、长期股权投资</w:t>
      </w:r>
      <w:bookmarkEnd w:id="3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对联营、合营企业投资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10,669,286.20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10,669,286.20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1,366,685,988.57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1,215,437,792.19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1,370,927,117.10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1,219,678,920.72</w:t>
            </w:r>
          </w:p>
        </w:tc>
      </w:tr>
    </w:tbl>
    <w:p>
      <w:pPr>
        <w:keepNext/>
        <w:keepLines/>
        <w:spacing w:before="300" w:after="300" w:line="280" w:lineRule="exact"/>
        <w:jc w:val="left"/>
        <w:outlineLvl w:val="3"/>
        <w:rPr>
          <w:rFonts w:ascii="宋体" w:hAnsi="宋体" w:eastAsia="宋体" w:cs="宋体"/>
          <w:b/>
          <w:bCs/>
          <w:sz w:val="21"/>
          <w:szCs w:val="21"/>
        </w:rPr>
      </w:pPr>
      <w:bookmarkStart w:id="366" w:name="_Toc989255"/>
      <w:r>
        <w:rPr>
          <w:rFonts w:ascii="宋体" w:hAnsi="宋体" w:eastAsia="宋体" w:cs="宋体"/>
          <w:b/>
          <w:bCs/>
          <w:sz w:val="21"/>
          <w:szCs w:val="21"/>
        </w:rPr>
        <w:t>（1） 对子公司投资</w:t>
      </w:r>
      <w:bookmarkEnd w:id="36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635,317,977.02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635,317,977.02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365,546,273.46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365,546,273.46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203,904,255.51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203,904,255.51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r>
    </w:tbl>
    <w:p>
      <w:pPr>
        <w:keepNext/>
        <w:keepLines/>
        <w:spacing w:before="300" w:after="300" w:line="280" w:lineRule="exact"/>
        <w:jc w:val="left"/>
        <w:outlineLvl w:val="3"/>
        <w:rPr>
          <w:rFonts w:ascii="宋体" w:hAnsi="宋体" w:eastAsia="宋体" w:cs="宋体"/>
          <w:b/>
          <w:bCs/>
          <w:sz w:val="21"/>
          <w:szCs w:val="21"/>
        </w:rPr>
      </w:pPr>
      <w:bookmarkStart w:id="367" w:name="_Toc989256"/>
      <w:r>
        <w:rPr>
          <w:rFonts w:ascii="宋体" w:hAnsi="宋体" w:eastAsia="宋体" w:cs="宋体"/>
          <w:b/>
          <w:bCs/>
          <w:sz w:val="21"/>
          <w:szCs w:val="21"/>
        </w:rPr>
        <w:t>（2） 对联营、合营企业投资</w:t>
      </w:r>
      <w:bookmarkEnd w:id="3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-4,241,128.53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10,669,286.20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-4,241,128.53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10,669,286.20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-4,241,128.53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10,669,286.20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可收回金额按公允价值减去处置费用后的净额确定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可收回金额按预计未来现金流量的现值确定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pPr>
        <w:keepNext/>
        <w:keepLines/>
        <w:spacing w:before="300" w:after="300" w:line="280" w:lineRule="exact"/>
        <w:jc w:val="left"/>
        <w:outlineLvl w:val="3"/>
        <w:rPr>
          <w:rFonts w:ascii="宋体" w:hAnsi="宋体" w:eastAsia="宋体" w:cs="宋体"/>
          <w:b/>
          <w:bCs/>
          <w:sz w:val="21"/>
          <w:szCs w:val="21"/>
        </w:rPr>
      </w:pPr>
      <w:bookmarkStart w:id="368" w:name="_Toc989257"/>
      <w:r>
        <w:rPr>
          <w:rFonts w:ascii="宋体" w:hAnsi="宋体" w:eastAsia="宋体" w:cs="宋体"/>
          <w:b/>
          <w:bCs/>
          <w:sz w:val="21"/>
          <w:szCs w:val="21"/>
        </w:rPr>
        <w:t>（3） 其他说明</w:t>
      </w:r>
      <w:bookmarkEnd w:id="368"/>
    </w:p>
    <w:p>
      <w:pPr>
        <w:keepNext/>
        <w:keepLines/>
        <w:spacing w:before="300" w:after="300" w:line="280" w:lineRule="exact"/>
        <w:jc w:val="left"/>
        <w:outlineLvl w:val="2"/>
        <w:rPr>
          <w:rFonts w:ascii="宋体" w:hAnsi="宋体" w:eastAsia="宋体" w:cs="宋体"/>
          <w:b/>
          <w:bCs/>
          <w:sz w:val="21"/>
          <w:szCs w:val="21"/>
        </w:rPr>
      </w:pPr>
      <w:bookmarkStart w:id="369" w:name="_Toc989258"/>
      <w:r>
        <w:rPr>
          <w:rFonts w:ascii="宋体" w:hAnsi="宋体" w:eastAsia="宋体" w:cs="宋体"/>
          <w:b/>
          <w:bCs/>
          <w:sz w:val="21"/>
          <w:szCs w:val="21"/>
        </w:rPr>
        <w:t>4、营业收入和营业成本</w:t>
      </w:r>
      <w:bookmarkEnd w:id="3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60,275,259.77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28,174,206.39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85,430,668.12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46,845,913.72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1,137,365.51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348,920.36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2,224,963.78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549,136.25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61,412,625.28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28,523,126.75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87,655,631.90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47,395,049.97</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营业收入、营业成本的分解信息：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业务类型</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60,275,259.77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28,174,206.39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60,275,259.77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28,174,206.39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54,734,504.36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24,777,981.49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5,540,755.41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3,396,224.90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60,275,259.77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28,174,206.39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60,275,259.77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28,174,206.39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60,275,259.77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28,174,206.39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主营商品买卖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60,275,259.77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28,174,206.39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60,275,259.77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28,174,206.39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在某一时点确认</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60,275,259.77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28,174,206.39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在某一时段内确认</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60,275,259.77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28,174,206.39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spacing w:before="0" w:after="0" w:line="0" w:lineRule="exact"/>
        <w:jc w:val="left"/>
      </w:pP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公司提供的质量保证类型及相关义务</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145,226,893.90元，其中，68,735,425.81元预计将于2024年度确认收入，56,492,331.32元预计将于2025年度确认收入，19,999,136.77元预计将于2026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重大合同变更或重大交易价格调整</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对收入的影响金额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0" w:name="_Toc989259"/>
      <w:r>
        <w:rPr>
          <w:rFonts w:ascii="宋体" w:hAnsi="宋体" w:eastAsia="宋体" w:cs="宋体"/>
          <w:b/>
          <w:bCs/>
          <w:sz w:val="21"/>
          <w:szCs w:val="21"/>
        </w:rPr>
        <w:t>5、投资收益</w:t>
      </w:r>
      <w:bookmarkEnd w:id="3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-4,241,128.53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-2,412,636.53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-7,935,206.78</w:t>
            </w:r>
          </w:p>
        </w:tc>
      </w:tr>
    </w:tbl>
    <w:p>
      <w:pPr>
        <w:keepNext/>
        <w:keepLines/>
        <w:spacing w:before="300" w:after="300" w:line="280" w:lineRule="exact"/>
        <w:jc w:val="left"/>
        <w:outlineLvl w:val="2"/>
        <w:rPr>
          <w:rFonts w:ascii="宋体" w:hAnsi="宋体" w:eastAsia="宋体" w:cs="宋体"/>
          <w:b/>
          <w:bCs/>
          <w:sz w:val="21"/>
          <w:szCs w:val="21"/>
        </w:rPr>
      </w:pPr>
      <w:bookmarkStart w:id="371" w:name="_Toc989260"/>
      <w:r>
        <w:rPr>
          <w:rFonts w:ascii="宋体" w:hAnsi="宋体" w:eastAsia="宋体" w:cs="宋体"/>
          <w:b/>
          <w:bCs/>
          <w:sz w:val="21"/>
          <w:szCs w:val="21"/>
        </w:rPr>
        <w:t>6、其他</w:t>
      </w:r>
      <w:bookmarkEnd w:id="371"/>
    </w:p>
    <w:p>
      <w:pPr>
        <w:keepNext/>
        <w:keepLines/>
        <w:spacing w:before="300" w:after="300" w:line="320" w:lineRule="exact"/>
        <w:jc w:val="left"/>
        <w:outlineLvl w:val="1"/>
        <w:rPr>
          <w:rFonts w:ascii="宋体" w:hAnsi="宋体" w:eastAsia="宋体" w:cs="宋体"/>
          <w:b/>
          <w:bCs/>
          <w:sz w:val="24"/>
          <w:szCs w:val="24"/>
        </w:rPr>
      </w:pPr>
      <w:bookmarkStart w:id="372" w:name="_Toc989261"/>
      <w:r>
        <w:rPr>
          <w:rFonts w:ascii="宋体" w:hAnsi="宋体" w:eastAsia="宋体" w:cs="宋体"/>
          <w:b/>
          <w:bCs/>
          <w:sz w:val="24"/>
          <w:szCs w:val="24"/>
        </w:rPr>
        <w:t>二十、补充资料</w:t>
      </w:r>
      <w:bookmarkEnd w:id="372"/>
    </w:p>
    <w:p>
      <w:pPr>
        <w:keepNext/>
        <w:keepLines/>
        <w:spacing w:before="300" w:after="300" w:line="280" w:lineRule="exact"/>
        <w:jc w:val="left"/>
        <w:outlineLvl w:val="2"/>
        <w:rPr>
          <w:rFonts w:ascii="宋体" w:hAnsi="宋体" w:eastAsia="宋体" w:cs="宋体"/>
          <w:b/>
          <w:bCs/>
          <w:sz w:val="21"/>
          <w:szCs w:val="21"/>
        </w:rPr>
      </w:pPr>
      <w:bookmarkStart w:id="373" w:name="_Toc989262"/>
      <w:r>
        <w:rPr>
          <w:rFonts w:ascii="宋体" w:hAnsi="宋体" w:eastAsia="宋体" w:cs="宋体"/>
          <w:b/>
          <w:bCs/>
          <w:sz w:val="21"/>
          <w:szCs w:val="21"/>
        </w:rPr>
        <w:t>1、当期非经常性损益明细表</w:t>
      </w:r>
      <w:bookmarkEnd w:id="373"/>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非流动性资产处置损益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-87,299.19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7,169,360.21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6,748,280.84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3,729,452.64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122,834.48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9,978,054.74</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74" w:name="_Toc989263"/>
      <w:r>
        <w:rPr>
          <w:rFonts w:ascii="宋体" w:hAnsi="宋体" w:eastAsia="宋体" w:cs="宋体"/>
          <w:b/>
          <w:bCs/>
          <w:sz w:val="21"/>
          <w:szCs w:val="21"/>
        </w:rPr>
        <w:t>2、净资产收益率及每股收益</w:t>
      </w:r>
      <w:bookmarkEnd w:id="374"/>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-0.0134</w:t>
            </w:r>
          </w:p>
        </w:tc>
      </w:tr>
    </w:tbl>
    <w:p>
      <w:pPr>
        <w:keepNext/>
        <w:keepLines/>
        <w:spacing w:before="300" w:after="300" w:line="280" w:lineRule="exact"/>
        <w:jc w:val="left"/>
        <w:outlineLvl w:val="2"/>
        <w:rPr>
          <w:rFonts w:ascii="宋体" w:hAnsi="宋体" w:eastAsia="宋体" w:cs="宋体"/>
          <w:b/>
          <w:bCs/>
          <w:sz w:val="21"/>
          <w:szCs w:val="21"/>
        </w:rPr>
      </w:pPr>
      <w:bookmarkStart w:id="375" w:name="_Toc989264"/>
      <w:r>
        <w:rPr>
          <w:rFonts w:ascii="宋体" w:hAnsi="宋体" w:eastAsia="宋体" w:cs="宋体"/>
          <w:b/>
          <w:bCs/>
          <w:sz w:val="21"/>
          <w:szCs w:val="21"/>
        </w:rPr>
        <w:t>3、境内外会计准则下会计数据差异</w:t>
      </w:r>
      <w:bookmarkEnd w:id="375"/>
    </w:p>
    <w:p>
      <w:pPr>
        <w:keepNext/>
        <w:keepLines/>
        <w:spacing w:before="300" w:after="300" w:line="280" w:lineRule="exact"/>
        <w:jc w:val="left"/>
        <w:outlineLvl w:val="3"/>
        <w:rPr>
          <w:rFonts w:ascii="宋体" w:hAnsi="宋体" w:eastAsia="宋体" w:cs="宋体"/>
          <w:b/>
          <w:bCs/>
          <w:sz w:val="21"/>
          <w:szCs w:val="21"/>
        </w:rPr>
      </w:pPr>
      <w:bookmarkStart w:id="376" w:name="_Toc989265"/>
      <w:r>
        <w:rPr>
          <w:rFonts w:ascii="宋体" w:hAnsi="宋体" w:eastAsia="宋体" w:cs="宋体"/>
          <w:b/>
          <w:bCs/>
          <w:sz w:val="21"/>
          <w:szCs w:val="21"/>
        </w:rPr>
        <w:t>（1） 同时按照国际会计准则与按中国会计准则披露的财务报告中净利润和净资产差异情况</w:t>
      </w:r>
      <w:bookmarkEnd w:id="376"/>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377" w:name="_Toc989266"/>
      <w:r>
        <w:rPr>
          <w:rFonts w:ascii="宋体" w:hAnsi="宋体" w:eastAsia="宋体" w:cs="宋体"/>
          <w:b/>
          <w:bCs/>
          <w:sz w:val="21"/>
          <w:szCs w:val="21"/>
        </w:rPr>
        <w:t>（2） 同时按照境外会计准则与按中国会计准则披露的财务报告中净利润和净资产差异情况</w:t>
      </w:r>
      <w:bookmarkEnd w:id="377"/>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378" w:name="_Toc989267"/>
      <w:r>
        <w:rPr>
          <w:rFonts w:ascii="宋体" w:hAnsi="宋体" w:eastAsia="宋体" w:cs="宋体"/>
          <w:b/>
          <w:bCs/>
          <w:sz w:val="21"/>
          <w:szCs w:val="21"/>
        </w:rPr>
        <w:t>（3） 境内外会计准则下会计数据差异原因说明，对已经境外审计机构审计的数据进行差异调节的，应注明该境外机构的名称</w:t>
      </w:r>
      <w:bookmarkEnd w:id="378"/>
    </w:p>
    <w:p>
      <w:pPr>
        <w:keepNext/>
        <w:keepLines/>
        <w:spacing w:before="300" w:after="300" w:line="280" w:lineRule="exact"/>
        <w:jc w:val="left"/>
        <w:outlineLvl w:val="2"/>
        <w:rPr>
          <w:rFonts w:ascii="宋体" w:hAnsi="宋体" w:eastAsia="宋体" w:cs="宋体"/>
          <w:b/>
          <w:bCs/>
          <w:sz w:val="21"/>
          <w:szCs w:val="21"/>
        </w:rPr>
      </w:pPr>
      <w:bookmarkStart w:id="379" w:name="_Toc989268"/>
      <w:r>
        <w:rPr>
          <w:rFonts w:ascii="宋体" w:hAnsi="宋体" w:eastAsia="宋体" w:cs="宋体"/>
          <w:b/>
          <w:bCs/>
          <w:sz w:val="21"/>
          <w:szCs w:val="21"/>
        </w:rPr>
        <w:t>4、其他</w:t>
      </w:r>
      <w:bookmarkEnd w:id="379"/>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湖南博云新材料股份有限公司2024年半年度报告全文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compat>
    <w:doNotExpandShiftReturn/>
    <w:useFELayout/>
    <w:compatSetting w:name="compatibilityMode" w:uri="http://schemas.microsoft.com/office/word" w:val="14"/>
  </w:compat>
  <w:docVars>
    <w:docVar w:name="commondata" w:val="eyJoZGlkIjoiYzlhZDM3OWM2NmRhMzBiMDYxYjgzYzJiMWE5MTRlNzAifQ=="/>
    <w:docVar w:name="KSO_WPS_MARK_KEY" w:val="5d979d23-e08d-4466-ac60-56a81677c2c9"/>
  </w:docVars>
  <w:rsids>
    <w:rsidRoot w:val="00000000"/>
    <w:rsid w:val="00B46918"/>
    <w:rsid w:val="00BD686E"/>
    <w:rsid w:val="01922216"/>
    <w:rsid w:val="042711AF"/>
    <w:rsid w:val="04497378"/>
    <w:rsid w:val="05AB5E10"/>
    <w:rsid w:val="06007F0A"/>
    <w:rsid w:val="06190FCC"/>
    <w:rsid w:val="064617F5"/>
    <w:rsid w:val="076B3AA9"/>
    <w:rsid w:val="0A415535"/>
    <w:rsid w:val="0CD8573D"/>
    <w:rsid w:val="0D3861DB"/>
    <w:rsid w:val="0E67321C"/>
    <w:rsid w:val="110E5CAC"/>
    <w:rsid w:val="11D544FE"/>
    <w:rsid w:val="159A4AA6"/>
    <w:rsid w:val="1A544545"/>
    <w:rsid w:val="1AA255DC"/>
    <w:rsid w:val="1F483893"/>
    <w:rsid w:val="1FBF453A"/>
    <w:rsid w:val="21124EDA"/>
    <w:rsid w:val="22317971"/>
    <w:rsid w:val="23403BE4"/>
    <w:rsid w:val="244020ED"/>
    <w:rsid w:val="27BD7FD0"/>
    <w:rsid w:val="29070C06"/>
    <w:rsid w:val="2E870919"/>
    <w:rsid w:val="2FC429A7"/>
    <w:rsid w:val="31B65CE0"/>
    <w:rsid w:val="31E22A36"/>
    <w:rsid w:val="347E179C"/>
    <w:rsid w:val="365612FD"/>
    <w:rsid w:val="36EC3A0F"/>
    <w:rsid w:val="38D879A8"/>
    <w:rsid w:val="3A351647"/>
    <w:rsid w:val="3A811BB6"/>
    <w:rsid w:val="3AF72CED"/>
    <w:rsid w:val="41AB6BB0"/>
    <w:rsid w:val="441445A5"/>
    <w:rsid w:val="4439400C"/>
    <w:rsid w:val="47AD0F98"/>
    <w:rsid w:val="49156DF5"/>
    <w:rsid w:val="497E00CB"/>
    <w:rsid w:val="4B5E6357"/>
    <w:rsid w:val="4BAC7DF0"/>
    <w:rsid w:val="4C013661"/>
    <w:rsid w:val="4CC27E0A"/>
    <w:rsid w:val="4F0746F3"/>
    <w:rsid w:val="500A1AD2"/>
    <w:rsid w:val="50DF6FF1"/>
    <w:rsid w:val="51532BB1"/>
    <w:rsid w:val="516E4DFD"/>
    <w:rsid w:val="565C2507"/>
    <w:rsid w:val="577911A5"/>
    <w:rsid w:val="5915699E"/>
    <w:rsid w:val="5D7B7E5D"/>
    <w:rsid w:val="5E58082C"/>
    <w:rsid w:val="5F9A5E4E"/>
    <w:rsid w:val="60B66CB8"/>
    <w:rsid w:val="640D4E41"/>
    <w:rsid w:val="653234C1"/>
    <w:rsid w:val="676C1E7F"/>
    <w:rsid w:val="69A91168"/>
    <w:rsid w:val="6A590DE0"/>
    <w:rsid w:val="6AE46E66"/>
    <w:rsid w:val="6D9914F3"/>
    <w:rsid w:val="6DFD4599"/>
    <w:rsid w:val="6E427DDD"/>
    <w:rsid w:val="6F81182E"/>
    <w:rsid w:val="701337DF"/>
    <w:rsid w:val="71072C18"/>
    <w:rsid w:val="722D1C75"/>
    <w:rsid w:val="73460B62"/>
    <w:rsid w:val="74031DBD"/>
    <w:rsid w:val="76C05D43"/>
    <w:rsid w:val="76E23F0B"/>
    <w:rsid w:val="78A725B8"/>
    <w:rsid w:val="7AC560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132</Pages>
  <Words>72284</Words>
  <Characters>101426</Characters>
  <TotalTime>2</TotalTime>
  <ScaleCrop>false</ScaleCrop>
  <LinksUpToDate>false</LinksUpToDate>
  <CharactersWithSpaces>102096</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2024-08-14T05:40:00Z</dcterms:created>
  <dc:creator>Administrator</dc:creator>
  <cp:lastModifiedBy>张爱丽</cp:lastModifiedBy>
  <cp:lastPrinted>2024-08-14T08:47:00Z</cp:lastPrinted>
  <dcterms:modified xsi:type="dcterms:W3CDTF">2024-08-22T06:48:18Z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309EA6EF2E514F368CA8FD52D7AD1F99</vt:lpwstr>
  </property>
</Properties>
</file>