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证券代码：002297         </w:t>
      </w:r>
      <w:r>
        <w:rPr>
          <w:rFonts w:hint="eastAsia" w:ascii="宋体" w:hAnsi="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cs="宋体"/>
          <w:sz w:val="18"/>
          <w:szCs w:val="18"/>
          <w:lang w:val="en-US" w:eastAsia="zh-CN"/>
        </w:rPr>
        <w:t xml:space="preserve">    </w:t>
      </w:r>
      <w:r>
        <w:rPr>
          <w:rFonts w:ascii="宋体" w:hAnsi="宋体" w:eastAsia="宋体" w:cs="宋体"/>
          <w:sz w:val="18"/>
          <w:szCs w:val="18"/>
        </w:rPr>
        <w:t xml:space="preserve">    证券简称：博云新材        </w:t>
      </w:r>
      <w:r>
        <w:rPr>
          <w:rFonts w:hint="eastAsia" w:ascii="宋体" w:hAnsi="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cs="宋体"/>
          <w:sz w:val="18"/>
          <w:szCs w:val="18"/>
          <w:lang w:val="en-US" w:eastAsia="zh-CN"/>
        </w:rPr>
        <w:t>2023-034</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湖南博云新材料股份有限公司</w:t>
      </w:r>
    </w:p>
    <w:p>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2023年第三季度报告</w:t>
      </w:r>
    </w:p>
    <w:p>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ascii="宋体" w:hAnsi="宋体" w:eastAsia="宋体" w:cs="宋体"/>
          <w:sz w:val="21"/>
          <w:szCs w:val="21"/>
        </w:rPr>
      </w:pPr>
      <w:r>
        <w:rPr>
          <w:rFonts w:ascii="宋体" w:hAnsi="宋体" w:eastAsia="宋体" w:cs="宋体"/>
          <w:sz w:val="21"/>
          <w:szCs w:val="21"/>
        </w:rPr>
        <w:t>1.董事会、监事会及董事、监事、高级管理人员保证季度报告的真实、准确、完整，不存在虚假记载、误导性陈述或重大遗漏，并承担个别和连带的法律责任。</w:t>
      </w:r>
    </w:p>
    <w:p>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ascii="宋体" w:hAnsi="宋体" w:eastAsia="宋体" w:cs="宋体"/>
          <w:sz w:val="21"/>
          <w:szCs w:val="21"/>
        </w:rPr>
      </w:pPr>
      <w:r>
        <w:rPr>
          <w:rFonts w:ascii="宋体" w:hAnsi="宋体" w:eastAsia="宋体" w:cs="宋体"/>
          <w:sz w:val="21"/>
          <w:szCs w:val="21"/>
        </w:rPr>
        <w:t>2.公司负责人、主管会计工作负责人及会计机构负责人(会计主管人员)声明：保证季度报告中财务信息的真实、准确、完整。</w:t>
      </w:r>
    </w:p>
    <w:p>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ascii="宋体" w:hAnsi="宋体" w:eastAsia="宋体" w:cs="宋体"/>
          <w:sz w:val="21"/>
          <w:szCs w:val="21"/>
        </w:rPr>
      </w:pPr>
      <w:r>
        <w:rPr>
          <w:rFonts w:ascii="宋体" w:hAnsi="宋体" w:eastAsia="宋体" w:cs="宋体"/>
          <w:sz w:val="21"/>
          <w:szCs w:val="21"/>
        </w:rPr>
        <w:t>3.第三季度报告是否经过审计</w:t>
      </w:r>
    </w:p>
    <w:p>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rPr>
          <w:rFonts w:ascii="宋体" w:hAnsi="宋体" w:eastAsia="宋体" w:cs="宋体"/>
          <w:sz w:val="21"/>
          <w:szCs w:val="21"/>
        </w:rPr>
      </w:pPr>
      <w:r>
        <w:rPr>
          <w:rFonts w:ascii="宋体" w:hAnsi="宋体" w:eastAsia="宋体" w:cs="宋体"/>
          <w:sz w:val="21"/>
          <w:szCs w:val="21"/>
        </w:rPr>
        <w:t xml:space="preserve">□是 </w:t>
      </w:r>
      <w:r>
        <w:rPr>
          <w:rFonts w:ascii="宋体" w:hAnsi="宋体" w:eastAsia="宋体" w:cs="宋体"/>
          <w:sz w:val="21"/>
          <w:szCs w:val="21"/>
        </w:rPr>
        <w:sym w:font="Wingdings 2" w:char="F052"/>
      </w:r>
      <w:r>
        <w:rPr>
          <w:rFonts w:ascii="宋体" w:hAnsi="宋体" w:eastAsia="宋体" w:cs="宋体"/>
          <w:sz w:val="21"/>
          <w:szCs w:val="21"/>
        </w:rPr>
        <w:t>否</w:t>
      </w:r>
    </w:p>
    <w:p>
      <w:r>
        <w:br w:type="page"/>
      </w:r>
    </w:p>
    <w:p>
      <w:pPr>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 主要会计数据和财务指标</w:t>
      </w:r>
      <w:bookmarkEnd w:id="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09"/>
        <w:gridCol w:w="1860"/>
        <w:gridCol w:w="1890"/>
        <w:gridCol w:w="1635"/>
        <w:gridCol w:w="1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8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8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c>
          <w:tcPr>
            <w:tcW w:w="16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w:t>
            </w:r>
          </w:p>
        </w:tc>
        <w:tc>
          <w:tcPr>
            <w:tcW w:w="16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165,001,003.68</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23.03%</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457,594,275.15</w:t>
            </w:r>
          </w:p>
        </w:tc>
        <w:tc>
          <w:tcPr>
            <w:tcW w:w="16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10,192,562.95</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652.79%</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20,320,528.15</w:t>
            </w:r>
          </w:p>
        </w:tc>
        <w:tc>
          <w:tcPr>
            <w:tcW w:w="16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2,873,311.97</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185.45%</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4,688,474.31</w:t>
            </w:r>
          </w:p>
        </w:tc>
        <w:tc>
          <w:tcPr>
            <w:tcW w:w="16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8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8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-59,327,777.92</w:t>
            </w:r>
          </w:p>
        </w:tc>
        <w:tc>
          <w:tcPr>
            <w:tcW w:w="16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0.0178</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673.91%</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0.0355</w:t>
            </w:r>
          </w:p>
        </w:tc>
        <w:tc>
          <w:tcPr>
            <w:tcW w:w="16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0.0178</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673.91%</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0.0355</w:t>
            </w:r>
          </w:p>
        </w:tc>
        <w:tc>
          <w:tcPr>
            <w:tcW w:w="16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0.49%</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16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0.97%</w:t>
            </w:r>
          </w:p>
        </w:tc>
        <w:tc>
          <w:tcPr>
            <w:tcW w:w="16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8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8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328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5"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2,836,340,991.75</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c>
          <w:tcPr>
            <w:tcW w:w="328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18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2,109,521,667.27</w:t>
            </w:r>
          </w:p>
        </w:tc>
        <w:tc>
          <w:tcPr>
            <w:tcW w:w="18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c>
          <w:tcPr>
            <w:tcW w:w="3281"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0.97%</w:t>
            </w:r>
          </w:p>
        </w:tc>
      </w:tr>
    </w:tbl>
    <w:p>
      <w:pPr>
        <w:spacing w:before="100" w:after="100" w:line="0" w:lineRule="exact"/>
        <w:jc w:val="left"/>
      </w:pPr>
    </w:p>
    <w:p>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 非经常性损益项目和金额</w:t>
      </w:r>
      <w:bookmarkEnd w:id="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9"/>
        <w:gridCol w:w="1575"/>
        <w:gridCol w:w="2235"/>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15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22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年初至报告期期末金额</w:t>
            </w:r>
          </w:p>
        </w:tc>
        <w:tc>
          <w:tcPr>
            <w:tcW w:w="16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非流动资产处置损益（包括已计提资产减值准备的冲销部分）</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-10,807.27</w:t>
            </w: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1,373,828.78</w:t>
            </w:r>
          </w:p>
        </w:tc>
        <w:tc>
          <w:tcPr>
            <w:tcW w:w="166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6,992,817.85</w:t>
            </w: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12,955,562.85</w:t>
            </w:r>
          </w:p>
        </w:tc>
        <w:tc>
          <w:tcPr>
            <w:tcW w:w="166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企业取得子公司、联营企业及合营企业的投资成本小于取得投资时应享有被投资单位可辨认净资产公允价值产生的收益</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166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540,000.00</w:t>
            </w: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550,996.50</w:t>
            </w:r>
          </w:p>
        </w:tc>
        <w:tc>
          <w:tcPr>
            <w:tcW w:w="166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63,154.90</w:t>
            </w: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259,150.25</w:t>
            </w:r>
          </w:p>
        </w:tc>
        <w:tc>
          <w:tcPr>
            <w:tcW w:w="166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238,587.36</w:t>
            </w: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1,138,220.90</w:t>
            </w:r>
          </w:p>
        </w:tc>
        <w:tc>
          <w:tcPr>
            <w:tcW w:w="166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27,327.14</w:t>
            </w: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49,960.64</w:t>
            </w:r>
          </w:p>
        </w:tc>
        <w:tc>
          <w:tcPr>
            <w:tcW w:w="166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5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7,319,250.98</w:t>
            </w:r>
          </w:p>
        </w:tc>
        <w:tc>
          <w:tcPr>
            <w:tcW w:w="22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15,632,053.84</w:t>
            </w:r>
          </w:p>
        </w:tc>
        <w:tc>
          <w:tcPr>
            <w:tcW w:w="166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pPr>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 主要会计数据和财务指标发生变动的情况及原因</w:t>
      </w:r>
      <w:bookmarkEnd w:id="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2"/>
        <w:keepNext w:val="0"/>
        <w:keepLines w:val="0"/>
        <w:widowControl/>
        <w:suppressLineNumbers w:val="0"/>
        <w:jc w:val="center"/>
      </w:pPr>
      <w:r>
        <w:rPr>
          <w:rFonts w:hint="eastAsia" w:ascii="宋体" w:hAnsi="宋体" w:eastAsia="宋体" w:cs="宋体"/>
          <w:sz w:val="18"/>
          <w:szCs w:val="18"/>
        </w:rPr>
        <w:t>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单位：元 </w:t>
      </w:r>
    </w:p>
    <w:tbl>
      <w:tblPr>
        <w:tblStyle w:val="3"/>
        <w:tblW w:w="9915" w:type="dxa"/>
        <w:tblInd w:w="-2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1"/>
        <w:gridCol w:w="1516"/>
        <w:gridCol w:w="1516"/>
        <w:gridCol w:w="1561"/>
        <w:gridCol w:w="1073"/>
        <w:gridCol w:w="2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本报告期末</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期初/上年同期</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变动额</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变动率</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变动分析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应收票据</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63,627,606.65</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105,443,856.57</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-41,816,249.92</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-39.66%</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主要为本期母公司博云新材和子公司博云东方持有的票据减少，及已背书未到期票据减少所致。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应收账款</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378,344,019.48</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233,661,969.38</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144,682,050.10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61.92%</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为本期母公司博云新材及子公司博云东方应收款项增加所致。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预付款项</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20,434,795.05</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10,476,673.55</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9,958,121.50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95.05%</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主要为本期子公司博云东方预付原材料、辅料款增加，及预付的麓谷基地水电费增加所致。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其他应收款</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2,226,788.39</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1,194,172.21</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1,032,616.18</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86.47%</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主要为本期个人备用金增加所致。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1"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长期股权投资</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20,911,638.00</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33,203,825.21</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-12,292,187.21</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-37.02%</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为本期合资公司亏损所致。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在建工程</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218,834,462.71</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164,123,791.65</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54,710,671.06</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33.34%</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主要为本期母公司博云新材技改项目投入增加及子公司博云东方麓谷基地产业化项目投入增加所致。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开发支出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58,956,649.00</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31,738,073.06</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27,218,575.94</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85.76%</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主要为本期子公司长沙鑫航和子公司博云东方研究开发投入增加所致。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其他非流动资产</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69,789,671.27</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32,728,065.01</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37,061,606.26</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113.24%</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主要为本期子公司博云东方预付设备款增加所致。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短期借款</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50,047,222.21</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149,952,777.79</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299.62%</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为本期子公司博云东方短期流动资金贷款增加所致。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应付账款</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148,254,087.83</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103,162,199.14</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45,091,888.69</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43.71%</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主要为本期子公司博云东方应付原材料款增加所致。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合同负债</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22,656,431.18</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8,754,911.82</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13,901,519.36</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158.79%</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主要为本期母公司博云新材预收货款增加所致。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应付职工薪酬</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15,478,557.03</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36,626,450.22</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-21,147,893.19</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-57.74%</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为支付上年年终绩效所致。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应交税费</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3,744,265.27</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12,099,180.55</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-8,354,915.28</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-69.05%</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主要为本期母公司博云新材及子公司伟徽新材缴纳上年缓缴税金所致。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长期借款</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76,000,000.00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-76,000,000.00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为母公司博云新材归还7600万元长期借款所致；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递延收益</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115,558,309.85</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88,383,056.63</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27,175,253.22</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30.75%</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主要为子公司博云东方收到</w:t>
            </w:r>
            <w:r>
              <w:rPr>
                <w:rFonts w:hint="eastAsia" w:ascii="宋体" w:hAnsi="宋体" w:cs="宋体"/>
                <w:i w:val="0"/>
                <w:iCs w:val="0"/>
                <w:color w:val="000000"/>
                <w:kern w:val="0"/>
                <w:sz w:val="18"/>
                <w:szCs w:val="18"/>
                <w:u w:val="none"/>
                <w:lang w:val="en-US" w:eastAsia="zh-CN" w:bidi="ar"/>
              </w:rPr>
              <w:t>政府补助</w:t>
            </w:r>
            <w:r>
              <w:rPr>
                <w:rFonts w:hint="eastAsia" w:ascii="宋体" w:hAnsi="宋体" w:eastAsia="宋体" w:cs="宋体"/>
                <w:i w:val="0"/>
                <w:iCs w:val="0"/>
                <w:color w:val="000000"/>
                <w:kern w:val="0"/>
                <w:sz w:val="18"/>
                <w:szCs w:val="18"/>
                <w:u w:val="none"/>
                <w:lang w:val="en-US" w:eastAsia="zh-CN" w:bidi="ar"/>
              </w:rPr>
              <w:t>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销售费用</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20,558,136.25</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13,050,668.22</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7,507,468.03</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57.53%</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主要为本期子公司博云东方和长沙鑫航销售费用增长所致。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研发费用</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31,422,585.01</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24,015,032.09</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7,407,552.92</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30.85%</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主要为本期研发投入增加所致。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财务费用</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-1,982,400.38</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-6,035,011.84</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4,052,611.46</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-67.15%</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主要为本期子公司博云东方因募集资金减少导致利息收入减少及新增银行贷款导致利息费用增加所致。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投资收益</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-10,611,490.21</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-19,180,315.43</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8,568,825.22</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-44.68%</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主要为本期合资公司亏损减少所致。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信用减值损失</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-1,966,137.40</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-4,260,484.06</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2,294,346.66</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-53.85%</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主要为本期母公司博云新材坏账转回所致。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资产处置收益</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1,373,828.78</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1,186.48</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1,372,642.30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115690.30%</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为母公司博云新材因技改项目拆除并出售旧设备所致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所得税费用</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2,493,607.95</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4,598,473.88</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-2,104,865.93</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-45.77%</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主要为本期子公司博云东方利润下降导致所得税费用减少所致。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经营活动产生的现金流量净额</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-59,327,777.92</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-37,894,423.99</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-21,433,353.93</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-56.56%</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主要因本期收到的税费返还减少，销售规模增加及原材料价格变动等影响增加备货使购买商品支付现金增加，支付给职工的现金增加，支付的各项税费增加所致。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投资活动产生的现金流量净额</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-139,040,392.10</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18,987,946.13</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-158,028,338.23</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-832.26%</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主要为本期收回投资收到的现金减少</w:t>
            </w:r>
            <w:r>
              <w:rPr>
                <w:rFonts w:ascii="宋体" w:hAnsi="宋体" w:eastAsia="宋体" w:cs="宋体"/>
                <w:color w:val="000000" w:themeColor="text1"/>
                <w:sz w:val="18"/>
                <w:szCs w:val="18"/>
                <w14:textFill>
                  <w14:solidFill>
                    <w14:schemeClr w14:val="tx1"/>
                  </w14:solidFill>
                </w14:textFill>
              </w:rPr>
              <w:t>（无理财产品赎回）</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筹资活动产生的现金流量净额</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68,449,838.89</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6,734,226.60</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61,715,612.29</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916.45%</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主要为本期取得贷款收到的现金增加所致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现金及现金等价物净增加额</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-129,850,138.48</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-11,232,002.98</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-118,618,135.50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-1056.07%</w:t>
            </w:r>
          </w:p>
        </w:tc>
        <w:tc>
          <w:tcPr>
            <w:tcW w:w="2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主要为本期收回投资收到的现金减少</w:t>
            </w:r>
            <w:r>
              <w:rPr>
                <w:rFonts w:ascii="宋体" w:hAnsi="宋体" w:eastAsia="宋体" w:cs="宋体"/>
                <w:color w:val="000000" w:themeColor="text1"/>
                <w:sz w:val="18"/>
                <w:szCs w:val="18"/>
                <w14:textFill>
                  <w14:solidFill>
                    <w14:schemeClr w14:val="tx1"/>
                  </w14:solidFill>
                </w14:textFill>
              </w:rPr>
              <w:t>（无理财产品赎回）</w:t>
            </w:r>
            <w:r>
              <w:rPr>
                <w:rFonts w:hint="eastAsia" w:ascii="宋体" w:hAnsi="宋体" w:cs="宋体"/>
                <w:i w:val="0"/>
                <w:iCs w:val="0"/>
                <w:color w:val="000000"/>
                <w:kern w:val="0"/>
                <w:sz w:val="18"/>
                <w:szCs w:val="18"/>
                <w:u w:val="none"/>
                <w:lang w:val="en-US" w:eastAsia="zh-CN" w:bidi="ar"/>
              </w:rPr>
              <w:t>及取得借款收到的现金增加</w:t>
            </w:r>
            <w:r>
              <w:rPr>
                <w:rFonts w:hint="eastAsia" w:ascii="宋体" w:hAnsi="宋体" w:eastAsia="宋体" w:cs="宋体"/>
                <w:i w:val="0"/>
                <w:iCs w:val="0"/>
                <w:color w:val="000000"/>
                <w:kern w:val="0"/>
                <w:sz w:val="18"/>
                <w:szCs w:val="18"/>
                <w:u w:val="none"/>
                <w:lang w:val="en-US" w:eastAsia="zh-CN" w:bidi="ar"/>
              </w:rPr>
              <w:t>所致。</w:t>
            </w:r>
          </w:p>
        </w:tc>
      </w:tr>
    </w:tbl>
    <w:p>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 普通股股东总数和表决权恢复的优先股股东数量及前十名股东持股情况表</w:t>
      </w:r>
      <w:bookmarkEnd w:id="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19"/>
        <w:gridCol w:w="535"/>
        <w:gridCol w:w="665"/>
        <w:gridCol w:w="712"/>
        <w:gridCol w:w="908"/>
        <w:gridCol w:w="1500"/>
        <w:gridCol w:w="1215"/>
        <w:gridCol w:w="435"/>
        <w:gridCol w:w="690"/>
        <w:gridCol w:w="7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37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55,770</w:t>
            </w:r>
          </w:p>
        </w:tc>
        <w:tc>
          <w:tcPr>
            <w:tcW w:w="4748"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0"/>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20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620"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5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21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88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20"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1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2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7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44,721,402</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37,402,680</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5"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24,421,938</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哈尔滨哈道投资管理有限公司</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0.53%</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3,027,400</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2,300,000</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2,275,000</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1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120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62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0.37%</w:t>
            </w:r>
          </w:p>
        </w:tc>
        <w:tc>
          <w:tcPr>
            <w:tcW w:w="15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2,118,321</w:t>
            </w:r>
          </w:p>
        </w:tc>
        <w:tc>
          <w:tcPr>
            <w:tcW w:w="121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25"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0"/>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3120"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310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股份种类及数量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 w:hRule="atLeast"/>
        </w:trPr>
        <w:tc>
          <w:tcPr>
            <w:tcW w:w="3419"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120"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45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55" w:rightChars="-74"/>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44,721,402</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44,721,402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55" w:rightChars="-74"/>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37,402,680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24,421,938</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24,421,938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北京誉华基金管理有限公司－航空产业融合发展（青岛）股权投资基金合伙企业（有限合伙）</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哈尔滨哈道投资管理有限公司</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3,027,400</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3,027,400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王爽</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2,300,000</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应光亮</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2,275,000</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2,275,000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廖兵</w:t>
            </w:r>
          </w:p>
        </w:tc>
        <w:tc>
          <w:tcPr>
            <w:tcW w:w="3120"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2,118,321</w:t>
            </w:r>
          </w:p>
        </w:tc>
        <w:tc>
          <w:tcPr>
            <w:tcW w:w="16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2,118,321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220"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1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前10名股东参与融资融券业务情况说明（如有）</w:t>
            </w:r>
          </w:p>
        </w:tc>
        <w:tc>
          <w:tcPr>
            <w:tcW w:w="6220"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前10名股东李卓通过投资者信用账户持有公司股票24,369,038股，通过普通证券账户持有52,900股，普通证券账户及投资者信用账户合计持有24,421,938股；股东哈尔滨哈道投资管理有限通过投资者信用账户持有公司股票3,026,400股，通过普通证券账户持有1,000股，普通证券账户及投资者信用账户合计持有3,027,400股；公司股东应光亮通过投资者信用账户持有公司股票1,000,000股，通过普通证券账户持有1,275,000股，普通证券账户及投资者信用账户合计持有2,275,000股；股东廖兵通过投资者信用账户持有公司股票1,998,421股，通过普通证券账户持有119,900股，普通证券账户及投资者信用账户合计持有2,118,321股。</w:t>
            </w:r>
          </w:p>
        </w:tc>
      </w:tr>
    </w:tbl>
    <w:p>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 公司优先股股东总数及前10名优先股股东持股情况表</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 财务报表</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p>
    <w:p>
      <w:pPr>
        <w:spacing w:before="0" w:after="0" w:line="240" w:lineRule="exact"/>
        <w:jc w:val="center"/>
        <w:rPr>
          <w:rFonts w:ascii="宋体" w:hAnsi="宋体" w:eastAsia="宋体" w:cs="宋体"/>
          <w:sz w:val="18"/>
          <w:szCs w:val="18"/>
        </w:rPr>
      </w:pPr>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2023年9月30日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461,810,288.20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602,338,380.85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63,627,606.65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105,443,856.57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378,344,019.48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233,661,969.38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9,700,008.72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13,211,825.77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20,434,795.05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10,476,673.55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2,226,788.39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1,194,172.21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543,644,168.37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476,228,011.09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1,478,688.10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421,102.69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5,620,130.43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7,024,445.34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1,486,886,493.39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1,450,000,437.45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20,911,638.00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33,203,825.21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101,227,198.96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87,597,198.96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602,196,955.38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597,451,249.51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218,834,462.71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164,123,791.65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246,016,681.13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258,644,484.14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58,956,649.00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31,738,073.06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3,482,683.59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2,977,421.05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28,038,558.32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27,493,731.58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69,789,671.27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32,728,065.01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1,349,454,498.36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1,235,957,840.17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2,836,340,991.75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50,047,222.21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99,022,515.76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92,734,634.30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148,254,087.83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103,162,199.14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9,247.00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204,828.47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22,656,431.18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8,754,911.82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15,478,557.03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36,626,450.22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3,744,265.27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12,099,180.55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39,764,348.71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38,455,700.23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2,069,333.33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54,408,055.31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59,942,851.00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583,337,508.09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404,097,311.27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115,558,309.85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88,383,056.63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4,949,063.68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5,281,521.66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120,507,373.53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169,664,578.29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703,844,881.62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573,761,889.56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11,085,040.66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-172,970,841.42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-193,291,369.57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2,109,521,667.27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2,089,201,139.12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22,974,442.86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22,995,248.94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2,132,496,110.13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2,112,196,388.06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2,836,340,991.75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2,685,958,277.62</w:t>
            </w:r>
          </w:p>
        </w:tc>
      </w:tr>
    </w:tbl>
    <w:p>
      <w:pPr>
        <w:spacing w:before="0" w:after="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 xml:space="preserve">法定代表人：贺柳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w:t>
      </w:r>
      <w:r>
        <w:rPr>
          <w:rFonts w:hint="eastAsia" w:ascii="宋体" w:hAnsi="宋体" w:cs="宋体"/>
          <w:sz w:val="18"/>
          <w:szCs w:val="18"/>
          <w:lang w:eastAsia="zh-CN"/>
        </w:rPr>
        <w:t>严琦</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2、合并年初到报告期末利润表</w:t>
      </w:r>
      <w:bookmarkEnd w:id="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457,594,275.15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427,393,973.81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457,594,275.15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427,393,973.81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435,249,149.02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391,956,746.71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344,494,625.93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318,682,142.44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6,382,619.44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6,944,326.17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20,558,136.25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13,050,668.22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34,373,582.77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35,299,589.63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31,422,585.01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24,015,032.09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-1,982,400.38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-6,035,011.84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2,964,555.57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2,231,092.52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6,090,254.77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7,183,573.66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12,955,562.85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13,272,723.47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-10,611,490.21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-19,180,315.43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-12,292,187.21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-20,717,571.00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-1,966,137.40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-4,260,484.06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-1,562,710.38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-1,972,040.84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1,373,828.78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22,534,179.77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23,298,296.72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270,112.13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10,961.88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104,244.84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22,793,330.02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23,199,251.88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2,493,607.95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4,598,473.88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20,299,722.07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18,600,778.00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20,299,722.07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18,600,778.00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20,320,528.15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18,238,897.34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-20,806.08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1,547,722.82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20,299,722.07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20,148,500.82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20,320,528.15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19,786,620.16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-20,806.08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361,880.66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0.0318</w:t>
            </w:r>
          </w:p>
        </w:tc>
      </w:tr>
    </w:tbl>
    <w:p>
      <w:pPr>
        <w:spacing w:before="0" w:after="0" w:line="240" w:lineRule="exact"/>
        <w:jc w:val="left"/>
        <w:rPr>
          <w:rFonts w:hint="eastAsia" w:ascii="宋体" w:hAnsi="宋体" w:eastAsia="宋体" w:cs="宋体"/>
          <w:sz w:val="18"/>
          <w:szCs w:val="18"/>
          <w:lang w:eastAsia="zh-CN"/>
        </w:rPr>
      </w:pPr>
      <w:r>
        <w:rPr>
          <w:rFonts w:ascii="宋体" w:hAnsi="宋体" w:eastAsia="宋体" w:cs="宋体"/>
          <w:sz w:val="18"/>
          <w:szCs w:val="18"/>
        </w:rPr>
        <w:t xml:space="preserve">法定代表人：贺柳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bookmarkStart w:id="15" w:name="_GoBack"/>
      <w:bookmarkEnd w:id="15"/>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会计机构负责人：</w:t>
      </w:r>
      <w:r>
        <w:rPr>
          <w:rFonts w:hint="eastAsia" w:ascii="宋体" w:hAnsi="宋体" w:cs="宋体"/>
          <w:sz w:val="18"/>
          <w:szCs w:val="18"/>
          <w:lang w:eastAsia="zh-CN"/>
        </w:rPr>
        <w:t>严琦</w:t>
      </w:r>
    </w:p>
    <w:p>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3、合并年初到报告期末现金流量表</w:t>
      </w:r>
      <w:bookmarkEnd w:id="1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352,484,429.28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324,943,511.09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17,885,287.83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21,057,255.53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61,603,720.77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34,911,790.75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431,973,437.88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380,912,557.37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288,365,777.42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260,445,623.31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116,124,058.95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103,442,922.50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34,309,024.80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21,381,523.12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52,502,354.63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33,536,912.43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491,301,215.80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418,806,981.36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-59,327,777.92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-37,894,423.99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215,222,971.00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1,680,697.00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2,087,625.75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2,924,880.48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372,979.80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4,605,577.48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217,693,084.11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130,015,969.58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140,510,584.98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58,187,031.00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143,645,969.58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198,705,137.98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-139,040,392.10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18,987,946.13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3,550,161.11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2,465,773.40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131,550,161.11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43,265,773.40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68,449,838.89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6,734,226.60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68,192.65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940,248.28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-129,850,138.48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-11,232,002.98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547,667,922.11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530,492,915.98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417,817,783.63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519,260,913.00</w:t>
            </w:r>
          </w:p>
        </w:tc>
      </w:tr>
    </w:tbl>
    <w:p>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 2023年起首次执行新会计准则调整首次执行当年年初财务报表相关项目情况</w:t>
      </w:r>
      <w:bookmarkEnd w:id="1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 审计报告</w:t>
      </w:r>
      <w:bookmarkEnd w:id="14"/>
    </w:p>
    <w:p>
      <w:pPr>
        <w:spacing w:before="40" w:after="40" w:line="240" w:lineRule="exact"/>
        <w:jc w:val="left"/>
        <w:rPr>
          <w:rFonts w:ascii="宋体" w:hAnsi="宋体" w:eastAsia="宋体" w:cs="宋体"/>
          <w:sz w:val="18"/>
          <w:szCs w:val="18"/>
        </w:rPr>
      </w:pPr>
      <w:r>
        <w:rPr>
          <w:rFonts w:ascii="宋体" w:hAnsi="宋体" w:eastAsia="宋体" w:cs="宋体"/>
          <w:sz w:val="18"/>
          <w:szCs w:val="18"/>
        </w:rPr>
        <w:t>第三季度报告是否经过审计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公司第三季度报告未经审计。</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湖南博云新材料股份有限公司董事会</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湖南博云新材料股份有限公司2023年第三季度报告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YzlhZDM3OWM2NmRhMzBiMDYxYjgzYzJiMWE5MTRlNzAifQ=="/>
  </w:docVars>
  <w:rsids>
    <w:rsidRoot w:val="00000000"/>
    <w:rsid w:val="0EA855E3"/>
    <w:rsid w:val="115F59AD"/>
    <w:rsid w:val="126D6927"/>
    <w:rsid w:val="156C1118"/>
    <w:rsid w:val="17ED2987"/>
    <w:rsid w:val="1AF5395E"/>
    <w:rsid w:val="1C487324"/>
    <w:rsid w:val="1C6012AB"/>
    <w:rsid w:val="25130ECD"/>
    <w:rsid w:val="325809DC"/>
    <w:rsid w:val="370B6978"/>
    <w:rsid w:val="3C2E6878"/>
    <w:rsid w:val="49C66341"/>
    <w:rsid w:val="541243D5"/>
    <w:rsid w:val="589D2268"/>
    <w:rsid w:val="58E72BD7"/>
    <w:rsid w:val="59DE6B6E"/>
    <w:rsid w:val="66362E54"/>
    <w:rsid w:val="6C0C579C"/>
    <w:rsid w:val="6CC4275D"/>
    <w:rsid w:val="6EF80E40"/>
    <w:rsid w:val="6F612EE7"/>
    <w:rsid w:val="76D84594"/>
    <w:rsid w:val="79E13F3E"/>
    <w:rsid w:val="7F2E1210"/>
    <w:rsid w:val="7FF547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5539</Words>
  <Characters>10028</Characters>
  <TotalTime>4</TotalTime>
  <ScaleCrop>false</ScaleCrop>
  <LinksUpToDate>false</LinksUpToDate>
  <CharactersWithSpaces>10249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2023-10-18T00:56:00Z</dcterms:created>
  <dc:creator>Administrator</dc:creator>
  <cp:lastModifiedBy>张爱丽</cp:lastModifiedBy>
  <dcterms:modified xsi:type="dcterms:W3CDTF">2023-10-30T04:53:11Z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E5ADEA408E1B4F3298EEA5678F574CD8</vt:lpwstr>
  </property>
</Properties>
</file>