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 xml:space="preserve">证券代码：002297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证券简称：博云新材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公告编号：</w:t>
      </w:r>
      <w:r>
        <w:rPr>
          <w:rFonts w:hint="eastAsia" w:ascii="宋体" w:hAnsi="宋体" w:eastAsia="宋体" w:cs="宋体"/>
          <w:sz w:val="18"/>
          <w:szCs w:val="18"/>
          <w:lang w:val="en-US" w:eastAsia="zh-CN"/>
        </w:rPr>
        <w:t>2023-0</w:t>
      </w:r>
      <w:r>
        <w:rPr>
          <w:rFonts w:hint="eastAsia" w:ascii="宋体" w:hAnsi="宋体" w:cs="宋体"/>
          <w:sz w:val="18"/>
          <w:szCs w:val="18"/>
          <w:lang w:val="en-US" w:eastAsia="zh-CN"/>
        </w:rPr>
        <w:t>15</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湖南博云新材料股份有限公司</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2023年第一季度报告</w:t>
      </w:r>
    </w:p>
    <w:p>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1.董事会、监事会及董事、监事、高级管理人员保证季度报告的真实、准确、完整，不存在虚假记载、误导性陈述或重大遗漏，并承担个别和连带的法律责任。</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2.公司负责人、主管会计工作负责人及会计机构负责人(会计主管人员)声明：保证季度报告中财务信息的真实、准确、完整。</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3.第一季度报告是否经审计</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320" w:lineRule="exact"/>
        <w:jc w:val="left"/>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pPr>
        <w:keepNext/>
        <w:keepLines/>
        <w:spacing w:before="300" w:after="300" w:line="280" w:lineRule="exact"/>
        <w:jc w:val="left"/>
        <w:outlineLvl w:val="1"/>
        <w:rPr>
          <w:rFonts w:ascii="宋体" w:hAnsi="宋体" w:eastAsia="宋体" w:cs="宋体"/>
          <w:b/>
          <w:bCs/>
          <w:sz w:val="21"/>
          <w:szCs w:val="21"/>
        </w:rPr>
      </w:pPr>
      <w:bookmarkStart w:id="1" w:name="_Toc988890"/>
      <w:r>
        <w:rPr>
          <w:rFonts w:ascii="宋体" w:hAnsi="宋体" w:eastAsia="宋体" w:cs="宋体"/>
          <w:b/>
          <w:bCs/>
          <w:sz w:val="21"/>
          <w:szCs w:val="21"/>
        </w:rPr>
        <w:t>（一） 主要会计数据和财务指标</w:t>
      </w:r>
      <w:bookmarkEnd w:id="1"/>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133,360,985.02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144,471,517.03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7,314,484.71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9,895,514.65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1,848,550.64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6,651,155.19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-17,718,953.20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-26,568,529.13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2,776,498,350.29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归属于上市公司股东的所有者权益（元）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2,096,515,623.83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r>
    </w:tbl>
    <w:p>
      <w:pPr>
        <w:spacing w:before="0" w:after="0" w:line="0" w:lineRule="exact"/>
        <w:jc w:val="left"/>
      </w:pPr>
    </w:p>
    <w:p>
      <w:pPr>
        <w:spacing w:before="0" w:after="0" w:line="0" w:lineRule="exact"/>
        <w:jc w:val="left"/>
      </w:pPr>
    </w:p>
    <w:p>
      <w:pPr>
        <w:keepNext/>
        <w:keepLines/>
        <w:spacing w:before="300" w:after="300" w:line="280" w:lineRule="exact"/>
        <w:jc w:val="left"/>
        <w:outlineLvl w:val="1"/>
        <w:rPr>
          <w:rFonts w:ascii="宋体" w:hAnsi="宋体" w:eastAsia="宋体" w:cs="宋体"/>
          <w:b/>
          <w:bCs/>
          <w:sz w:val="21"/>
          <w:szCs w:val="21"/>
        </w:rPr>
      </w:pPr>
      <w:bookmarkStart w:id="2" w:name="_Toc988891"/>
      <w:r>
        <w:rPr>
          <w:rFonts w:ascii="宋体" w:hAnsi="宋体" w:eastAsia="宋体" w:cs="宋体"/>
          <w:b/>
          <w:bCs/>
          <w:sz w:val="21"/>
          <w:szCs w:val="21"/>
        </w:rPr>
        <w:t>（二） 非经常性损益项目和金额</w:t>
      </w:r>
      <w:bookmarkEnd w:id="2"/>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1,710,492.10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4,242,168.72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204,116.12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671,604.40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19,238.47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5,465,934.07</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
</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0" w:after="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pPr>
        <w:keepNext/>
        <w:keepLines/>
        <w:spacing w:before="300" w:after="300" w:line="280" w:lineRule="exact"/>
        <w:jc w:val="left"/>
        <w:outlineLvl w:val="1"/>
        <w:rPr>
          <w:rFonts w:ascii="宋体" w:hAnsi="宋体" w:eastAsia="宋体" w:cs="宋体"/>
          <w:b/>
          <w:bCs/>
          <w:sz w:val="21"/>
          <w:szCs w:val="21"/>
        </w:rPr>
      </w:pPr>
      <w:bookmarkStart w:id="3" w:name="_Toc988892"/>
      <w:r>
        <w:rPr>
          <w:rFonts w:ascii="宋体" w:hAnsi="宋体" w:eastAsia="宋体" w:cs="宋体"/>
          <w:b/>
          <w:bCs/>
          <w:sz w:val="21"/>
          <w:szCs w:val="21"/>
        </w:rPr>
        <w:t>（三） 主要会计数据和财务指标发生变动的情况及原因</w:t>
      </w:r>
      <w:bookmarkEnd w:id="3"/>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2"/>
        <w:tblW w:w="99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55"/>
        <w:gridCol w:w="1515"/>
        <w:gridCol w:w="1515"/>
        <w:gridCol w:w="1560"/>
        <w:gridCol w:w="885"/>
        <w:gridCol w:w="2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本报告期末</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期初</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上年同期</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变动额</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变动率</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变动分析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预付款项</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15,623,663.09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10,476,673.55</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5,146,989.54</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49.13%</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主要为本期预付原材料及辅料款增加所致。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其他应收款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2,461,530.65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1,194,172.21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1,267,358.44</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106.13%</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主要为本期备用金增加所致。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其他流动资产</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10,404,464.81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7,024,445.34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3,380,019.47</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48.12%</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主要为本期子公司博云东方本期待抵扣增值税增加所致。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其他非流动资产</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58,628,903.55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32,728,065.01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25,900,838.54</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79.14%</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主要为本期子公司博云东方预付设备款增加所致。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短期借款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50,047,222.21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19,952,777.79</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39.87%</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为本期子公司博云东方短期流动资金贷款增加所致。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应付账款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144,091,402.96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103,162,199.14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40,929,203.82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39.67%</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主要为本期子公司博云东方应付原材料款增加所致。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合同负债</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17,067,775.72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8,754,911.82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8,312,863.90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94.95%</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主要为本期母公司博云新材预收货款增加所致。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应付职工薪酬</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25,177,728.33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36,626,450.22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-11,448,721.89</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-31.26%</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为支付上年年终绩效所致。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递延收益</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120,717,285.35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88,383,056.63</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32,334,228.72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36.58%</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主要为子公司博云东方收到中央国拨资金所致。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研发费用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9,834,424.65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6,836,848.43</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2,997,576.22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43.84%</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主要为本期研发投入增加所致。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其他收益</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4,242,168.72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2,189,509.86</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2,052,658.86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93.75%</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主要为本期收到政府补助增加所致。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信用减值损失</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-2,970,517.11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-2,191,580.67</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-778,936.44</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35.54%</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主要为本期应收账款增加导致坏账计提增加所致。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资产减值损失</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-906,063.96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-46,372.82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-859,691.14</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1853.87%</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主要为本期子公司长沙鑫航合同履约成本减值增加。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资产处置收益</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1,710,492.10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-4,143.52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1,714,635.62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41381.14%</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为母公司博云新材因技改项目拆除并出售旧设备所致。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归属于上市公司股东的扣除非经常性损益的净利润</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1,848,550.64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6,651,155.19</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-4,802,604.55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-72.21%</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主要为本期营业收入略有下降导致扣非净利润同比减少所致。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经营活动产生的现金流量净额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-17,718,953.20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-26,568,529.13</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8,849,575.93</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33.31%</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主要为本期收到其他与经营活动有关的现金增加（子公司博云东方收到中央国拨资金）所致。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投资活动产生的现金流量净额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-44,806,192.83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87,660,119.42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-132,466,312.25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-151.11%</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主要为本期收回投资收到的现金减少所致。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筹资活动产生的现金流量净额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18,951,000.00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-1,142,465.29</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20,093,465.29</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1758.78%</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主要为本期取得贷款收到的现金增加所致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现金及现金等价物净增加额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-43,613,857.14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59,922,941.07</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-103,536,798.21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-172.78%</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主要为本期收回投资收到的现金减少所致。</w:t>
            </w:r>
          </w:p>
        </w:tc>
      </w:tr>
    </w:tbl>
    <w:p>
      <w:pPr>
        <w:spacing w:before="0" w:after="0" w:line="240" w:lineRule="exact"/>
        <w:jc w:val="left"/>
        <w:rPr>
          <w:rFonts w:ascii="宋体" w:hAnsi="宋体" w:eastAsia="宋体" w:cs="宋体"/>
          <w:sz w:val="18"/>
          <w:szCs w:val="18"/>
        </w:rPr>
      </w:pPr>
    </w:p>
    <w:p>
      <w:pPr>
        <w:keepNext/>
        <w:keepLines/>
        <w:spacing w:before="300" w:after="300" w:line="320" w:lineRule="exact"/>
        <w:jc w:val="left"/>
        <w:outlineLvl w:val="0"/>
        <w:rPr>
          <w:rFonts w:ascii="宋体" w:hAnsi="宋体" w:eastAsia="宋体" w:cs="宋体"/>
          <w:b/>
          <w:bCs/>
          <w:sz w:val="24"/>
          <w:szCs w:val="24"/>
        </w:rPr>
      </w:pPr>
      <w:bookmarkStart w:id="4" w:name="_Toc988893"/>
      <w:r>
        <w:rPr>
          <w:rFonts w:ascii="宋体" w:hAnsi="宋体" w:eastAsia="宋体" w:cs="宋体"/>
          <w:b/>
          <w:bCs/>
          <w:sz w:val="24"/>
          <w:szCs w:val="24"/>
        </w:rPr>
        <w:t xml:space="preserve">二、股东信息 </w:t>
      </w:r>
      <w:bookmarkEnd w:id="4"/>
    </w:p>
    <w:p>
      <w:pPr>
        <w:keepNext/>
        <w:keepLines/>
        <w:spacing w:before="300" w:after="300" w:line="280" w:lineRule="exact"/>
        <w:jc w:val="left"/>
        <w:outlineLvl w:val="1"/>
        <w:rPr>
          <w:rFonts w:ascii="宋体" w:hAnsi="宋体" w:eastAsia="宋体" w:cs="宋体"/>
          <w:b/>
          <w:bCs/>
          <w:sz w:val="21"/>
          <w:szCs w:val="21"/>
        </w:rPr>
      </w:pPr>
      <w:bookmarkStart w:id="5" w:name="_Toc988894"/>
      <w:r>
        <w:rPr>
          <w:rFonts w:ascii="宋体" w:hAnsi="宋体" w:eastAsia="宋体" w:cs="宋体"/>
          <w:b/>
          <w:bCs/>
          <w:sz w:val="21"/>
          <w:szCs w:val="21"/>
        </w:rPr>
        <w:t>（一） 普通股股东总数和表决权恢复的优先股股东数量及前十名股东持股情况表</w:t>
      </w:r>
      <w:bookmarkEnd w:id="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24"/>
        <w:gridCol w:w="645"/>
        <w:gridCol w:w="615"/>
        <w:gridCol w:w="547"/>
        <w:gridCol w:w="728"/>
        <w:gridCol w:w="720"/>
        <w:gridCol w:w="945"/>
        <w:gridCol w:w="1050"/>
        <w:gridCol w:w="285"/>
        <w:gridCol w:w="495"/>
        <w:gridCol w:w="390"/>
        <w:gridCol w:w="8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0" w:hRule="atLeast"/>
        </w:trPr>
        <w:tc>
          <w:tcPr>
            <w:tcW w:w="232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807"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61,339</w:t>
            </w:r>
          </w:p>
        </w:tc>
        <w:tc>
          <w:tcPr>
            <w:tcW w:w="4223"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12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32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26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27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66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133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78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质押、标记 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32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6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jc w:val="center"/>
            </w:pPr>
          </w:p>
        </w:tc>
        <w:tc>
          <w:tcPr>
            <w:tcW w:w="127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6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3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8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8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3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国有法人</w:t>
            </w: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6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72,472,129.00</w:t>
            </w:r>
          </w:p>
        </w:tc>
        <w:tc>
          <w:tcPr>
            <w:tcW w:w="133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3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国有法人</w:t>
            </w: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w:t>
            </w:r>
          </w:p>
        </w:tc>
        <w:tc>
          <w:tcPr>
            <w:tcW w:w="16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44,721,402.00</w:t>
            </w:r>
          </w:p>
        </w:tc>
        <w:tc>
          <w:tcPr>
            <w:tcW w:w="133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3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国有法人</w:t>
            </w: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w:t>
            </w:r>
          </w:p>
        </w:tc>
        <w:tc>
          <w:tcPr>
            <w:tcW w:w="16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37,402,680.00</w:t>
            </w:r>
          </w:p>
        </w:tc>
        <w:tc>
          <w:tcPr>
            <w:tcW w:w="133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3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国有法人</w:t>
            </w: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c>
          <w:tcPr>
            <w:tcW w:w="16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24,193,548.00</w:t>
            </w:r>
          </w:p>
        </w:tc>
        <w:tc>
          <w:tcPr>
            <w:tcW w:w="133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3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中信里昂资产管理有限公司－客户资金</w:t>
            </w: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境外法人</w:t>
            </w: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0.60%</w:t>
            </w:r>
          </w:p>
        </w:tc>
        <w:tc>
          <w:tcPr>
            <w:tcW w:w="16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3,448,781.00</w:t>
            </w:r>
          </w:p>
        </w:tc>
        <w:tc>
          <w:tcPr>
            <w:tcW w:w="133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3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郭伟</w:t>
            </w: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境内自然人</w:t>
            </w: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0.56%</w:t>
            </w:r>
          </w:p>
        </w:tc>
        <w:tc>
          <w:tcPr>
            <w:tcW w:w="16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3,212,857.00</w:t>
            </w:r>
          </w:p>
        </w:tc>
        <w:tc>
          <w:tcPr>
            <w:tcW w:w="133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3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应光亮</w:t>
            </w: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境内自然人</w:t>
            </w: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0.55%</w:t>
            </w:r>
          </w:p>
        </w:tc>
        <w:tc>
          <w:tcPr>
            <w:tcW w:w="16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3,150,000.00</w:t>
            </w:r>
          </w:p>
        </w:tc>
        <w:tc>
          <w:tcPr>
            <w:tcW w:w="133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3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其他</w:t>
            </w: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0.54%</w:t>
            </w:r>
          </w:p>
        </w:tc>
        <w:tc>
          <w:tcPr>
            <w:tcW w:w="16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3,091,216.00</w:t>
            </w:r>
          </w:p>
        </w:tc>
        <w:tc>
          <w:tcPr>
            <w:tcW w:w="133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3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陈杰</w:t>
            </w: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境内自然人</w:t>
            </w: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16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2,523,200.00</w:t>
            </w:r>
          </w:p>
        </w:tc>
        <w:tc>
          <w:tcPr>
            <w:tcW w:w="133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3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境内自然人</w:t>
            </w: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0.37%</w:t>
            </w:r>
          </w:p>
        </w:tc>
        <w:tc>
          <w:tcPr>
            <w:tcW w:w="16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2,144,100.00</w:t>
            </w:r>
          </w:p>
        </w:tc>
        <w:tc>
          <w:tcPr>
            <w:tcW w:w="133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2610" w:type="dxa"/>
            <w:gridSpan w:val="4"/>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4060"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vMerge w:val="continue"/>
            <w:tcBorders>
              <w:top w:val="single" w:color="auto" w:sz="2" w:space="0"/>
              <w:left w:val="single" w:color="auto" w:sz="2" w:space="0"/>
              <w:bottom w:val="single" w:color="auto" w:sz="2" w:space="0"/>
              <w:right w:val="single" w:color="auto" w:sz="2" w:space="0"/>
            </w:tcBorders>
            <w:vAlign w:val="center"/>
          </w:tcPr>
          <w:p/>
        </w:tc>
        <w:tc>
          <w:tcPr>
            <w:tcW w:w="2610" w:type="dxa"/>
            <w:gridSpan w:val="4"/>
            <w:vMerge w:val="continue"/>
            <w:tcBorders>
              <w:top w:val="single" w:color="auto" w:sz="2" w:space="0"/>
              <w:left w:val="single" w:color="auto" w:sz="2" w:space="0"/>
              <w:bottom w:val="single" w:color="auto" w:sz="2" w:space="0"/>
              <w:right w:val="single" w:color="auto" w:sz="2" w:space="0"/>
            </w:tcBorders>
            <w:vAlign w:val="center"/>
          </w:tcPr>
          <w:p/>
        </w:tc>
        <w:tc>
          <w:tcPr>
            <w:tcW w:w="199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206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61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72,472,129.00</w:t>
            </w:r>
          </w:p>
        </w:tc>
        <w:tc>
          <w:tcPr>
            <w:tcW w:w="19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2065"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261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44,721,402.00</w:t>
            </w:r>
          </w:p>
        </w:tc>
        <w:tc>
          <w:tcPr>
            <w:tcW w:w="19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2065"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44,721,402.00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261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37,402,680.00</w:t>
            </w:r>
          </w:p>
        </w:tc>
        <w:tc>
          <w:tcPr>
            <w:tcW w:w="19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2065"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37,402,680.00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261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24,193,548.00</w:t>
            </w:r>
          </w:p>
        </w:tc>
        <w:tc>
          <w:tcPr>
            <w:tcW w:w="19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2065"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中信里昂资产管理有限公司－客户资金</w:t>
            </w:r>
          </w:p>
        </w:tc>
        <w:tc>
          <w:tcPr>
            <w:tcW w:w="261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3,448,781.00</w:t>
            </w:r>
          </w:p>
        </w:tc>
        <w:tc>
          <w:tcPr>
            <w:tcW w:w="19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2065"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3,448,781.00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郭伟</w:t>
            </w:r>
          </w:p>
        </w:tc>
        <w:tc>
          <w:tcPr>
            <w:tcW w:w="261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3,212,857.00</w:t>
            </w:r>
          </w:p>
        </w:tc>
        <w:tc>
          <w:tcPr>
            <w:tcW w:w="19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2065"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3,212,857.00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应光亮</w:t>
            </w:r>
          </w:p>
        </w:tc>
        <w:tc>
          <w:tcPr>
            <w:tcW w:w="261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3,150,000.00</w:t>
            </w:r>
          </w:p>
        </w:tc>
        <w:tc>
          <w:tcPr>
            <w:tcW w:w="19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2065"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3,150,000.00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261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3,091,216.00</w:t>
            </w:r>
          </w:p>
        </w:tc>
        <w:tc>
          <w:tcPr>
            <w:tcW w:w="19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2065"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陈杰</w:t>
            </w:r>
          </w:p>
        </w:tc>
        <w:tc>
          <w:tcPr>
            <w:tcW w:w="261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2,523,200.00</w:t>
            </w:r>
          </w:p>
        </w:tc>
        <w:tc>
          <w:tcPr>
            <w:tcW w:w="19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2065"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2,523,200.00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2610"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2,144,100.00</w:t>
            </w:r>
          </w:p>
        </w:tc>
        <w:tc>
          <w:tcPr>
            <w:tcW w:w="19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2065"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2,144,100.00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6670" w:type="dxa"/>
            <w:gridSpan w:val="10"/>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6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前10名股东参与融资融券业务情况说明（如有）</w:t>
            </w:r>
          </w:p>
        </w:tc>
        <w:tc>
          <w:tcPr>
            <w:tcW w:w="6670" w:type="dxa"/>
            <w:gridSpan w:val="10"/>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股东应光亮通过投资者信用账户持有公司股票1,000,000股，通过普通证券账户持有2,150,000股，合计持有3,150,000股。</w:t>
            </w:r>
          </w:p>
        </w:tc>
      </w:tr>
    </w:tbl>
    <w:p>
      <w:pPr>
        <w:keepNext/>
        <w:keepLines/>
        <w:spacing w:before="300" w:after="300" w:line="280" w:lineRule="exact"/>
        <w:jc w:val="left"/>
        <w:outlineLvl w:val="1"/>
        <w:rPr>
          <w:rFonts w:ascii="宋体" w:hAnsi="宋体" w:eastAsia="宋体" w:cs="宋体"/>
          <w:b/>
          <w:bCs/>
          <w:sz w:val="21"/>
          <w:szCs w:val="21"/>
        </w:rPr>
      </w:pPr>
      <w:bookmarkStart w:id="6" w:name="_Toc988895"/>
      <w:r>
        <w:rPr>
          <w:rFonts w:ascii="宋体" w:hAnsi="宋体" w:eastAsia="宋体" w:cs="宋体"/>
          <w:b/>
          <w:bCs/>
          <w:sz w:val="21"/>
          <w:szCs w:val="21"/>
        </w:rPr>
        <w:t>（二） 公司优先股股东总数及前10名优先股股东持股情况表</w:t>
      </w:r>
      <w:bookmarkEnd w:id="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pPr>
        <w:keepNext/>
        <w:keepLines/>
        <w:spacing w:before="300" w:after="300" w:line="280" w:lineRule="exact"/>
        <w:jc w:val="left"/>
        <w:outlineLvl w:val="1"/>
        <w:rPr>
          <w:rFonts w:ascii="宋体" w:hAnsi="宋体" w:eastAsia="宋体" w:cs="宋体"/>
          <w:b/>
          <w:bCs/>
          <w:sz w:val="21"/>
          <w:szCs w:val="21"/>
        </w:rPr>
      </w:pPr>
      <w:bookmarkStart w:id="9" w:name="_Toc988898"/>
      <w:r>
        <w:rPr>
          <w:rFonts w:ascii="宋体" w:hAnsi="宋体" w:eastAsia="宋体" w:cs="宋体"/>
          <w:b/>
          <w:bCs/>
          <w:sz w:val="21"/>
          <w:szCs w:val="21"/>
        </w:rPr>
        <w:t>（一） 财务报表</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1、合并资产负债表</w:t>
      </w:r>
      <w:bookmarkEnd w:id="10"/>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编制单位：湖南博云新材料股份有限公司</w:t>
      </w:r>
    </w:p>
    <w:p>
      <w:pPr>
        <w:spacing w:before="0" w:after="0" w:line="240" w:lineRule="exact"/>
        <w:jc w:val="center"/>
        <w:rPr>
          <w:rFonts w:ascii="宋体" w:hAnsi="宋体" w:eastAsia="宋体" w:cs="宋体"/>
          <w:sz w:val="18"/>
          <w:szCs w:val="18"/>
        </w:rPr>
      </w:pP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554,020,013.64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602,338,380.85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102,691,307.11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105,443,856.57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295,298,685.50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233,661,969.38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11,003,120.32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13,211,825.77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15,623,663.09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10,476,673.55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2,461,530.65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1,194,172.21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507,735,979.77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476,228,011.09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353,673.63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421,102.69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10,404,464.81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7,024,445.34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1,499,592,438.52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1,450,000,437.45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30,978,061.65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585,117,034.00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597,451,249.51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190,489,102.87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253,720,767.11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258,644,484.14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39,528,329.22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31,738,073.06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2,794,854.50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2,977,421.05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28,051,659.91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27,493,731.58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58,628,903.55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32,728,065.01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1,276,905,911.77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1,235,957,840.17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2,776,498,350.29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50,047,222.21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86,051,979.30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92,734,634.30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144,091,402.96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103,162,199.14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204,828.47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17,067,775.72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8,754,911.82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25,177,728.33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36,626,450.22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9,320,062.97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12,099,180.55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39,443,121.91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38,455,700.23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2,069,333.33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2,069,333.33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61,840,455.01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59,942,851.00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455,061,859.53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404,097,311.27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120,717,285.35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88,383,056.63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5,171,794.65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5,281,521.66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201,889,080.00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169,664,578.29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656,950,939.53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573,761,889.56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-185,976,884.86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2,096,515,623.83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23,031,786.93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22,995,248.94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2,119,547,410.76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2,112,196,388.06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2,776,498,350.29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法定代表人：贺柳   </w:t>
      </w:r>
      <w:r>
        <w:rPr>
          <w:rFonts w:hint="eastAsia" w:ascii="宋体" w:hAnsi="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cs="宋体"/>
          <w:sz w:val="18"/>
          <w:szCs w:val="18"/>
          <w:lang w:val="en-US" w:eastAsia="zh-CN"/>
        </w:rPr>
        <w:t xml:space="preserve">              </w:t>
      </w:r>
      <w:r>
        <w:rPr>
          <w:rFonts w:ascii="宋体" w:hAnsi="宋体" w:eastAsia="宋体" w:cs="宋体"/>
          <w:sz w:val="18"/>
          <w:szCs w:val="18"/>
        </w:rPr>
        <w:t xml:space="preserve">    会计机构负责人：许斌</w:t>
      </w:r>
    </w:p>
    <w:p>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2、合并利润表</w:t>
      </w:r>
      <w:bookmarkEnd w:id="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133,360,985.02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144,471,517.03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133,360,985.02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144,471,517.03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124,673,704.43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130,135,528.15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97,675,920.02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106,442,081.81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2,142,882.15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2,269,995.19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5,364,304.18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4,220,841.44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10,413,843.84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11,327,311.81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9,834,424.65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6,836,848.43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-757,670.41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-961,550.53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1,001,777.79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1,042,465.29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1,873,742.32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2,162,182.96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4,242,168.72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2,189,509.86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-2,225,763.56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-1,772,205.16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-2,225,763.56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-2,990,259.15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205,354.95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-2,970,517.11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-2,191,580.67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-906,063.96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-46,372.82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1,710,492.10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三、营业利润（亏损以“－”填列）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8,537,596.78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12,716,551.52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204,500.66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10,802.89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四、利润总额（亏损总额以“－”填列）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8,741,712.90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12,710,358.63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1,390,690.20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2,729,950.14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7,351,022.70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9,980,408.49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7,351,022.70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9,980,408.49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7,314,484.71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9,895,514.65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36,537.99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84,893.84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7,351,022.70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9,980,408.49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7,314,484.71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9,895,514.65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36,537.99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84,893.84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0.0173</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法定代表人：贺柳    </w:t>
      </w:r>
      <w:r>
        <w:rPr>
          <w:rFonts w:hint="eastAsia" w:ascii="宋体" w:hAnsi="宋体" w:cs="宋体"/>
          <w:sz w:val="18"/>
          <w:szCs w:val="18"/>
          <w:lang w:val="en-US" w:eastAsia="zh-CN"/>
        </w:rPr>
        <w:t xml:space="preserve">                  </w:t>
      </w:r>
      <w:r>
        <w:rPr>
          <w:rFonts w:ascii="宋体" w:hAnsi="宋体" w:eastAsia="宋体" w:cs="宋体"/>
          <w:sz w:val="18"/>
          <w:szCs w:val="18"/>
        </w:rPr>
        <w:t xml:space="preserve">主管会计工作负责人：严琦    </w:t>
      </w:r>
      <w:r>
        <w:rPr>
          <w:rFonts w:hint="eastAsia" w:ascii="宋体" w:hAnsi="宋体" w:cs="宋体"/>
          <w:sz w:val="18"/>
          <w:szCs w:val="18"/>
          <w:lang w:val="en-US" w:eastAsia="zh-CN"/>
        </w:rPr>
        <w:t xml:space="preserve">                   </w:t>
      </w:r>
      <w:r>
        <w:rPr>
          <w:rFonts w:ascii="宋体" w:hAnsi="宋体" w:eastAsia="宋体" w:cs="宋体"/>
          <w:sz w:val="18"/>
          <w:szCs w:val="18"/>
        </w:rPr>
        <w:t>会计机构负责人：许斌</w:t>
      </w:r>
    </w:p>
    <w:p>
      <w:pPr>
        <w:keepNext/>
        <w:keepLines/>
        <w:spacing w:before="300" w:after="300" w:line="280" w:lineRule="exact"/>
        <w:jc w:val="left"/>
        <w:outlineLvl w:val="2"/>
        <w:rPr>
          <w:rFonts w:ascii="宋体" w:hAnsi="宋体" w:eastAsia="宋体" w:cs="宋体"/>
          <w:b/>
          <w:bCs/>
          <w:sz w:val="21"/>
          <w:szCs w:val="21"/>
        </w:rPr>
      </w:pPr>
      <w:bookmarkStart w:id="12" w:name="_Toc988901"/>
      <w:r>
        <w:rPr>
          <w:rFonts w:ascii="宋体" w:hAnsi="宋体" w:eastAsia="宋体" w:cs="宋体"/>
          <w:b/>
          <w:bCs/>
          <w:sz w:val="21"/>
          <w:szCs w:val="21"/>
        </w:rPr>
        <w:t>3、合并现金流量表</w:t>
      </w:r>
      <w:bookmarkEnd w:id="12"/>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87,438,458.85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73,358,653.01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4,336,393.70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48,850,988.36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16,079,914.31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136,289,447.21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93,774,961.02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85,056,863.84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63,585,525.41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40,953,425.05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39,256,627.11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11,972,876.29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7,322,923.13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16,025,235.23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10,178,414.50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154,008,400.41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120,343,490.15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-17,718,953.20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-26,568,529.13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1,028,578.65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2,811,222.48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23,013.69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2,811,222.48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166,052,643.34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购建固定资产、无形资产和其他长期资产所支付的现金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47,617,415.31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50,197,970.92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28,187,031.00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47,617,415.31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78,392,523.92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-44,806,192.83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87,660,119.42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1,049,000.00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1,042,465.29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1,049,000.00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1,142,465.29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18,951,000.00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-1,142,465.29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-39,711.11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-26,183.93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-43,613,857.14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59,922,941.07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530,492,416.86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504,054,064.97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590,415,357.93</w:t>
            </w:r>
          </w:p>
        </w:tc>
      </w:tr>
    </w:tbl>
    <w:p>
      <w:pPr>
        <w:keepNext/>
        <w:keepLines/>
        <w:spacing w:before="300" w:after="300" w:line="280" w:lineRule="exact"/>
        <w:jc w:val="left"/>
        <w:outlineLvl w:val="1"/>
        <w:rPr>
          <w:rFonts w:ascii="宋体" w:hAnsi="宋体" w:eastAsia="宋体" w:cs="宋体"/>
          <w:b/>
          <w:bCs/>
          <w:sz w:val="25"/>
          <w:szCs w:val="25"/>
        </w:rPr>
      </w:pPr>
      <w:bookmarkStart w:id="13" w:name="_Toc988902"/>
      <w:r>
        <w:rPr>
          <w:rFonts w:ascii="宋体" w:hAnsi="宋体" w:eastAsia="宋体" w:cs="宋体"/>
          <w:b/>
          <w:bCs/>
          <w:sz w:val="25"/>
          <w:szCs w:val="25"/>
        </w:rPr>
        <w:t>（二） 审计报告</w:t>
      </w:r>
      <w:bookmarkEnd w:id="13"/>
    </w:p>
    <w:p>
      <w:pPr>
        <w:spacing w:before="40" w:after="40" w:line="240" w:lineRule="exact"/>
        <w:jc w:val="left"/>
        <w:rPr>
          <w:rFonts w:ascii="宋体" w:hAnsi="宋体" w:eastAsia="宋体" w:cs="宋体"/>
          <w:sz w:val="18"/>
          <w:szCs w:val="18"/>
        </w:rPr>
      </w:pPr>
      <w:r>
        <w:rPr>
          <w:rFonts w:ascii="宋体" w:hAnsi="宋体" w:eastAsia="宋体" w:cs="宋体"/>
          <w:sz w:val="18"/>
          <w:szCs w:val="18"/>
        </w:rPr>
        <w:t>第一季度报告是否经过审计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公司第一季度报告未经审计。</w:t>
      </w:r>
    </w:p>
    <w:p>
      <w:pPr>
        <w:spacing w:before="40" w:after="40" w:line="240" w:lineRule="exact"/>
        <w:jc w:val="right"/>
        <w:rPr>
          <w:rFonts w:ascii="宋体" w:hAnsi="宋体" w:eastAsia="宋体" w:cs="宋体"/>
          <w:sz w:val="18"/>
          <w:szCs w:val="18"/>
        </w:rPr>
      </w:pPr>
    </w:p>
    <w:p>
      <w:pPr>
        <w:spacing w:before="40" w:after="40" w:line="240" w:lineRule="exact"/>
        <w:jc w:val="right"/>
        <w:rPr>
          <w:rFonts w:ascii="宋体" w:hAnsi="宋体" w:eastAsia="宋体" w:cs="宋体"/>
          <w:sz w:val="18"/>
          <w:szCs w:val="18"/>
        </w:rPr>
      </w:pPr>
    </w:p>
    <w:p>
      <w:pPr>
        <w:spacing w:before="40" w:after="40" w:line="240" w:lineRule="exact"/>
        <w:jc w:val="right"/>
        <w:rPr>
          <w:rFonts w:ascii="宋体" w:hAnsi="宋体" w:eastAsia="宋体" w:cs="宋体"/>
          <w:sz w:val="18"/>
          <w:szCs w:val="18"/>
        </w:rPr>
      </w:pPr>
    </w:p>
    <w:p>
      <w:pPr>
        <w:spacing w:before="40" w:after="40" w:line="240" w:lineRule="exact"/>
        <w:jc w:val="right"/>
        <w:rPr>
          <w:rFonts w:ascii="宋体" w:hAnsi="宋体" w:eastAsia="宋体" w:cs="宋体"/>
          <w:sz w:val="18"/>
          <w:szCs w:val="18"/>
        </w:rPr>
      </w:pPr>
    </w:p>
    <w:p>
      <w:pPr>
        <w:spacing w:before="40" w:after="40" w:line="240" w:lineRule="exact"/>
        <w:ind w:firstLine="5760" w:firstLineChars="3200"/>
        <w:jc w:val="both"/>
        <w:rPr>
          <w:rFonts w:ascii="宋体" w:hAnsi="宋体" w:eastAsia="宋体" w:cs="宋体"/>
          <w:sz w:val="18"/>
          <w:szCs w:val="18"/>
        </w:rPr>
      </w:pPr>
      <w:r>
        <w:rPr>
          <w:rFonts w:ascii="宋体" w:hAnsi="宋体" w:eastAsia="宋体" w:cs="宋体"/>
          <w:sz w:val="18"/>
          <w:szCs w:val="18"/>
        </w:rPr>
        <w:t>湖南博云新材料股份有限公司董事会</w:t>
      </w:r>
    </w:p>
    <w:p>
      <w:pPr>
        <w:spacing w:before="40" w:after="40" w:line="240" w:lineRule="exact"/>
        <w:ind w:firstLine="5760" w:firstLineChars="3200"/>
        <w:jc w:val="both"/>
        <w:rPr>
          <w:rFonts w:ascii="宋体" w:hAnsi="宋体" w:eastAsia="宋体" w:cs="宋体"/>
          <w:sz w:val="18"/>
          <w:szCs w:val="18"/>
        </w:rPr>
      </w:pPr>
    </w:p>
    <w:p>
      <w:pPr>
        <w:spacing w:before="40" w:after="40" w:line="240" w:lineRule="exact"/>
        <w:ind w:firstLine="6300" w:firstLineChars="35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2023年4月28日</w:t>
      </w:r>
    </w:p>
    <w:p>
      <w:pPr>
        <w:spacing w:before="0" w:after="0" w:line="240" w:lineRule="exact"/>
        <w:jc w:val="right"/>
        <w:rPr>
          <w:rFonts w:ascii="宋体" w:hAnsi="宋体" w:eastAsia="宋体" w:cs="宋体"/>
          <w:sz w:val="18"/>
          <w:szCs w:val="18"/>
        </w:rPr>
      </w:pPr>
      <w:bookmarkStart w:id="14" w:name="_GoBack"/>
      <w:bookmarkEnd w:id="14"/>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湖南博云新材料股份有限公司2023年第一季度报告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docVars>
    <w:docVar w:name="commondata" w:val="eyJoZGlkIjoiYzlhZDM3OWM2NmRhMzBiMDYxYjgzYzJiMWE5MTRlNzAifQ=="/>
  </w:docVars>
  <w:rsids>
    <w:rsidRoot w:val="00000000"/>
    <w:rsid w:val="25560F8D"/>
    <w:rsid w:val="30216AD5"/>
    <w:rsid w:val="36582AE6"/>
    <w:rsid w:val="3B8A2D4C"/>
    <w:rsid w:val="459D662D"/>
    <w:rsid w:val="476A3219"/>
    <w:rsid w:val="4CA0731E"/>
    <w:rsid w:val="57EE785B"/>
    <w:rsid w:val="7BFA5853"/>
    <w:rsid w:val="7C1B7061"/>
    <w:rsid w:val="7D4858FC"/>
    <w:rsid w:val="7E1B28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2023-04-20T01:13:00Z</dcterms:created>
  <dc:creator>Administrator</dc:creator>
  <cp:lastModifiedBy>张爱丽</cp:lastModifiedBy>
  <cp:lastPrinted>2023-04-20T06:09:00Z</cp:lastPrinted>
  <dcterms:modified xsi:type="dcterms:W3CDTF">2023-04-28T02:52:37Z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9D82E9E245B24193BEF722A66AABE69B</vt:lpwstr>
  </property>
</Properties>
</file>