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2023年半年度报告</w:t>
      </w:r>
    </w:p>
    <w:p>
      <w:pPr>
        <w:spacing w:before="1000" w:after="0" w:line="240" w:lineRule="exact"/>
        <w:jc w:val="center"/>
        <w:rPr>
          <w:rFonts w:ascii="宋体" w:hAnsi="宋体" w:eastAsia="宋体" w:cs="宋体"/>
          <w:b/>
          <w:bCs/>
          <w:sz w:val="21"/>
          <w:szCs w:val="21"/>
        </w:rPr>
      </w:pPr>
    </w:p>
    <w:p>
      <w:pPr>
        <w:spacing w:before="1000" w:after="0" w:line="240" w:lineRule="exact"/>
        <w:jc w:val="center"/>
        <w:rPr>
          <w:rFonts w:ascii="宋体" w:hAnsi="宋体" w:eastAsia="宋体" w:cs="宋体"/>
          <w:b/>
          <w:bCs/>
          <w:sz w:val="21"/>
          <w:szCs w:val="21"/>
        </w:rPr>
      </w:pPr>
    </w:p>
    <w:p>
      <w:pPr>
        <w:spacing w:before="1000" w:after="0" w:line="240" w:lineRule="exact"/>
        <w:jc w:val="center"/>
        <w:rPr>
          <w:rFonts w:ascii="宋体" w:hAnsi="宋体" w:eastAsia="宋体" w:cs="宋体"/>
          <w:b/>
          <w:bCs/>
          <w:sz w:val="21"/>
          <w:szCs w:val="21"/>
        </w:rPr>
      </w:pPr>
    </w:p>
    <w:p>
      <w:pPr>
        <w:spacing w:before="1000" w:after="0" w:line="240" w:lineRule="exact"/>
        <w:jc w:val="center"/>
        <w:rPr>
          <w:rFonts w:ascii="宋体" w:hAnsi="宋体" w:eastAsia="宋体" w:cs="宋体"/>
          <w:b/>
          <w:bCs/>
          <w:sz w:val="21"/>
          <w:szCs w:val="21"/>
        </w:rPr>
      </w:pPr>
      <w:r>
        <w:drawing>
          <wp:anchor distT="0" distB="0" distL="114300" distR="114300" simplePos="0" relativeHeight="251659264" behindDoc="0" locked="0" layoutInCell="1" allowOverlap="1">
            <wp:simplePos x="0" y="0"/>
            <wp:positionH relativeFrom="column">
              <wp:posOffset>1800225</wp:posOffset>
            </wp:positionH>
            <wp:positionV relativeFrom="paragraph">
              <wp:posOffset>-1186180</wp:posOffset>
            </wp:positionV>
            <wp:extent cx="2400300" cy="19335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400300" cy="1933575"/>
                    </a:xfrm>
                    <a:prstGeom prst="rect">
                      <a:avLst/>
                    </a:prstGeom>
                    <a:noFill/>
                    <a:ln>
                      <a:noFill/>
                    </a:ln>
                  </pic:spPr>
                </pic:pic>
              </a:graphicData>
            </a:graphic>
          </wp:anchor>
        </w:drawing>
      </w:r>
    </w:p>
    <w:p>
      <w:pPr>
        <w:spacing w:before="1000" w:after="1000" w:line="0" w:lineRule="exact"/>
        <w:jc w:val="both"/>
        <w:rPr>
          <w:rFonts w:ascii="Times New Roman" w:hAnsi="Times New Roman" w:eastAsia="宋体" w:cs="Times New Roman"/>
        </w:rPr>
      </w:pP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eastAsia="宋体" w:cs="宋体"/>
          <w:b/>
          <w:bCs/>
          <w:sz w:val="32"/>
          <w:szCs w:val="32"/>
          <w:lang w:val="en-US" w:eastAsia="zh-CN"/>
        </w:rPr>
        <w:t>2023年8月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公司负责人贺柳、主管会计工作负责人严琦及会计机构负责人(会计主管人员)许斌声明：保证本半年度报告中财务报告的真实、准确、完整。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所有董事均已出席了审议本次半年报的董事会会议。</w:t>
      </w:r>
    </w:p>
    <w:p>
      <w:pPr>
        <w:pStyle w:val="2"/>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公司在本报告第三节“管理层讨论与分析”之“十、公司面临的风险和应对措施”部分描述了公司未来经营中可能面临的风险，敬请广大投资者注意查阅。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720" w:lineRule="exact"/>
        <w:jc w:val="center"/>
        <w:rPr>
          <w:rFonts w:ascii="宋体" w:hAnsi="宋体" w:eastAsia="宋体" w:cs="宋体"/>
          <w:b/>
          <w:bCs/>
          <w:sz w:val="36"/>
          <w:szCs w:val="36"/>
        </w:rPr>
      </w:pPr>
    </w:p>
    <w:p>
      <w:pPr>
        <w:spacing w:before="0" w:after="0" w:line="720" w:lineRule="exact"/>
        <w:jc w:val="center"/>
        <w:rPr>
          <w:rFonts w:ascii="宋体" w:hAnsi="宋体" w:eastAsia="宋体" w:cs="宋体"/>
          <w:b/>
          <w:bCs/>
          <w:sz w:val="36"/>
          <w:szCs w:val="36"/>
        </w:rPr>
      </w:pPr>
      <w:r>
        <w:rPr>
          <w:rFonts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ascii="宋体" w:hAnsi="宋体" w:eastAsia="宋体" w:cs="宋体"/>
          <w:b/>
          <w:bCs/>
          <w:sz w:val="36"/>
          <w:szCs w:val="36"/>
        </w:rPr>
        <w:t>录</w:t>
      </w:r>
    </w:p>
    <w:p>
      <w:pPr>
        <w:spacing w:before="0" w:after="0" w:line="720" w:lineRule="exact"/>
        <w:jc w:val="center"/>
        <w:rPr>
          <w:rFonts w:ascii="宋体" w:hAnsi="宋体" w:eastAsia="宋体" w:cs="宋体"/>
          <w:b/>
          <w:bCs/>
          <w:sz w:val="36"/>
          <w:szCs w:val="36"/>
        </w:rPr>
      </w:pP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w:instrText>
      </w:r>
      <w:r>
        <w:rPr>
          <w:rFonts w:hint="eastAsia" w:ascii="宋体" w:hAnsi="宋体" w:eastAsia="宋体"/>
          <w:b w:val="0"/>
          <w:bCs w:val="0"/>
          <w:sz w:val="24"/>
          <w:szCs w:val="24"/>
        </w:rPr>
        <w:instrText xml:space="preserve">TOC \o "1-2" \h \z \u</w:instrText>
      </w:r>
      <w:r>
        <w:rPr>
          <w:b w:val="0"/>
          <w:bCs w:val="0"/>
          <w:sz w:val="24"/>
          <w:szCs w:val="24"/>
        </w:rPr>
        <w:instrText xml:space="preserve"> </w:instrText>
      </w:r>
      <w:r>
        <w:rPr>
          <w:b w:val="0"/>
          <w:bCs w:val="0"/>
          <w:sz w:val="24"/>
          <w:szCs w:val="24"/>
        </w:rPr>
        <w:fldChar w:fldCharType="separate"/>
      </w:r>
      <w:r>
        <w:rPr>
          <w:b w:val="0"/>
          <w:bCs w:val="0"/>
          <w:sz w:val="24"/>
          <w:szCs w:val="24"/>
        </w:rPr>
        <w:fldChar w:fldCharType="begin"/>
      </w:r>
      <w:r>
        <w:rPr>
          <w:b w:val="0"/>
          <w:bCs w:val="0"/>
          <w:sz w:val="24"/>
          <w:szCs w:val="24"/>
        </w:rPr>
        <w:instrText xml:space="preserve"> HYPERLINK \l "_Toc988889" </w:instrText>
      </w:r>
      <w:r>
        <w:rPr>
          <w:b w:val="0"/>
          <w:bCs w:val="0"/>
          <w:sz w:val="24"/>
          <w:szCs w:val="24"/>
        </w:rPr>
        <w:fldChar w:fldCharType="separate"/>
      </w:r>
      <w:r>
        <w:rPr>
          <w:rFonts w:hint="eastAsia" w:ascii="宋体" w:hAnsi="宋体" w:eastAsia="宋体"/>
          <w:b w:val="0"/>
          <w:bCs w:val="0"/>
          <w:sz w:val="24"/>
          <w:szCs w:val="24"/>
        </w:rPr>
        <w:t>第一节 重要提示、目录和释义</w:t>
      </w:r>
      <w:r>
        <w:rPr>
          <w:b w:val="0"/>
          <w:bCs w:val="0"/>
          <w:sz w:val="24"/>
          <w:szCs w:val="24"/>
        </w:rPr>
        <w:tab/>
      </w:r>
      <w:r>
        <w:rPr>
          <w:b w:val="0"/>
          <w:bCs w:val="0"/>
          <w:sz w:val="24"/>
          <w:szCs w:val="24"/>
        </w:rPr>
        <w:fldChar w:fldCharType="begin"/>
      </w:r>
      <w:r>
        <w:rPr>
          <w:b w:val="0"/>
          <w:bCs w:val="0"/>
          <w:sz w:val="24"/>
          <w:szCs w:val="24"/>
        </w:rPr>
        <w:instrText xml:space="preserve"> PAGEREF _Toc988889 \h </w:instrText>
      </w:r>
      <w:r>
        <w:rPr>
          <w:rFonts w:hint="eastAsia" w:ascii="宋体" w:hAnsi="宋体" w:eastAsia="宋体"/>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"_Toc988890" </w:instrText>
      </w:r>
      <w:r>
        <w:rPr>
          <w:b w:val="0"/>
          <w:bCs w:val="0"/>
          <w:sz w:val="24"/>
          <w:szCs w:val="24"/>
        </w:rPr>
        <w:fldChar w:fldCharType="separate"/>
      </w:r>
      <w:r>
        <w:rPr>
          <w:rFonts w:hint="eastAsia" w:ascii="宋体" w:hAnsi="宋体" w:eastAsia="宋体"/>
          <w:b w:val="0"/>
          <w:bCs w:val="0"/>
          <w:sz w:val="24"/>
          <w:szCs w:val="24"/>
        </w:rPr>
        <w:t>第二节 公司简介和主要财务指标</w:t>
      </w:r>
      <w:r>
        <w:rPr>
          <w:b w:val="0"/>
          <w:bCs w:val="0"/>
          <w:sz w:val="24"/>
          <w:szCs w:val="24"/>
        </w:rPr>
        <w:tab/>
      </w:r>
      <w:r>
        <w:rPr>
          <w:b w:val="0"/>
          <w:bCs w:val="0"/>
          <w:sz w:val="24"/>
          <w:szCs w:val="24"/>
        </w:rPr>
        <w:fldChar w:fldCharType="begin"/>
      </w:r>
      <w:r>
        <w:rPr>
          <w:b w:val="0"/>
          <w:bCs w:val="0"/>
          <w:sz w:val="24"/>
          <w:szCs w:val="24"/>
        </w:rPr>
        <w:instrText xml:space="preserve"> PAGEREF _Toc988890 \h </w:instrText>
      </w:r>
      <w:r>
        <w:rPr>
          <w:rFonts w:hint="eastAsia" w:ascii="宋体" w:hAnsi="宋体" w:eastAsia="宋体"/>
          <w:b w:val="0"/>
          <w:bCs w:val="0"/>
          <w:sz w:val="24"/>
          <w:szCs w:val="24"/>
        </w:rPr>
        <w:fldChar w:fldCharType="separate"/>
      </w:r>
      <w:r>
        <w:rPr>
          <w:b w:val="0"/>
          <w:bCs w:val="0"/>
          <w:sz w:val="24"/>
          <w:szCs w:val="24"/>
        </w:rPr>
        <w:t>6</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"_Toc988902" </w:instrText>
      </w:r>
      <w:r>
        <w:rPr>
          <w:b w:val="0"/>
          <w:bCs w:val="0"/>
          <w:sz w:val="24"/>
          <w:szCs w:val="24"/>
        </w:rPr>
        <w:fldChar w:fldCharType="separate"/>
      </w:r>
      <w:r>
        <w:rPr>
          <w:rFonts w:hint="eastAsia" w:ascii="宋体" w:hAnsi="宋体" w:eastAsia="宋体"/>
          <w:b w:val="0"/>
          <w:bCs w:val="0"/>
          <w:sz w:val="24"/>
          <w:szCs w:val="24"/>
        </w:rPr>
        <w:t>第三节 管理层讨论与分析</w:t>
      </w:r>
      <w:r>
        <w:rPr>
          <w:b w:val="0"/>
          <w:bCs w:val="0"/>
          <w:sz w:val="24"/>
          <w:szCs w:val="24"/>
        </w:rPr>
        <w:tab/>
      </w:r>
      <w:r>
        <w:rPr>
          <w:b w:val="0"/>
          <w:bCs w:val="0"/>
          <w:sz w:val="24"/>
          <w:szCs w:val="24"/>
        </w:rPr>
        <w:fldChar w:fldCharType="begin"/>
      </w:r>
      <w:r>
        <w:rPr>
          <w:b w:val="0"/>
          <w:bCs w:val="0"/>
          <w:sz w:val="24"/>
          <w:szCs w:val="24"/>
        </w:rPr>
        <w:instrText xml:space="preserve"> PAGEREF _Toc988902 \h </w:instrText>
      </w:r>
      <w:r>
        <w:rPr>
          <w:rFonts w:hint="eastAsia" w:ascii="宋体" w:hAnsi="宋体" w:eastAsia="宋体"/>
          <w:b w:val="0"/>
          <w:bCs w:val="0"/>
          <w:sz w:val="24"/>
          <w:szCs w:val="24"/>
        </w:rPr>
        <w:fldChar w:fldCharType="separate"/>
      </w:r>
      <w:r>
        <w:rPr>
          <w:b w:val="0"/>
          <w:bCs w:val="0"/>
          <w:sz w:val="24"/>
          <w:szCs w:val="24"/>
        </w:rPr>
        <w:t>9</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"_Toc988929" </w:instrText>
      </w:r>
      <w:r>
        <w:rPr>
          <w:b w:val="0"/>
          <w:bCs w:val="0"/>
          <w:sz w:val="24"/>
          <w:szCs w:val="24"/>
        </w:rPr>
        <w:fldChar w:fldCharType="separate"/>
      </w:r>
      <w:r>
        <w:rPr>
          <w:rFonts w:hint="eastAsia" w:ascii="宋体" w:hAnsi="宋体" w:eastAsia="宋体"/>
          <w:b w:val="0"/>
          <w:bCs w:val="0"/>
          <w:sz w:val="24"/>
          <w:szCs w:val="24"/>
        </w:rPr>
        <w:t>第四节 公司治理</w:t>
      </w:r>
      <w:r>
        <w:rPr>
          <w:b w:val="0"/>
          <w:bCs w:val="0"/>
          <w:sz w:val="24"/>
          <w:szCs w:val="24"/>
        </w:rPr>
        <w:tab/>
      </w:r>
      <w:r>
        <w:rPr>
          <w:b w:val="0"/>
          <w:bCs w:val="0"/>
          <w:sz w:val="24"/>
          <w:szCs w:val="24"/>
        </w:rPr>
        <w:fldChar w:fldCharType="begin"/>
      </w:r>
      <w:r>
        <w:rPr>
          <w:b w:val="0"/>
          <w:bCs w:val="0"/>
          <w:sz w:val="24"/>
          <w:szCs w:val="24"/>
        </w:rPr>
        <w:instrText xml:space="preserve"> PAGEREF _Toc988929 \h </w:instrText>
      </w:r>
      <w:r>
        <w:rPr>
          <w:rFonts w:hint="eastAsia" w:ascii="宋体" w:hAnsi="宋体" w:eastAsia="宋体"/>
          <w:b w:val="0"/>
          <w:bCs w:val="0"/>
          <w:sz w:val="24"/>
          <w:szCs w:val="24"/>
        </w:rPr>
        <w:fldChar w:fldCharType="separate"/>
      </w:r>
      <w:r>
        <w:rPr>
          <w:b w:val="0"/>
          <w:bCs w:val="0"/>
          <w:sz w:val="24"/>
          <w:szCs w:val="24"/>
        </w:rPr>
        <w:t>19</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"_Toc988936" </w:instrText>
      </w:r>
      <w:r>
        <w:rPr>
          <w:b w:val="0"/>
          <w:bCs w:val="0"/>
          <w:sz w:val="24"/>
          <w:szCs w:val="24"/>
        </w:rPr>
        <w:fldChar w:fldCharType="separate"/>
      </w:r>
      <w:r>
        <w:rPr>
          <w:rFonts w:hint="eastAsia" w:ascii="宋体" w:hAnsi="宋体" w:eastAsia="宋体"/>
          <w:b w:val="0"/>
          <w:bCs w:val="0"/>
          <w:sz w:val="24"/>
          <w:szCs w:val="24"/>
        </w:rPr>
        <w:t>第五节 环境和社会责任</w:t>
      </w:r>
      <w:r>
        <w:rPr>
          <w:b w:val="0"/>
          <w:bCs w:val="0"/>
          <w:sz w:val="24"/>
          <w:szCs w:val="24"/>
        </w:rPr>
        <w:tab/>
      </w:r>
      <w:r>
        <w:rPr>
          <w:b w:val="0"/>
          <w:bCs w:val="0"/>
          <w:sz w:val="24"/>
          <w:szCs w:val="24"/>
        </w:rPr>
        <w:fldChar w:fldCharType="begin"/>
      </w:r>
      <w:r>
        <w:rPr>
          <w:b w:val="0"/>
          <w:bCs w:val="0"/>
          <w:sz w:val="24"/>
          <w:szCs w:val="24"/>
        </w:rPr>
        <w:instrText xml:space="preserve"> PAGEREF _Toc988936 \h </w:instrText>
      </w:r>
      <w:r>
        <w:rPr>
          <w:rFonts w:hint="eastAsia" w:ascii="宋体" w:hAnsi="宋体" w:eastAsia="宋体"/>
          <w:b w:val="0"/>
          <w:bCs w:val="0"/>
          <w:sz w:val="24"/>
          <w:szCs w:val="24"/>
        </w:rPr>
        <w:fldChar w:fldCharType="separate"/>
      </w:r>
      <w:r>
        <w:rPr>
          <w:b w:val="0"/>
          <w:bCs w:val="0"/>
          <w:sz w:val="24"/>
          <w:szCs w:val="24"/>
        </w:rPr>
        <w:t>20</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"_Toc988939" </w:instrText>
      </w:r>
      <w:r>
        <w:rPr>
          <w:b w:val="0"/>
          <w:bCs w:val="0"/>
          <w:sz w:val="24"/>
          <w:szCs w:val="24"/>
        </w:rPr>
        <w:fldChar w:fldCharType="separate"/>
      </w:r>
      <w:r>
        <w:rPr>
          <w:rFonts w:hint="eastAsia" w:ascii="宋体" w:hAnsi="宋体" w:eastAsia="宋体"/>
          <w:b w:val="0"/>
          <w:bCs w:val="0"/>
          <w:sz w:val="24"/>
          <w:szCs w:val="24"/>
        </w:rPr>
        <w:t>第六节 重要事项</w:t>
      </w:r>
      <w:r>
        <w:rPr>
          <w:b w:val="0"/>
          <w:bCs w:val="0"/>
          <w:sz w:val="24"/>
          <w:szCs w:val="24"/>
        </w:rPr>
        <w:tab/>
      </w:r>
      <w:r>
        <w:rPr>
          <w:b w:val="0"/>
          <w:bCs w:val="0"/>
          <w:sz w:val="24"/>
          <w:szCs w:val="24"/>
        </w:rPr>
        <w:fldChar w:fldCharType="begin"/>
      </w:r>
      <w:r>
        <w:rPr>
          <w:b w:val="0"/>
          <w:bCs w:val="0"/>
          <w:sz w:val="24"/>
          <w:szCs w:val="24"/>
        </w:rPr>
        <w:instrText xml:space="preserve"> PAGEREF _Toc988939 \h </w:instrText>
      </w:r>
      <w:r>
        <w:rPr>
          <w:rFonts w:hint="eastAsia" w:ascii="宋体" w:hAnsi="宋体" w:eastAsia="宋体"/>
          <w:b w:val="0"/>
          <w:bCs w:val="0"/>
          <w:sz w:val="24"/>
          <w:szCs w:val="24"/>
        </w:rPr>
        <w:fldChar w:fldCharType="separate"/>
      </w:r>
      <w:r>
        <w:rPr>
          <w:b w:val="0"/>
          <w:bCs w:val="0"/>
          <w:sz w:val="24"/>
          <w:szCs w:val="24"/>
        </w:rPr>
        <w:t>21</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"_Toc988968" </w:instrText>
      </w:r>
      <w:r>
        <w:rPr>
          <w:b w:val="0"/>
          <w:bCs w:val="0"/>
          <w:sz w:val="24"/>
          <w:szCs w:val="24"/>
        </w:rPr>
        <w:fldChar w:fldCharType="separate"/>
      </w:r>
      <w:r>
        <w:rPr>
          <w:rFonts w:hint="eastAsia" w:ascii="宋体" w:hAnsi="宋体" w:eastAsia="宋体"/>
          <w:b w:val="0"/>
          <w:bCs w:val="0"/>
          <w:sz w:val="24"/>
          <w:szCs w:val="24"/>
        </w:rPr>
        <w:t>第七节 股份变动及股东情况</w:t>
      </w:r>
      <w:r>
        <w:rPr>
          <w:b w:val="0"/>
          <w:bCs w:val="0"/>
          <w:sz w:val="24"/>
          <w:szCs w:val="24"/>
        </w:rPr>
        <w:tab/>
      </w:r>
      <w:r>
        <w:rPr>
          <w:b w:val="0"/>
          <w:bCs w:val="0"/>
          <w:sz w:val="24"/>
          <w:szCs w:val="24"/>
        </w:rPr>
        <w:fldChar w:fldCharType="begin"/>
      </w:r>
      <w:r>
        <w:rPr>
          <w:b w:val="0"/>
          <w:bCs w:val="0"/>
          <w:sz w:val="24"/>
          <w:szCs w:val="24"/>
        </w:rPr>
        <w:instrText xml:space="preserve"> PAGEREF _Toc988968 \h </w:instrText>
      </w:r>
      <w:r>
        <w:rPr>
          <w:rFonts w:hint="eastAsia" w:ascii="宋体" w:hAnsi="宋体" w:eastAsia="宋体"/>
          <w:b w:val="0"/>
          <w:bCs w:val="0"/>
          <w:sz w:val="24"/>
          <w:szCs w:val="24"/>
        </w:rPr>
        <w:fldChar w:fldCharType="separate"/>
      </w:r>
      <w:r>
        <w:rPr>
          <w:b w:val="0"/>
          <w:bCs w:val="0"/>
          <w:sz w:val="24"/>
          <w:szCs w:val="24"/>
        </w:rPr>
        <w:t>26</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"_Toc988976" </w:instrText>
      </w:r>
      <w:r>
        <w:rPr>
          <w:b w:val="0"/>
          <w:bCs w:val="0"/>
          <w:sz w:val="24"/>
          <w:szCs w:val="24"/>
        </w:rPr>
        <w:fldChar w:fldCharType="separate"/>
      </w:r>
      <w:r>
        <w:rPr>
          <w:rFonts w:hint="eastAsia" w:ascii="宋体" w:hAnsi="宋体" w:eastAsia="宋体"/>
          <w:b w:val="0"/>
          <w:bCs w:val="0"/>
          <w:sz w:val="24"/>
          <w:szCs w:val="24"/>
        </w:rPr>
        <w:t>第八节 优先股相关情况</w:t>
      </w:r>
      <w:r>
        <w:rPr>
          <w:b w:val="0"/>
          <w:bCs w:val="0"/>
          <w:sz w:val="24"/>
          <w:szCs w:val="24"/>
        </w:rPr>
        <w:tab/>
      </w:r>
      <w:r>
        <w:rPr>
          <w:b w:val="0"/>
          <w:bCs w:val="0"/>
          <w:sz w:val="24"/>
          <w:szCs w:val="24"/>
        </w:rPr>
        <w:fldChar w:fldCharType="begin"/>
      </w:r>
      <w:r>
        <w:rPr>
          <w:b w:val="0"/>
          <w:bCs w:val="0"/>
          <w:sz w:val="24"/>
          <w:szCs w:val="24"/>
        </w:rPr>
        <w:instrText xml:space="preserve"> PAGEREF _Toc988976 \h </w:instrText>
      </w:r>
      <w:r>
        <w:rPr>
          <w:rFonts w:hint="eastAsia" w:ascii="宋体" w:hAnsi="宋体" w:eastAsia="宋体"/>
          <w:b w:val="0"/>
          <w:bCs w:val="0"/>
          <w:sz w:val="24"/>
          <w:szCs w:val="24"/>
        </w:rPr>
        <w:fldChar w:fldCharType="separate"/>
      </w:r>
      <w:r>
        <w:rPr>
          <w:b w:val="0"/>
          <w:bCs w:val="0"/>
          <w:sz w:val="24"/>
          <w:szCs w:val="24"/>
        </w:rPr>
        <w:t>30</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b w:val="0"/>
          <w:bCs w:val="0"/>
          <w:sz w:val="24"/>
          <w:szCs w:val="24"/>
        </w:rPr>
      </w:pPr>
      <w:r>
        <w:rPr>
          <w:b w:val="0"/>
          <w:bCs w:val="0"/>
          <w:sz w:val="24"/>
          <w:szCs w:val="24"/>
        </w:rPr>
        <w:fldChar w:fldCharType="begin"/>
      </w:r>
      <w:r>
        <w:rPr>
          <w:b w:val="0"/>
          <w:bCs w:val="0"/>
          <w:sz w:val="24"/>
          <w:szCs w:val="24"/>
        </w:rPr>
        <w:instrText xml:space="preserve"> HYPERLINK \l "_Toc988977" </w:instrText>
      </w:r>
      <w:r>
        <w:rPr>
          <w:b w:val="0"/>
          <w:bCs w:val="0"/>
          <w:sz w:val="24"/>
          <w:szCs w:val="24"/>
        </w:rPr>
        <w:fldChar w:fldCharType="separate"/>
      </w:r>
      <w:r>
        <w:rPr>
          <w:rFonts w:hint="eastAsia" w:ascii="宋体" w:hAnsi="宋体" w:eastAsia="宋体"/>
          <w:b w:val="0"/>
          <w:bCs w:val="0"/>
          <w:sz w:val="24"/>
          <w:szCs w:val="24"/>
        </w:rPr>
        <w:t>第九节 债券相关情况</w:t>
      </w:r>
      <w:r>
        <w:rPr>
          <w:b w:val="0"/>
          <w:bCs w:val="0"/>
          <w:sz w:val="24"/>
          <w:szCs w:val="24"/>
        </w:rPr>
        <w:tab/>
      </w:r>
      <w:r>
        <w:rPr>
          <w:b w:val="0"/>
          <w:bCs w:val="0"/>
          <w:sz w:val="24"/>
          <w:szCs w:val="24"/>
        </w:rPr>
        <w:fldChar w:fldCharType="begin"/>
      </w:r>
      <w:r>
        <w:rPr>
          <w:b w:val="0"/>
          <w:bCs w:val="0"/>
          <w:sz w:val="24"/>
          <w:szCs w:val="24"/>
        </w:rPr>
        <w:instrText xml:space="preserve"> PAGEREF _Toc988977 \h </w:instrText>
      </w:r>
      <w:r>
        <w:rPr>
          <w:rFonts w:hint="eastAsia" w:ascii="宋体" w:hAnsi="宋体" w:eastAsia="宋体"/>
          <w:b w:val="0"/>
          <w:bCs w:val="0"/>
          <w:sz w:val="24"/>
          <w:szCs w:val="24"/>
        </w:rPr>
        <w:fldChar w:fldCharType="separate"/>
      </w:r>
      <w:r>
        <w:rPr>
          <w:b w:val="0"/>
          <w:bCs w:val="0"/>
          <w:sz w:val="24"/>
          <w:szCs w:val="24"/>
        </w:rPr>
        <w:t>31</w:t>
      </w:r>
      <w:r>
        <w:rPr>
          <w:b w:val="0"/>
          <w:bCs w:val="0"/>
          <w:sz w:val="24"/>
          <w:szCs w:val="24"/>
        </w:rPr>
        <w:fldChar w:fldCharType="end"/>
      </w:r>
      <w:r>
        <w:rPr>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pPr>
      <w:r>
        <w:rPr>
          <w:b w:val="0"/>
          <w:bCs w:val="0"/>
          <w:sz w:val="24"/>
          <w:szCs w:val="24"/>
        </w:rPr>
        <w:fldChar w:fldCharType="begin"/>
      </w:r>
      <w:r>
        <w:rPr>
          <w:b w:val="0"/>
          <w:bCs w:val="0"/>
          <w:sz w:val="24"/>
          <w:szCs w:val="24"/>
        </w:rPr>
        <w:instrText xml:space="preserve"> HYPERLINK \l "_Toc988978" </w:instrText>
      </w:r>
      <w:r>
        <w:rPr>
          <w:b w:val="0"/>
          <w:bCs w:val="0"/>
          <w:sz w:val="24"/>
          <w:szCs w:val="24"/>
        </w:rPr>
        <w:fldChar w:fldCharType="separate"/>
      </w:r>
      <w:r>
        <w:rPr>
          <w:rFonts w:hint="eastAsia" w:ascii="宋体" w:hAnsi="宋体" w:eastAsia="宋体"/>
          <w:b w:val="0"/>
          <w:bCs w:val="0"/>
          <w:sz w:val="24"/>
          <w:szCs w:val="24"/>
        </w:rPr>
        <w:t>第十节 财务报告</w:t>
      </w:r>
      <w:r>
        <w:rPr>
          <w:b w:val="0"/>
          <w:bCs w:val="0"/>
          <w:sz w:val="24"/>
          <w:szCs w:val="24"/>
        </w:rPr>
        <w:tab/>
      </w:r>
      <w:r>
        <w:rPr>
          <w:b w:val="0"/>
          <w:bCs w:val="0"/>
          <w:sz w:val="24"/>
          <w:szCs w:val="24"/>
        </w:rPr>
        <w:fldChar w:fldCharType="begin"/>
      </w:r>
      <w:r>
        <w:rPr>
          <w:b w:val="0"/>
          <w:bCs w:val="0"/>
          <w:sz w:val="24"/>
          <w:szCs w:val="24"/>
        </w:rPr>
        <w:instrText xml:space="preserve"> PAGEREF _Toc988978 \h </w:instrText>
      </w:r>
      <w:r>
        <w:rPr>
          <w:rFonts w:hint="eastAsia" w:ascii="宋体" w:hAnsi="宋体" w:eastAsia="宋体"/>
          <w:b w:val="0"/>
          <w:bCs w:val="0"/>
          <w:sz w:val="24"/>
          <w:szCs w:val="24"/>
        </w:rPr>
        <w:fldChar w:fldCharType="separate"/>
      </w:r>
      <w:r>
        <w:rPr>
          <w:b w:val="0"/>
          <w:bCs w:val="0"/>
          <w:sz w:val="24"/>
          <w:szCs w:val="24"/>
        </w:rPr>
        <w:t>32</w:t>
      </w:r>
      <w:r>
        <w:rPr>
          <w:b w:val="0"/>
          <w:bCs w:val="0"/>
          <w:sz w:val="24"/>
          <w:szCs w:val="24"/>
        </w:rPr>
        <w:fldChar w:fldCharType="end"/>
      </w:r>
      <w:r>
        <w:rPr>
          <w:b w:val="0"/>
          <w:bCs w:val="0"/>
          <w:sz w:val="24"/>
          <w:szCs w:val="24"/>
        </w:rPr>
        <w:fldChar w:fldCharType="end"/>
      </w:r>
      <w:r>
        <w:rPr>
          <w:b w:val="0"/>
          <w:bCs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600" w:lineRule="auto"/>
        <w:textAlignment w:val="auto"/>
      </w:pPr>
      <w: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一、载有董事长签名的2023年半年度报告原件；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二、载有法定代表人、主管会计工作负责人、会计机构负责人签名并盖章的财务报表；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三、报告期内在中国证监会指定报纸上公开披露过的所有公司文件的正本及公告的原稿；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四、其他有关资料。</w:t>
      </w:r>
    </w:p>
    <w:p>
      <w: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高创投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贺柳</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公司注册地址、公司办公地址及其邮政编码、公司网址、电子信箱等在报告期无变化，具体可参见2022年年报。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公司披露半年度报告的证券交易所网站和媒体名称及网址，公司半年度报告备置地在报告期无变化，具体可参见2022年年报。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1,815,162.34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8,334,004.00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2,833,168,130.37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2,099,329,104.32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81"/>
        <w:gridCol w:w="3045"/>
        <w:gridCol w:w="21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0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金额</w:t>
            </w:r>
          </w:p>
        </w:tc>
        <w:tc>
          <w:tcPr>
            <w:tcW w:w="21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企业取得子公司、联营企业及合营企业的投资成本小于取得投资时应享有被投资单位可辨认净资产公允价值产生的收益</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10,996.50</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195,995.35</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899,633.54</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22,633.50</w:t>
            </w:r>
          </w:p>
        </w:tc>
        <w:tc>
          <w:tcPr>
            <w:tcW w:w="21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4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0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8,312,802.86</w:t>
            </w:r>
          </w:p>
        </w:tc>
        <w:tc>
          <w:tcPr>
            <w:tcW w:w="21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公司主要是从事航空机轮刹车系统及刹车材料、航天用碳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碳复合材料、高性能硬质合金和稀有金属粉体材料等产品的研发、生产与销售，产品主要涉及航空、航天和民用工业等领域。公司建有“国家炭</w:t>
      </w:r>
      <w:r>
        <w:rPr>
          <w:rFonts w:hint="default" w:ascii="Times New Roman" w:hAnsi="Times New Roman" w:eastAsia="宋体" w:cs="Times New Roman"/>
          <w:sz w:val="21"/>
          <w:szCs w:val="21"/>
        </w:rPr>
        <w:t>/</w:t>
      </w:r>
      <w:r>
        <w:rPr>
          <w:rFonts w:hint="eastAsia" w:ascii="宋体" w:hAnsi="宋体" w:eastAsia="宋体" w:cs="宋体"/>
          <w:sz w:val="21"/>
          <w:szCs w:val="21"/>
        </w:rPr>
        <w:t>炭复合材料工程技术研究中心”。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2"/>
        <w:jc w:val="both"/>
        <w:textAlignment w:val="auto"/>
        <w:rPr>
          <w:rFonts w:hint="default" w:ascii="Times New Roman" w:hAnsi="Times New Roman" w:cs="Times New Roman"/>
          <w:b/>
          <w:bCs/>
          <w:sz w:val="24"/>
          <w:szCs w:val="24"/>
        </w:rPr>
      </w:pPr>
      <w:r>
        <w:rPr>
          <w:rFonts w:hint="eastAsia" w:ascii="宋体" w:hAnsi="宋体" w:cs="宋体"/>
          <w:b/>
          <w:bCs/>
          <w:sz w:val="21"/>
          <w:szCs w:val="21"/>
          <w:lang w:val="en-US" w:eastAsia="zh-CN"/>
        </w:rPr>
        <w:t>1、</w:t>
      </w:r>
      <w:r>
        <w:rPr>
          <w:rFonts w:hint="eastAsia" w:ascii="宋体" w:hAnsi="宋体" w:eastAsia="宋体" w:cs="宋体"/>
          <w:b/>
          <w:bCs/>
          <w:sz w:val="21"/>
          <w:szCs w:val="21"/>
        </w:rPr>
        <w:t>航空航天领域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ascii="宋体" w:hAnsi="宋体" w:eastAsia="宋体" w:cs="宋体"/>
          <w:sz w:val="21"/>
          <w:szCs w:val="21"/>
        </w:rPr>
        <w:t>飞机机轮刹车系统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eastAsia="宋体" w:cs="Times New Roman"/>
          <w:sz w:val="24"/>
          <w:szCs w:val="24"/>
          <w:lang w:val="en-US" w:eastAsia="zh-CN"/>
        </w:rPr>
      </w:pPr>
      <w:r>
        <w:rPr>
          <w:rFonts w:hint="eastAsia" w:ascii="宋体" w:hAnsi="宋体" w:eastAsia="宋体" w:cs="宋体"/>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w:t>
      </w:r>
      <w:r>
        <w:rPr>
          <w:rFonts w:hint="eastAsia" w:ascii="宋体" w:hAnsi="宋体" w:cs="宋体"/>
          <w:sz w:val="21"/>
          <w:szCs w:val="21"/>
          <w:lang w:val="en-US" w:eastAsia="zh-CN"/>
        </w:rPr>
        <w:t>2023年7月，长沙鑫航被认定为国家级专精特新“小巨人”企业。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w:t>
      </w:r>
      <w:r>
        <w:rPr>
          <w:rFonts w:hint="eastAsia" w:ascii="宋体" w:hAnsi="宋体" w:eastAsia="宋体" w:cs="宋体"/>
          <w:sz w:val="21"/>
          <w:szCs w:val="21"/>
        </w:rPr>
        <w:t>航空用飞机刹车材料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碳复合材料是一种以碳纤维增强碳基体的先进复合材料，具有密度低、摩擦特性优良、耐高温、使用寿命长等一系列优异性能。公司先后研发了一系列具有自主知识产权的碳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碳复合材料制备技术和工艺装备。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在航空用碳</w:t>
      </w:r>
      <w:r>
        <w:rPr>
          <w:rFonts w:hint="default" w:ascii="Times New Roman" w:hAnsi="Times New Roman" w:eastAsia="宋体" w:cs="Times New Roman"/>
          <w:sz w:val="21"/>
          <w:szCs w:val="21"/>
        </w:rPr>
        <w:t>/</w:t>
      </w:r>
      <w:r>
        <w:rPr>
          <w:rFonts w:hint="eastAsia" w:ascii="宋体" w:hAnsi="宋体" w:eastAsia="宋体" w:cs="宋体"/>
          <w:sz w:val="21"/>
          <w:szCs w:val="21"/>
        </w:rPr>
        <w:t>碳刹车产品方面，公司已取得波音</w:t>
      </w:r>
      <w:r>
        <w:rPr>
          <w:rFonts w:hint="default" w:ascii="Times New Roman" w:hAnsi="Times New Roman" w:eastAsia="宋体" w:cs="Times New Roman"/>
          <w:sz w:val="21"/>
          <w:szCs w:val="21"/>
        </w:rPr>
        <w:t>757</w:t>
      </w:r>
      <w:r>
        <w:rPr>
          <w:rFonts w:hint="eastAsia" w:ascii="宋体" w:hAnsi="宋体" w:eastAsia="宋体" w:cs="宋体"/>
          <w:sz w:val="21"/>
          <w:szCs w:val="21"/>
        </w:rPr>
        <w:t>、空客</w:t>
      </w:r>
      <w:r>
        <w:rPr>
          <w:rFonts w:hint="default" w:ascii="Times New Roman" w:hAnsi="Times New Roman" w:eastAsia="宋体" w:cs="Times New Roman"/>
          <w:sz w:val="21"/>
          <w:szCs w:val="21"/>
        </w:rPr>
        <w:t>320</w:t>
      </w:r>
      <w:r>
        <w:rPr>
          <w:rFonts w:hint="eastAsia" w:ascii="宋体" w:hAnsi="宋体" w:eastAsia="宋体" w:cs="宋体"/>
          <w:sz w:val="21"/>
          <w:szCs w:val="21"/>
        </w:rPr>
        <w:t>系列、</w:t>
      </w:r>
      <w:r>
        <w:rPr>
          <w:rFonts w:hint="default" w:ascii="Times New Roman" w:hAnsi="Times New Roman" w:eastAsia="宋体" w:cs="Times New Roman"/>
          <w:sz w:val="21"/>
          <w:szCs w:val="21"/>
        </w:rPr>
        <w:t>ERJ190</w:t>
      </w:r>
      <w:r>
        <w:rPr>
          <w:rFonts w:hint="eastAsia" w:ascii="宋体" w:hAnsi="宋体" w:eastAsia="宋体" w:cs="宋体"/>
          <w:sz w:val="21"/>
          <w:szCs w:val="21"/>
        </w:rPr>
        <w:t>系列、</w:t>
      </w:r>
      <w:r>
        <w:rPr>
          <w:rFonts w:hint="default" w:ascii="Times New Roman" w:hAnsi="Times New Roman" w:eastAsia="宋体" w:cs="Times New Roman"/>
          <w:sz w:val="21"/>
          <w:szCs w:val="21"/>
        </w:rPr>
        <w:t>MA60</w:t>
      </w:r>
      <w:r>
        <w:rPr>
          <w:rFonts w:hint="eastAsia" w:ascii="宋体" w:hAnsi="宋体" w:eastAsia="宋体" w:cs="宋体"/>
          <w:sz w:val="21"/>
          <w:szCs w:val="21"/>
        </w:rPr>
        <w:t>等机型</w:t>
      </w:r>
      <w:r>
        <w:rPr>
          <w:rFonts w:hint="default" w:ascii="Times New Roman" w:hAnsi="Times New Roman" w:eastAsia="宋体" w:cs="Times New Roman"/>
          <w:sz w:val="21"/>
          <w:szCs w:val="21"/>
        </w:rPr>
        <w:t>PMA</w:t>
      </w:r>
      <w:r>
        <w:rPr>
          <w:rFonts w:hint="eastAsia" w:ascii="宋体" w:hAnsi="宋体" w:eastAsia="宋体" w:cs="宋体"/>
          <w:sz w:val="21"/>
          <w:szCs w:val="21"/>
        </w:rPr>
        <w:t>证书，同时形成了包括国外客户委托开发碳刹车产品及若干个军机型号碳刹车产品在内的批产能力，目前正在持续开展多个型号的碳刹车产品研制。公司的碳刹车产品技术被成功应用于</w:t>
      </w:r>
      <w:r>
        <w:rPr>
          <w:rFonts w:hint="default" w:ascii="Times New Roman" w:hAnsi="Times New Roman" w:eastAsia="宋体" w:cs="Times New Roman"/>
          <w:sz w:val="21"/>
          <w:szCs w:val="21"/>
        </w:rPr>
        <w:t>C919</w:t>
      </w:r>
      <w:r>
        <w:rPr>
          <w:rFonts w:hint="eastAsia" w:ascii="宋体" w:hAnsi="宋体" w:eastAsia="宋体" w:cs="宋体"/>
          <w:sz w:val="21"/>
          <w:szCs w:val="21"/>
        </w:rPr>
        <w:t>大型飞机</w:t>
      </w:r>
      <w:r>
        <w:rPr>
          <w:rFonts w:hint="default" w:ascii="Times New Roman" w:hAnsi="Times New Roman" w:eastAsia="宋体" w:cs="Times New Roman"/>
          <w:sz w:val="21"/>
          <w:szCs w:val="21"/>
        </w:rPr>
        <w:t>,</w:t>
      </w:r>
      <w:r>
        <w:rPr>
          <w:rFonts w:hint="eastAsia" w:ascii="宋体" w:hAnsi="宋体" w:eastAsia="宋体" w:cs="宋体"/>
          <w:sz w:val="21"/>
          <w:szCs w:val="21"/>
        </w:rPr>
        <w:t>该产品能够满足</w:t>
      </w:r>
      <w:r>
        <w:rPr>
          <w:rFonts w:hint="default" w:ascii="Times New Roman" w:hAnsi="Times New Roman" w:eastAsia="宋体" w:cs="Times New Roman"/>
          <w:sz w:val="21"/>
          <w:szCs w:val="21"/>
        </w:rPr>
        <w:t>C919</w:t>
      </w:r>
      <w:r>
        <w:rPr>
          <w:rFonts w:hint="eastAsia" w:ascii="宋体" w:hAnsi="宋体" w:eastAsia="宋体" w:cs="宋体"/>
          <w:sz w:val="21"/>
          <w:szCs w:val="21"/>
        </w:rPr>
        <w:t>大飞机的性能要求，</w:t>
      </w:r>
      <w:r>
        <w:rPr>
          <w:rFonts w:hint="default" w:ascii="Times New Roman" w:hAnsi="Times New Roman" w:eastAsia="宋体" w:cs="Times New Roman"/>
          <w:sz w:val="21"/>
          <w:szCs w:val="21"/>
        </w:rPr>
        <w:t>2017</w:t>
      </w:r>
      <w:r>
        <w:rPr>
          <w:rFonts w:hint="eastAsia" w:ascii="宋体" w:hAnsi="宋体" w:eastAsia="宋体" w:cs="宋体"/>
          <w:sz w:val="21"/>
          <w:szCs w:val="21"/>
        </w:rPr>
        <w:t>年</w:t>
      </w:r>
      <w:r>
        <w:rPr>
          <w:rFonts w:hint="default" w:ascii="Times New Roman" w:hAnsi="Times New Roman" w:eastAsia="宋体" w:cs="Times New Roman"/>
          <w:sz w:val="21"/>
          <w:szCs w:val="21"/>
        </w:rPr>
        <w:t>5</w:t>
      </w:r>
      <w:r>
        <w:rPr>
          <w:rFonts w:hint="eastAsia" w:ascii="宋体" w:hAnsi="宋体" w:eastAsia="宋体" w:cs="宋体"/>
          <w:sz w:val="21"/>
          <w:szCs w:val="21"/>
        </w:rPr>
        <w:t>月，装载有博云技术碳刹车产品的</w:t>
      </w:r>
      <w:r>
        <w:rPr>
          <w:rFonts w:hint="default" w:ascii="Times New Roman" w:hAnsi="Times New Roman" w:eastAsia="宋体" w:cs="Times New Roman"/>
          <w:sz w:val="21"/>
          <w:szCs w:val="21"/>
        </w:rPr>
        <w:t>C919</w:t>
      </w:r>
      <w:r>
        <w:rPr>
          <w:rFonts w:hint="eastAsia" w:ascii="宋体" w:hAnsi="宋体" w:eastAsia="宋体" w:cs="宋体"/>
          <w:sz w:val="21"/>
          <w:szCs w:val="21"/>
        </w:rPr>
        <w:t>飞机圆满完成首飞任务，</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月完成全部适航取证试飞，</w:t>
      </w:r>
      <w:r>
        <w:rPr>
          <w:rFonts w:hint="default" w:ascii="Times New Roman" w:hAnsi="Times New Roman" w:eastAsia="宋体" w:cs="Times New Roman"/>
          <w:sz w:val="21"/>
          <w:szCs w:val="21"/>
        </w:rPr>
        <w:t>9</w:t>
      </w:r>
      <w:r>
        <w:rPr>
          <w:rFonts w:hint="eastAsia" w:ascii="宋体" w:hAnsi="宋体" w:eastAsia="宋体" w:cs="宋体"/>
          <w:sz w:val="21"/>
          <w:szCs w:val="21"/>
        </w:rPr>
        <w:t>月获得中国民用航空局颁发的型号合格证。在</w:t>
      </w:r>
      <w:r>
        <w:rPr>
          <w:rFonts w:hint="default" w:ascii="Times New Roman" w:hAnsi="Times New Roman" w:eastAsia="宋体" w:cs="Times New Roman"/>
          <w:sz w:val="21"/>
          <w:szCs w:val="21"/>
        </w:rPr>
        <w:t>C919</w:t>
      </w:r>
      <w:r>
        <w:rPr>
          <w:rFonts w:hint="eastAsia" w:ascii="宋体" w:hAnsi="宋体" w:eastAsia="宋体" w:cs="宋体"/>
          <w:sz w:val="21"/>
          <w:szCs w:val="21"/>
        </w:rPr>
        <w:t>大飞机获颁中国民航局型号合格证后，中国商飞第一时间给公司发来感谢信，高度肯定了公司在</w:t>
      </w:r>
      <w:r>
        <w:rPr>
          <w:rFonts w:hint="default" w:ascii="Times New Roman" w:hAnsi="Times New Roman" w:eastAsia="宋体" w:cs="Times New Roman"/>
          <w:sz w:val="21"/>
          <w:szCs w:val="21"/>
        </w:rPr>
        <w:t>C919</w:t>
      </w:r>
      <w:r>
        <w:rPr>
          <w:rFonts w:hint="eastAsia" w:ascii="宋体" w:hAnsi="宋体" w:eastAsia="宋体" w:cs="宋体"/>
          <w:sz w:val="21"/>
          <w:szCs w:val="21"/>
        </w:rPr>
        <w:t>项目研发、制造和试飞等方面付出的艰辛努力及作出了重要贡献。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在粉末冶金材料刹车产品方面，高性能粉末冶金摩擦材料具有制动平稳、耐高温、耐磨损等优良性能。公司先后开发出三叉戟、波音</w:t>
      </w:r>
      <w:r>
        <w:rPr>
          <w:rFonts w:hint="default" w:ascii="Times New Roman" w:hAnsi="Times New Roman" w:eastAsia="宋体" w:cs="Times New Roman"/>
          <w:sz w:val="21"/>
          <w:szCs w:val="21"/>
        </w:rPr>
        <w:t>737</w:t>
      </w:r>
      <w:r>
        <w:rPr>
          <w:rFonts w:hint="eastAsia" w:ascii="宋体" w:hAnsi="宋体" w:eastAsia="宋体" w:cs="宋体"/>
          <w:sz w:val="21"/>
          <w:szCs w:val="21"/>
        </w:rPr>
        <w:t>系列等多种粉末冶金航空刹车副。公司所研制的粉末冶金飞机刹车副技术水平完全满足使用要求，并有多款产品正在顺利开展研制工作。同时为适应市场需求，公司开发了多款无人机粉末冶金刹车副。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ascii="宋体" w:hAnsi="宋体" w:eastAsia="宋体" w:cs="宋体"/>
          <w:sz w:val="21"/>
          <w:szCs w:val="21"/>
        </w:rPr>
        <w:t>航天用碳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在航天用碳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碳复合材料方面，公司与航天系统内多家单位建立了长期的合作关系，历年来从研制阶段即开始提供多个型号航天发动机用碳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碳复合材料产品。目前有二十多个型号碳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碳复合材料产品已定型并批量生产，另有三十多个新型号航天发动机用碳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碳复合材料产品处在研制阶段。商用航天领域，公司通过自主创新，所研发的碳</w:t>
      </w:r>
      <w:r>
        <w:rPr>
          <w:rFonts w:hint="default" w:ascii="Times New Roman" w:hAnsi="Times New Roman" w:eastAsia="宋体" w:cs="Times New Roman"/>
          <w:sz w:val="21"/>
          <w:szCs w:val="21"/>
        </w:rPr>
        <w:t>/</w:t>
      </w:r>
      <w:r>
        <w:rPr>
          <w:rFonts w:hint="eastAsia" w:ascii="宋体" w:hAnsi="宋体" w:eastAsia="宋体" w:cs="宋体"/>
          <w:sz w:val="21"/>
          <w:szCs w:val="21"/>
        </w:rPr>
        <w:t>碳喉衬材料已成功应用于我国的</w:t>
      </w:r>
      <w:r>
        <w:rPr>
          <w:rFonts w:hint="default" w:ascii="Times New Roman" w:hAnsi="Times New Roman" w:eastAsia="宋体" w:cs="Times New Roman"/>
          <w:sz w:val="21"/>
          <w:szCs w:val="21"/>
        </w:rPr>
        <w:t>“</w:t>
      </w:r>
      <w:r>
        <w:rPr>
          <w:rFonts w:hint="eastAsia" w:ascii="宋体" w:hAnsi="宋体" w:eastAsia="宋体" w:cs="宋体"/>
          <w:sz w:val="21"/>
          <w:szCs w:val="21"/>
        </w:rPr>
        <w:t>快舟系列</w:t>
      </w:r>
      <w:r>
        <w:rPr>
          <w:rFonts w:hint="default" w:ascii="Times New Roman" w:hAnsi="Times New Roman" w:eastAsia="宋体" w:cs="Times New Roman"/>
          <w:sz w:val="21"/>
          <w:szCs w:val="21"/>
        </w:rPr>
        <w:t xml:space="preserve">” </w:t>
      </w:r>
      <w:r>
        <w:rPr>
          <w:rFonts w:hint="eastAsia" w:ascii="宋体" w:hAnsi="宋体" w:eastAsia="宋体" w:cs="宋体"/>
          <w:sz w:val="21"/>
          <w:szCs w:val="21"/>
        </w:rPr>
        <w:t>商业航天固体运载火箭上。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公司是国内固体火箭发动机用碳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碳复合材料的重要研制、生产基地，为多家航天企业提供碳</w:t>
      </w:r>
      <w:r>
        <w:rPr>
          <w:rFonts w:hint="default" w:ascii="Times New Roman" w:hAnsi="Times New Roman" w:eastAsia="宋体" w:cs="Times New Roman"/>
          <w:sz w:val="21"/>
          <w:szCs w:val="21"/>
        </w:rPr>
        <w:t>/</w:t>
      </w:r>
      <w:r>
        <w:rPr>
          <w:rFonts w:hint="eastAsia" w:ascii="宋体" w:hAnsi="宋体" w:eastAsia="宋体" w:cs="宋体"/>
          <w:sz w:val="21"/>
          <w:szCs w:val="21"/>
        </w:rPr>
        <w:t>碳喉衬产品配套。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2"/>
        <w:jc w:val="both"/>
        <w:textAlignment w:val="auto"/>
        <w:rPr>
          <w:rFonts w:hint="default" w:ascii="Times New Roman" w:hAnsi="Times New Roman" w:cs="Times New Roman"/>
          <w:b/>
          <w:bCs/>
          <w:sz w:val="24"/>
          <w:szCs w:val="24"/>
        </w:rPr>
      </w:pPr>
      <w:r>
        <w:rPr>
          <w:rFonts w:hint="eastAsia" w:ascii="宋体" w:hAnsi="宋体" w:cs="宋体"/>
          <w:b/>
          <w:bCs/>
          <w:sz w:val="21"/>
          <w:szCs w:val="21"/>
          <w:lang w:val="en-US" w:eastAsia="zh-CN"/>
        </w:rPr>
        <w:t>2、</w:t>
      </w:r>
      <w:r>
        <w:rPr>
          <w:rFonts w:hint="eastAsia" w:ascii="宋体" w:hAnsi="宋体" w:eastAsia="宋体" w:cs="宋体"/>
          <w:b/>
          <w:bCs/>
          <w:sz w:val="21"/>
          <w:szCs w:val="21"/>
        </w:rPr>
        <w:t>硬质合金领域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ascii="宋体" w:hAnsi="宋体" w:eastAsia="宋体" w:cs="宋体"/>
          <w:sz w:val="21"/>
          <w:szCs w:val="21"/>
        </w:rPr>
        <w:t>高性能硬质合金材料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公司控股子公司博云东方是国家第三批专精特新“小巨人”企业，拥有具有自主知识产权的“高性能纳米</w:t>
      </w:r>
      <w:r>
        <w:rPr>
          <w:rFonts w:hint="default" w:ascii="Times New Roman" w:hAnsi="Times New Roman" w:eastAsia="宋体" w:cs="Times New Roman"/>
          <w:sz w:val="21"/>
          <w:szCs w:val="21"/>
        </w:rPr>
        <w:t>/</w:t>
      </w:r>
      <w:r>
        <w:rPr>
          <w:rFonts w:hint="eastAsia" w:ascii="宋体" w:hAnsi="宋体" w:eastAsia="宋体" w:cs="宋体"/>
          <w:sz w:val="21"/>
          <w:szCs w:val="21"/>
        </w:rPr>
        <w:t>超细晶硬质合金制备技术”、“高性能特粗晶硬质合金制备技术”等核心技术，专业从事高性能硬质合金产品的研发、生产和销售。公司主要产品为高性能超细</w:t>
      </w:r>
      <w:r>
        <w:rPr>
          <w:rFonts w:hint="default" w:ascii="Times New Roman" w:hAnsi="Times New Roman" w:eastAsia="宋体" w:cs="Times New Roman"/>
          <w:sz w:val="21"/>
          <w:szCs w:val="21"/>
        </w:rPr>
        <w:t>/</w:t>
      </w:r>
      <w:r>
        <w:rPr>
          <w:rFonts w:hint="eastAsia" w:ascii="宋体" w:hAnsi="宋体" w:eastAsia="宋体" w:cs="宋体"/>
          <w:sz w:val="21"/>
          <w:szCs w:val="21"/>
        </w:rPr>
        <w:t>纳米硬质合金棒材、高性能硬质合金模具材料、高性能特粗晶工程与矿用硬质合金、精深加工硬质合金成品（零</w:t>
      </w:r>
      <w:r>
        <w:rPr>
          <w:rFonts w:hint="default" w:ascii="Times New Roman" w:hAnsi="Times New Roman" w:eastAsia="宋体" w:cs="Times New Roman"/>
          <w:sz w:val="21"/>
          <w:szCs w:val="21"/>
        </w:rPr>
        <w:t>/</w:t>
      </w:r>
      <w:r>
        <w:rPr>
          <w:rFonts w:hint="eastAsia" w:ascii="宋体" w:hAnsi="宋体" w:eastAsia="宋体" w:cs="宋体"/>
          <w:sz w:val="21"/>
          <w:szCs w:val="21"/>
        </w:rPr>
        <w:t>部件）等，应用于航空航天、汽车、国防建设、冶金、隧道等掘进工程和采矿、</w:t>
      </w:r>
      <w:r>
        <w:rPr>
          <w:rFonts w:hint="default" w:ascii="Times New Roman" w:hAnsi="Times New Roman" w:eastAsia="宋体" w:cs="Times New Roman"/>
          <w:sz w:val="21"/>
          <w:szCs w:val="21"/>
        </w:rPr>
        <w:t>3C</w:t>
      </w:r>
      <w:r>
        <w:rPr>
          <w:rFonts w:hint="eastAsia" w:ascii="宋体" w:hAnsi="宋体" w:eastAsia="宋体" w:cs="宋体"/>
          <w:sz w:val="21"/>
          <w:szCs w:val="21"/>
        </w:rPr>
        <w:t>等工业领域。“博云”商标在美国和欧盟注册已有十余年。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w:t>
      </w:r>
      <w:r>
        <w:rPr>
          <w:rFonts w:hint="eastAsia" w:ascii="宋体" w:hAnsi="宋体" w:eastAsia="宋体" w:cs="宋体"/>
          <w:sz w:val="21"/>
          <w:szCs w:val="21"/>
        </w:rPr>
        <w:t>稀有金属粉体材料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Times New Roman" w:hAnsi="Times New Roman" w:cs="Times New Roman"/>
          <w:sz w:val="24"/>
          <w:szCs w:val="24"/>
        </w:rPr>
      </w:pPr>
      <w:r>
        <w:rPr>
          <w:rFonts w:hint="eastAsia" w:ascii="宋体" w:hAnsi="宋体" w:eastAsia="宋体" w:cs="宋体"/>
          <w:sz w:val="21"/>
          <w:szCs w:val="21"/>
        </w:rPr>
        <w:t>伟徽新材是专业从事稀有金属粉体新材料的研发、生产、销售的高新技术企业，公司主要产品分为碳化钽、碳化铬、碳化钒、碳化钛等一元碳化物，以及钨钛固溶体、钽铌固溶体、钨钛钽固溶体等多元复式碳化物。稀有金属碳化物粉末产品为硬质合金的重要添加剂和热喷涂材料的原料之一，并被最终应用于航空航天、汽车制造、国防军工、钢铁冶金、机械加工、电子通讯、矿山能源、建筑工程和海洋工程等各种领域。伟徽新材的核心技术为各种规格的稀有金属碳化物粉体材料的生产工艺和检测方法，涵盖了分析检测、工艺控制、流程优化等各个方面。伟徽新材分析检测中心于</w:t>
      </w:r>
      <w:r>
        <w:rPr>
          <w:rFonts w:hint="default" w:ascii="Times New Roman" w:hAnsi="Times New Roman" w:eastAsia="宋体" w:cs="Times New Roman"/>
          <w:sz w:val="21"/>
          <w:szCs w:val="21"/>
        </w:rPr>
        <w:t>2012</w:t>
      </w:r>
      <w:r>
        <w:rPr>
          <w:rFonts w:hint="eastAsia" w:ascii="宋体" w:hAnsi="宋体" w:eastAsia="宋体" w:cs="宋体"/>
          <w:sz w:val="21"/>
          <w:szCs w:val="21"/>
        </w:rPr>
        <w:t>年获得中国合格评定国家认可委员会（</w:t>
      </w:r>
      <w:r>
        <w:rPr>
          <w:rFonts w:hint="default" w:ascii="Times New Roman" w:hAnsi="Times New Roman" w:eastAsia="宋体" w:cs="Times New Roman"/>
          <w:sz w:val="21"/>
          <w:szCs w:val="21"/>
        </w:rPr>
        <w:t>CNAS</w:t>
      </w:r>
      <w:r>
        <w:rPr>
          <w:rFonts w:hint="eastAsia" w:ascii="宋体" w:hAnsi="宋体" w:eastAsia="宋体" w:cs="宋体"/>
          <w:sz w:val="21"/>
          <w:szCs w:val="21"/>
        </w:rPr>
        <w:t>）认可实验室证书并持续至今。</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both"/>
        <w:textAlignment w:val="auto"/>
        <w:rPr>
          <w:rFonts w:hint="default" w:ascii="宋体" w:hAnsi="宋体" w:eastAsia="宋体" w:cs="宋体"/>
          <w:sz w:val="21"/>
          <w:szCs w:val="21"/>
        </w:rPr>
      </w:pPr>
      <w:r>
        <w:rPr>
          <w:rFonts w:hint="eastAsia" w:ascii="宋体" w:hAnsi="宋体" w:eastAsia="宋体" w:cs="宋体"/>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碳</w:t>
      </w:r>
      <w:r>
        <w:rPr>
          <w:rFonts w:hint="default" w:ascii="Times New Roman" w:hAnsi="Times New Roman" w:eastAsia="宋体" w:cs="Times New Roman"/>
          <w:sz w:val="21"/>
          <w:szCs w:val="21"/>
        </w:rPr>
        <w:t>/</w:t>
      </w:r>
      <w:r>
        <w:rPr>
          <w:rFonts w:hint="eastAsia" w:ascii="宋体" w:hAnsi="宋体" w:eastAsia="宋体" w:cs="宋体"/>
          <w:sz w:val="21"/>
          <w:szCs w:val="21"/>
        </w:rPr>
        <w:t>碳复合材料等基础研究－应用研究－产业化的创新链，促进了公司自主创新能力的稳步提升。</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spacing w:before="100" w:after="100" w:line="240" w:lineRule="exact"/>
        <w:jc w:val="left"/>
        <w:rPr>
          <w:rFonts w:ascii="宋体" w:hAnsi="宋体" w:eastAsia="宋体" w:cs="宋体"/>
          <w:b/>
          <w:bCs/>
          <w:sz w:val="21"/>
          <w:szCs w:val="21"/>
        </w:rPr>
      </w:pPr>
      <w:r>
        <w:rPr>
          <w:rFonts w:hint="eastAsia" w:ascii="宋体" w:hAnsi="宋体" w:eastAsia="宋体" w:cs="宋体"/>
          <w:b/>
          <w:bCs/>
          <w:sz w:val="21"/>
          <w:szCs w:val="21"/>
          <w:lang w:val="en-US" w:eastAsia="zh-CN"/>
        </w:rPr>
        <w:t>1、</w:t>
      </w:r>
      <w:r>
        <w:rPr>
          <w:rFonts w:ascii="宋体" w:hAnsi="宋体" w:eastAsia="宋体" w:cs="宋体"/>
          <w:b/>
          <w:bCs/>
          <w:sz w:val="21"/>
          <w:szCs w:val="21"/>
        </w:rPr>
        <w:t>概述</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pPr>
        <w:spacing w:before="100" w:after="100" w:line="240" w:lineRule="exact"/>
        <w:jc w:val="left"/>
        <w:rPr>
          <w:rFonts w:ascii="宋体" w:hAnsi="宋体" w:eastAsia="宋体" w:cs="宋体"/>
          <w:b/>
          <w:bCs/>
          <w:sz w:val="21"/>
          <w:szCs w:val="21"/>
        </w:rPr>
      </w:pPr>
      <w:r>
        <w:rPr>
          <w:rFonts w:hint="eastAsia" w:ascii="宋体" w:hAnsi="宋体" w:cs="宋体"/>
          <w:b/>
          <w:bCs/>
          <w:sz w:val="21"/>
          <w:szCs w:val="21"/>
          <w:lang w:val="en-US" w:eastAsia="zh-CN"/>
        </w:rPr>
        <w:t>2、</w:t>
      </w:r>
      <w:r>
        <w:rPr>
          <w:rFonts w:ascii="宋体" w:hAnsi="宋体" w:eastAsia="宋体" w:cs="宋体"/>
          <w:b/>
          <w:bCs/>
          <w:sz w:val="21"/>
          <w:szCs w:val="21"/>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818"/>
        <w:gridCol w:w="1800"/>
        <w:gridCol w:w="1320"/>
        <w:gridCol w:w="27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8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8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277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-0.23%</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0.85%</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71.35%</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主要为子公司博云东方产品保险费、差旅费、展览费等增加所致。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42.93%</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主要为利息费用增加及利息收入减少所致。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-61.38%</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主要为本期利润下降导致所得税费用减少所致。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37,534,252.40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29,439,271.47</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27.50%</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主要为本期研发投入增加所致。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-171.96%</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主要为本期收到的税费返还减少，因销售规模增加及原材料价格变动等影响增加备货使购买商品支付现金增加，支付给职工的现金增加，支付的各项税费增加所致。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-87,300,914.10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57,751,799.57</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-251.17%</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主要为本期收回投资收到的现金减少（无理财产品赎回）以及投资支付的现金减少（无理财产品购买）所致。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116,251,033.33</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3,637.61%</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主要为本期取得借款收到现金增加所致。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8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c>
          <w:tcPr>
            <w:tcW w:w="1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-229.22%</w:t>
            </w:r>
          </w:p>
        </w:tc>
        <w:tc>
          <w:tcPr>
            <w:tcW w:w="27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主要为本期经营活动产生的现金流量净额减少，及本期投资活动产生现金净流入减少所致。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公司报告期利润构成或利润来源没有发生重大变动。</w:t>
      </w:r>
    </w:p>
    <w:p>
      <w:pPr>
        <w:keepNext w:val="0"/>
        <w:keepLines w:val="0"/>
        <w:pageBreakBefore w:val="0"/>
        <w:widowControl w:val="0"/>
        <w:kinsoku/>
        <w:wordWrap/>
        <w:overflowPunct/>
        <w:topLinePunct w:val="0"/>
        <w:autoSpaceDE/>
        <w:autoSpaceDN/>
        <w:bidi w:val="0"/>
        <w:adjustRightInd/>
        <w:snapToGrid/>
        <w:spacing w:before="157" w:beforeLines="50" w:after="100" w:line="240" w:lineRule="exact"/>
        <w:jc w:val="left"/>
        <w:textAlignment w:val="auto"/>
        <w:rPr>
          <w:rFonts w:ascii="宋体" w:hAnsi="宋体" w:eastAsia="宋体" w:cs="宋体"/>
          <w:b/>
          <w:bCs/>
          <w:sz w:val="21"/>
          <w:szCs w:val="21"/>
        </w:rPr>
      </w:pPr>
      <w:r>
        <w:rPr>
          <w:rFonts w:hint="eastAsia" w:ascii="宋体" w:hAnsi="宋体" w:cs="宋体"/>
          <w:b/>
          <w:bCs/>
          <w:sz w:val="21"/>
          <w:szCs w:val="21"/>
          <w:lang w:val="en-US" w:eastAsia="zh-CN"/>
        </w:rPr>
        <w:t>3、</w:t>
      </w:r>
      <w:r>
        <w:rPr>
          <w:rFonts w:ascii="宋体" w:hAnsi="宋体" w:eastAsia="宋体" w:cs="宋体"/>
          <w:b/>
          <w:bCs/>
          <w:sz w:val="21"/>
          <w:szCs w:val="21"/>
        </w:rPr>
        <w:t>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eastAsia="宋体" w:cs="宋体"/>
                <w:i w:val="0"/>
                <w:iCs w:val="0"/>
                <w:caps w:val="0"/>
                <w:color w:val="auto"/>
                <w:spacing w:val="0"/>
                <w:sz w:val="18"/>
                <w:szCs w:val="18"/>
                <w:shd w:val="clear" w:fill="FFFFFF"/>
              </w:rPr>
              <w:t>碳/碳复合</w:t>
            </w:r>
            <w:r>
              <w:rPr>
                <w:rFonts w:ascii="宋体" w:hAnsi="宋体" w:eastAsia="宋体" w:cs="宋体"/>
                <w:sz w:val="18"/>
                <w:szCs w:val="18"/>
              </w:rPr>
              <w:t>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176,533,393.63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eastAsia="宋体" w:cs="宋体"/>
                <w:i w:val="0"/>
                <w:iCs w:val="0"/>
                <w:caps w:val="0"/>
                <w:color w:val="auto"/>
                <w:spacing w:val="0"/>
                <w:sz w:val="18"/>
                <w:szCs w:val="18"/>
                <w:shd w:val="clear" w:fill="FFFFFF"/>
              </w:rPr>
              <w:t>碳/碳复合材</w:t>
            </w:r>
            <w:r>
              <w:rPr>
                <w:rFonts w:ascii="宋体" w:hAnsi="宋体" w:eastAsia="宋体" w:cs="宋体"/>
                <w:sz w:val="18"/>
                <w:szCs w:val="18"/>
              </w:rPr>
              <w:t>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102,132,301.48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176,533,393.63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273,384,287.92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276,477,812.58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19,208,983.55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16,803,192.89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81"/>
        <w:gridCol w:w="1575"/>
        <w:gridCol w:w="1590"/>
        <w:gridCol w:w="870"/>
        <w:gridCol w:w="1369"/>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5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5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eastAsia="宋体" w:cs="宋体"/>
                <w:sz w:val="18"/>
                <w:szCs w:val="18"/>
              </w:rPr>
              <w:t>碳/碳</w:t>
            </w:r>
            <w:r>
              <w:rPr>
                <w:rFonts w:ascii="宋体" w:hAnsi="宋体" w:eastAsia="宋体" w:cs="宋体"/>
                <w:sz w:val="18"/>
                <w:szCs w:val="18"/>
              </w:rPr>
              <w:t>复合材料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63,665,542.44</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41.32%</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151,797,564.79</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eastAsia="宋体" w:cs="宋体"/>
                <w:i w:val="0"/>
                <w:iCs w:val="0"/>
                <w:caps w:val="0"/>
                <w:color w:val="auto"/>
                <w:spacing w:val="0"/>
                <w:sz w:val="18"/>
                <w:szCs w:val="18"/>
                <w:shd w:val="clear" w:fill="FFFFFF"/>
              </w:rPr>
              <w:t>碳/碳</w:t>
            </w:r>
            <w:r>
              <w:rPr>
                <w:rFonts w:ascii="宋体" w:hAnsi="宋体" w:eastAsia="宋体" w:cs="宋体"/>
                <w:color w:val="auto"/>
                <w:sz w:val="18"/>
                <w:szCs w:val="18"/>
              </w:rPr>
              <w:t>复</w:t>
            </w:r>
            <w:r>
              <w:rPr>
                <w:rFonts w:ascii="宋体" w:hAnsi="宋体" w:eastAsia="宋体" w:cs="宋体"/>
                <w:sz w:val="18"/>
                <w:szCs w:val="18"/>
              </w:rPr>
              <w:t>合材料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63,665,542.44</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41.32%</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151,797,564.79</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260,920,921.72</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202,732,983.62</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22.30%</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19,208,983.55</w:t>
            </w:r>
          </w:p>
        </w:tc>
        <w:tc>
          <w:tcPr>
            <w:tcW w:w="15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12,730,123.61</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33.73%</w:t>
            </w:r>
          </w:p>
        </w:tc>
        <w:tc>
          <w:tcPr>
            <w:tcW w:w="13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750"/>
        <w:gridCol w:w="2355"/>
        <w:gridCol w:w="16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3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6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1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-67.73%</w:t>
            </w:r>
          </w:p>
        </w:tc>
        <w:tc>
          <w:tcPr>
            <w:tcW w:w="2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主要为本期合资公司项目投资亏损所致</w:t>
            </w:r>
          </w:p>
        </w:tc>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c>
          <w:tcPr>
            <w:tcW w:w="1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-7.58%</w:t>
            </w:r>
          </w:p>
        </w:tc>
        <w:tc>
          <w:tcPr>
            <w:tcW w:w="2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主要为本期计提存货、其他流动资产减值所致</w:t>
            </w:r>
          </w:p>
        </w:tc>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206,900.66</w:t>
            </w:r>
          </w:p>
        </w:tc>
        <w:tc>
          <w:tcPr>
            <w:tcW w:w="1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w:t>
            </w:r>
          </w:p>
        </w:tc>
        <w:tc>
          <w:tcPr>
            <w:tcW w:w="2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10,905.31</w:t>
            </w:r>
          </w:p>
        </w:tc>
        <w:tc>
          <w:tcPr>
            <w:tcW w:w="1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c>
          <w:tcPr>
            <w:tcW w:w="1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w:t>
            </w:r>
          </w:p>
        </w:tc>
        <w:tc>
          <w:tcPr>
            <w:tcW w:w="2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主要为本期计提应收账款、应收票据及其他应收款坏账准备所致</w:t>
            </w:r>
          </w:p>
        </w:tc>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18" w:name="_Toc988907"/>
      <w:r>
        <w:rPr>
          <w:rFonts w:ascii="宋体" w:hAnsi="宋体" w:eastAsia="宋体" w:cs="宋体"/>
          <w:b/>
          <w:bCs/>
          <w:sz w:val="24"/>
          <w:szCs w:val="24"/>
        </w:rPr>
        <w:t>五、资产及负债状况分析</w:t>
      </w:r>
      <w:bookmarkEnd w:id="18"/>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709"/>
        <w:gridCol w:w="1245"/>
        <w:gridCol w:w="1515"/>
        <w:gridCol w:w="1039"/>
        <w:gridCol w:w="926"/>
        <w:gridCol w:w="1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9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5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92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81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5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92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81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559,658,678.83</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22.43%</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331,750,395.41</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比年初增长41.98%，主要为本期回款减少以及数字化应收账款债权凭证增加所致。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733,009.71</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524,229,179.82</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18.50%</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长期股权投资</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比年初减少28.96%，主要为本期合资公司亏损所致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575,734,299.99</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7.49%</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比年初增长29.31%，主要为本期子公司博云东方麓谷基地产业化项目投入增加所致。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169,500,000.00</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比年初增长238.68%，为本期子公司博云东方短期流动资金贷款增加所致。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15,713,535.74</w:t>
            </w: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0.22%</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比年初增长79.48%，为本期公司预收货款增加所致。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17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c>
          <w:tcPr>
            <w:tcW w:w="10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w:t>
            </w:r>
          </w:p>
        </w:tc>
        <w:tc>
          <w:tcPr>
            <w:tcW w:w="9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w:t>
            </w:r>
          </w:p>
        </w:tc>
        <w:tc>
          <w:tcPr>
            <w:tcW w:w="1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79" w:rightChars="-38"/>
              <w:jc w:val="left"/>
              <w:rPr>
                <w:rFonts w:ascii="宋体" w:hAnsi="宋体" w:eastAsia="宋体" w:cs="宋体"/>
                <w:sz w:val="18"/>
                <w:szCs w:val="18"/>
              </w:rPr>
            </w:pPr>
            <w:r>
              <w:rPr>
                <w:rFonts w:ascii="宋体" w:hAnsi="宋体" w:eastAsia="宋体" w:cs="宋体"/>
                <w:sz w:val="18"/>
                <w:szCs w:val="18"/>
              </w:rPr>
              <w:t>纯减少，为母公司长期借款于2024年6月到期，重分类至一年内到期的非流动负债所致。</w:t>
            </w:r>
          </w:p>
        </w:tc>
      </w:tr>
    </w:tbl>
    <w:p>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42,320,870.48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43,352,547.31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100,809,024.73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42,320,870.48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43,352,547.31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99,777,347.90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详见第十节“财务报告”中七、合并财务报表注</w:t>
      </w:r>
      <w:r>
        <w:rPr>
          <w:rFonts w:hint="eastAsia" w:ascii="宋体" w:hAnsi="宋体" w:eastAsia="宋体" w:cs="宋体"/>
          <w:b w:val="0"/>
          <w:bCs w:val="0"/>
          <w:sz w:val="18"/>
          <w:szCs w:val="18"/>
        </w:rPr>
        <w:t>释“第57点”所有</w:t>
      </w:r>
      <w:r>
        <w:rPr>
          <w:rFonts w:hint="eastAsia" w:ascii="宋体" w:hAnsi="宋体" w:eastAsia="宋体" w:cs="宋体"/>
          <w:sz w:val="18"/>
          <w:szCs w:val="18"/>
        </w:rPr>
        <w:t>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ascii="宋体" w:hAnsi="宋体" w:eastAsia="宋体" w:cs="宋体"/>
          <w:b/>
          <w:bCs/>
          <w:sz w:val="18"/>
          <w:szCs w:val="18"/>
        </w:rPr>
      </w:pPr>
      <w:bookmarkStart w:id="31" w:name="_Toc988920"/>
      <w:r>
        <w:rPr>
          <w:rFonts w:ascii="宋体" w:hAnsi="宋体" w:eastAsia="宋体" w:cs="宋体"/>
          <w:b/>
          <w:bCs/>
          <w:sz w:val="18"/>
          <w:szCs w:val="18"/>
        </w:rPr>
        <w:t>（1） 募集资金总体使用情况</w:t>
      </w:r>
      <w:bookmarkEnd w:id="3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9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1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1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62,809.66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45,548.99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17,550.62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募集资金专户存放</w:t>
            </w: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62,809.66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45,548.99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17,550.62</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1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2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29"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度非公开发行募集资金总额为62,809.66万元，实际募集资金净额为人民币62,615.98万元。截至2023年6月30日，公司累计使用募集资金金额人民币45,548.99万元（其中，高效精密硬质合金工模具与高强韧性特粗晶硬质合金掘进刀具麓谷基地产业化项目使用38,955.99万元，补充流动资金项目使用6,572.9万元），非公开发行募集资金专用账户</w:t>
            </w:r>
            <w:r>
              <w:rPr>
                <w:rFonts w:ascii="宋体" w:hAnsi="宋体" w:eastAsia="宋体" w:cs="宋体"/>
                <w:sz w:val="18"/>
                <w:szCs w:val="18"/>
                <w:highlight w:val="none"/>
              </w:rPr>
              <w:t>存放余额为2,550.62万元,部分闲置募集资金暂时补充流动资金15,000.00万元。与实际募集资金净额余额人民币62,615.98万元的差异金额为人民币483.63万元，</w:t>
            </w:r>
            <w:r>
              <w:rPr>
                <w:rFonts w:hint="eastAsia" w:ascii="宋体" w:hAnsi="宋体" w:cs="宋体"/>
                <w:sz w:val="18"/>
                <w:szCs w:val="18"/>
                <w:highlight w:val="none"/>
                <w:lang w:eastAsia="zh-CN"/>
              </w:rPr>
              <w:t>该</w:t>
            </w:r>
            <w:r>
              <w:rPr>
                <w:rFonts w:ascii="宋体" w:hAnsi="宋体" w:eastAsia="宋体" w:cs="宋体"/>
                <w:sz w:val="18"/>
                <w:szCs w:val="18"/>
                <w:highlight w:val="none"/>
              </w:rPr>
              <w:t>4</w:t>
            </w:r>
            <w:r>
              <w:rPr>
                <w:rFonts w:ascii="宋体" w:hAnsi="宋体" w:eastAsia="宋体" w:cs="宋体"/>
                <w:sz w:val="18"/>
                <w:szCs w:val="18"/>
              </w:rPr>
              <w:t>83.63万元差异系募集资金累计利息收入扣除银行手续费支出后的净额。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18"/>
          <w:szCs w:val="18"/>
        </w:rPr>
      </w:pPr>
      <w:bookmarkStart w:id="32" w:name="_Toc988921"/>
      <w:r>
        <w:rPr>
          <w:rFonts w:ascii="宋体" w:hAnsi="宋体" w:eastAsia="宋体" w:cs="宋体"/>
          <w:b/>
          <w:bCs/>
          <w:sz w:val="18"/>
          <w:szCs w:val="18"/>
        </w:rPr>
        <w:t>（2） 募集资金承诺项目情况</w:t>
      </w:r>
      <w:bookmarkEnd w:id="3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1"/>
        <w:gridCol w:w="720"/>
        <w:gridCol w:w="870"/>
        <w:gridCol w:w="975"/>
        <w:gridCol w:w="810"/>
        <w:gridCol w:w="870"/>
        <w:gridCol w:w="795"/>
        <w:gridCol w:w="915"/>
        <w:gridCol w:w="628"/>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9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8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8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6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5,278.86</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38,976.09</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69.46%</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5,278.86</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45,548.99</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7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9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8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5,278.86</w:t>
            </w:r>
          </w:p>
        </w:tc>
        <w:tc>
          <w:tcPr>
            <w:tcW w:w="8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45,548.99</w:t>
            </w:r>
          </w:p>
        </w:tc>
        <w:tc>
          <w:tcPr>
            <w:tcW w:w="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分项目说明未达到计划进度、预计收益的情况和原因（含“是否达到预计效益”选择“不适用”的原因）</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以前年度发生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24日，公司第六届董事会第二十三次会议审议并通过了《湖南博云新材料股份有限公司关于调整募集资金投资项目部分实施内容的议案》，同意对“高效精密硬质合金工模具与高强韧性特粗晶硬质合金掘进刀具麓谷基地产业化项目”（以下简称“麓谷基地产业化项目”）部分实施内容进行调整，独立董事发表了明确同意意见。同日，上述议案亦经公司第六届监事会第十五次会议审议通过。保荐机构招商证券出具了对上述事项无异议的核查意见，公司履行了相应公告程序。2022年2月10日，公司2022年第一次临时股东大会审议通过该议案。</w:t>
            </w:r>
          </w:p>
          <w:p>
            <w:pPr>
              <w:spacing w:before="0" w:after="0" w:line="240" w:lineRule="exact"/>
              <w:jc w:val="left"/>
              <w:rPr>
                <w:rFonts w:ascii="宋体" w:hAnsi="宋体" w:eastAsia="宋体" w:cs="宋体"/>
                <w:sz w:val="18"/>
                <w:szCs w:val="18"/>
              </w:rPr>
            </w:pPr>
            <w:r>
              <w:rPr>
                <w:rFonts w:ascii="宋体" w:hAnsi="宋体" w:eastAsia="宋体" w:cs="宋体"/>
                <w:sz w:val="18"/>
                <w:szCs w:val="18"/>
              </w:rPr>
              <w:t>调整内容主要为：新增年产430吨硬质合金棒材，取消年产30万支整体刀具项目，将原用于刀具项目的设备投资款改用于购置新增年产430吨棒材所需设备。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天职国际会计师事务所有限公司于2021年8月6日出具了“天职业字[2021]35872号”《关于湖南博云新材料股份有限公司以募集资金置换预先投入募投项目及已支付发行费用的自筹资金的专项鉴证报告》，截至2021年8月5日，公司预先投入募集资金投资项目及以自筹资金支付的发行费用合计为人民币15,641.29万元。公司于2021年8月18日召开了第六届董事会第十九次会议，审议并通过了《关于以募集资金置换预先投入募投项目及已支付发行费用的自筹资金的议案》，同意公司使用募集资金置换预先投入募投项目及已支付发行费用的自筹资金15,641.29万元。针对上述事项，监事会与独立董事发表了同意意见，招商证券股份有限公司出具了无异议的核查意见，公司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18日，公司第六届董事会第十九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2022年8月15日公司已将上述用于暂时补充流动资金的募集资金人民币15,000万元全部归还并转入公司募集资金专用账户。</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年8月19日公司第六届董事会第二十七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截至2023年6月30日，公司使用闲置募集资金暂时补充流动资金的金额为15,000.00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截至2023年6月30日，尚未使用的募集资金合计17,550.62万元，其中募集资金专用账户存放余额为2,550.62万元,暂时补充流动资金15,000.00万元。尚未使用的募集资金将用于高效精密硬质合金工模具与高强韧性特粗晶硬质合金掘进刀具麓谷基地产业化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6745"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3"/>
        <w:rPr>
          <w:rFonts w:ascii="宋体" w:hAnsi="宋体" w:eastAsia="宋体" w:cs="宋体"/>
          <w:b/>
          <w:bCs/>
          <w:sz w:val="18"/>
          <w:szCs w:val="18"/>
        </w:rPr>
      </w:pPr>
      <w:bookmarkStart w:id="33" w:name="_Toc988922"/>
      <w:r>
        <w:rPr>
          <w:rFonts w:ascii="宋体" w:hAnsi="宋体" w:eastAsia="宋体" w:cs="宋体"/>
          <w:b/>
          <w:bCs/>
          <w:sz w:val="18"/>
          <w:szCs w:val="18"/>
        </w:rPr>
        <w:t>（3） 募集资金变更项目情况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七、重大资产和股权出售</w:t>
      </w:r>
      <w:bookmarkEnd w:id="34"/>
    </w:p>
    <w:p>
      <w:pPr>
        <w:keepNext/>
        <w:keepLines/>
        <w:spacing w:before="300" w:after="300" w:line="280" w:lineRule="exact"/>
        <w:jc w:val="left"/>
        <w:outlineLvl w:val="2"/>
        <w:rPr>
          <w:rFonts w:ascii="宋体" w:hAnsi="宋体" w:eastAsia="宋体" w:cs="宋体"/>
          <w:b/>
          <w:bCs/>
          <w:sz w:val="21"/>
          <w:szCs w:val="21"/>
        </w:rPr>
      </w:pPr>
      <w:bookmarkStart w:id="35" w:name="_Toc988924"/>
      <w:r>
        <w:rPr>
          <w:rFonts w:ascii="宋体" w:hAnsi="宋体" w:eastAsia="宋体" w:cs="宋体"/>
          <w:b/>
          <w:bCs/>
          <w:sz w:val="21"/>
          <w:szCs w:val="21"/>
        </w:rPr>
        <w:t>1、出售重大资产情况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36" w:name="_Toc988925"/>
      <w:r>
        <w:rPr>
          <w:rFonts w:ascii="宋体" w:hAnsi="宋体" w:eastAsia="宋体" w:cs="宋体"/>
          <w:b/>
          <w:bCs/>
          <w:sz w:val="21"/>
          <w:szCs w:val="21"/>
        </w:rPr>
        <w:t>2、出售重大股权情况</w:t>
      </w:r>
      <w:bookmarkEnd w:id="36"/>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霍尼韦尔博云航空系统（湖南）有限公司（简称“合资公司”）31%的股权</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2021年12月28日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有助于降低博云新材的亏损额及对合资公司的资金持续投入压力，提升博云新材的竞争力。</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转让价格不得低于评估结果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尚未完成工商登记变更</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2021年12月13日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巨潮资讯网上《关于拟转让参股公司部分股权暨关联交易的公告》（公告编号：2021-097）</w:t>
            </w:r>
          </w:p>
        </w:tc>
      </w:tr>
    </w:tbl>
    <w:p>
      <w:pPr>
        <w:keepNext/>
        <w:keepLines/>
        <w:spacing w:before="300" w:after="300" w:line="320" w:lineRule="exact"/>
        <w:jc w:val="left"/>
        <w:outlineLvl w:val="1"/>
        <w:rPr>
          <w:rFonts w:ascii="宋体" w:hAnsi="宋体" w:eastAsia="宋体" w:cs="宋体"/>
          <w:b/>
          <w:bCs/>
          <w:sz w:val="24"/>
          <w:szCs w:val="24"/>
        </w:rPr>
      </w:pPr>
      <w:bookmarkStart w:id="37" w:name="_Toc988926"/>
      <w:r>
        <w:rPr>
          <w:rFonts w:ascii="宋体" w:hAnsi="宋体" w:eastAsia="宋体" w:cs="宋体"/>
          <w:b/>
          <w:bCs/>
          <w:sz w:val="24"/>
          <w:szCs w:val="24"/>
        </w:rPr>
        <w:t>八、主要控股参股公司分析</w:t>
      </w:r>
      <w:bookmarkEnd w:id="3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10259" w:type="dxa"/>
        <w:tblInd w:w="-27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6"/>
        <w:gridCol w:w="675"/>
        <w:gridCol w:w="1192"/>
        <w:gridCol w:w="956"/>
        <w:gridCol w:w="1071"/>
        <w:gridCol w:w="1071"/>
        <w:gridCol w:w="1071"/>
        <w:gridCol w:w="1437"/>
        <w:gridCol w:w="14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1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4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1,102,086,654.71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783,353,405.29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129,925,634.04</w:t>
            </w:r>
          </w:p>
        </w:tc>
        <w:tc>
          <w:tcPr>
            <w:tcW w:w="14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2" w:rightChars="-87"/>
              <w:jc w:val="both"/>
              <w:rPr>
                <w:rFonts w:ascii="宋体" w:hAnsi="宋体" w:eastAsia="宋体" w:cs="宋体"/>
                <w:sz w:val="18"/>
                <w:szCs w:val="18"/>
              </w:rPr>
            </w:pPr>
            <w:r>
              <w:rPr>
                <w:rFonts w:ascii="宋体" w:hAnsi="宋体" w:eastAsia="宋体" w:cs="宋体"/>
                <w:sz w:val="18"/>
                <w:szCs w:val="18"/>
              </w:rPr>
              <w:t>-2,362,252.10</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-1,815,745.93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666,661,915.63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228,689,357.77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38,729,870.04</w:t>
            </w:r>
          </w:p>
        </w:tc>
        <w:tc>
          <w:tcPr>
            <w:tcW w:w="14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-8,330,186.53</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09" w:rightChars="-52"/>
              <w:jc w:val="both"/>
              <w:rPr>
                <w:rFonts w:ascii="宋体" w:hAnsi="宋体" w:eastAsia="宋体" w:cs="宋体"/>
                <w:sz w:val="18"/>
                <w:szCs w:val="18"/>
              </w:rPr>
            </w:pPr>
            <w:r>
              <w:rPr>
                <w:rFonts w:ascii="宋体" w:hAnsi="宋体" w:eastAsia="宋体" w:cs="宋体"/>
                <w:sz w:val="18"/>
                <w:szCs w:val="18"/>
              </w:rPr>
              <w:t>-8,177,427.85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240,019,897.72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209,880,710.80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48,998,652.01</w:t>
            </w:r>
          </w:p>
        </w:tc>
        <w:tc>
          <w:tcPr>
            <w:tcW w:w="14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1,880,155.48</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1,597,764.32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6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1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286,229,596.03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48,338,809.24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3,102,023.20</w:t>
            </w:r>
          </w:p>
        </w:tc>
        <w:tc>
          <w:tcPr>
            <w:tcW w:w="14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42" w:rightChars="-68"/>
              <w:jc w:val="both"/>
              <w:rPr>
                <w:rFonts w:ascii="宋体" w:hAnsi="宋体" w:eastAsia="宋体" w:cs="宋体"/>
                <w:sz w:val="18"/>
                <w:szCs w:val="18"/>
              </w:rPr>
            </w:pPr>
            <w:r>
              <w:rPr>
                <w:rFonts w:ascii="宋体" w:hAnsi="宋体" w:eastAsia="宋体" w:cs="宋体"/>
                <w:sz w:val="18"/>
                <w:szCs w:val="18"/>
              </w:rPr>
              <w:t>-19,656,361.88</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09" w:rightChars="-52"/>
              <w:jc w:val="center"/>
              <w:rPr>
                <w:rFonts w:ascii="宋体" w:hAnsi="宋体" w:eastAsia="宋体" w:cs="宋体"/>
                <w:sz w:val="18"/>
                <w:szCs w:val="18"/>
              </w:rPr>
            </w:pPr>
            <w:r>
              <w:rPr>
                <w:rFonts w:ascii="宋体" w:hAnsi="宋体" w:eastAsia="宋体" w:cs="宋体"/>
                <w:sz w:val="18"/>
                <w:szCs w:val="18"/>
              </w:rPr>
              <w:t>-19,624,293.44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bookmarkStart w:id="360" w:name="_GoBack"/>
      <w:bookmarkEnd w:id="360"/>
    </w:p>
    <w:p>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九、公司控制的结构化主体情况</w:t>
      </w:r>
      <w:bookmarkEnd w:id="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9" w:name="_Toc988928"/>
      <w:r>
        <w:rPr>
          <w:rFonts w:ascii="宋体" w:hAnsi="宋体" w:eastAsia="宋体" w:cs="宋体"/>
          <w:b/>
          <w:bCs/>
          <w:sz w:val="24"/>
          <w:szCs w:val="24"/>
        </w:rPr>
        <w:t>十、公司面临的风险和应对措施</w:t>
      </w:r>
      <w:bookmarkEnd w:id="39"/>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jc w:val="left"/>
        <w:textAlignment w:val="auto"/>
        <w:rPr>
          <w:rFonts w:hint="default" w:ascii="Times New Roman" w:hAnsi="Times New Roman" w:cs="Times New Roman"/>
          <w:b/>
          <w:bCs/>
          <w:sz w:val="21"/>
          <w:szCs w:val="21"/>
        </w:rPr>
      </w:pPr>
      <w:r>
        <w:rPr>
          <w:rStyle w:val="5"/>
          <w:rFonts w:hint="default" w:ascii="Times New Roman" w:hAnsi="Times New Roman" w:eastAsia="宋体" w:cs="Times New Roman"/>
          <w:b/>
          <w:bCs/>
          <w:sz w:val="21"/>
          <w:szCs w:val="21"/>
        </w:rPr>
        <w:t>1</w:t>
      </w:r>
      <w:r>
        <w:rPr>
          <w:rStyle w:val="5"/>
          <w:rFonts w:hint="eastAsia" w:ascii="宋体" w:hAnsi="宋体" w:eastAsia="宋体" w:cs="宋体"/>
          <w:b/>
          <w:bCs/>
          <w:sz w:val="21"/>
          <w:szCs w:val="21"/>
        </w:rPr>
        <w:t>、经营管理风险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随着公司项目建设的推进，产能逐步增加，公司在战略规划、制度建设、组织设置、运营管理、资金管理和内部控制等方面将面临更大的挑战。尽管公司建立了相对规范的法人治理结构、质量管理体系，生产经营能保持有序运行，但存在现有管理体系不能完全适应公司发展的可能性，给企业的生产经营带来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对策：本公司根据战略规划，不断完善各项制度，建立有效的内部控制制度；制定科学的人力资源政策，加大对员工培训的力度；加强对资金的管理，拓宽融资的渠道；加强子公司业务管理，从而降低经营管理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jc w:val="left"/>
        <w:textAlignment w:val="auto"/>
        <w:rPr>
          <w:rFonts w:hint="default" w:ascii="Times New Roman" w:hAnsi="Times New Roman" w:cs="Times New Roman"/>
          <w:b/>
          <w:bCs/>
          <w:sz w:val="21"/>
          <w:szCs w:val="21"/>
        </w:rPr>
      </w:pPr>
      <w:r>
        <w:rPr>
          <w:rStyle w:val="5"/>
          <w:rFonts w:hint="default" w:ascii="Times New Roman" w:hAnsi="Times New Roman" w:eastAsia="宋体" w:cs="Times New Roman"/>
          <w:b/>
          <w:bCs/>
          <w:sz w:val="21"/>
          <w:szCs w:val="21"/>
        </w:rPr>
        <w:t>2</w:t>
      </w:r>
      <w:r>
        <w:rPr>
          <w:rStyle w:val="5"/>
          <w:rFonts w:hint="eastAsia" w:ascii="宋体" w:hAnsi="宋体" w:eastAsia="宋体" w:cs="宋体"/>
          <w:b/>
          <w:bCs/>
          <w:sz w:val="21"/>
          <w:szCs w:val="21"/>
        </w:rPr>
        <w:t>、价格波动风险。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公司主要产品特别是硬质合金产品的价格及主要原材料、能源价格波动将显著影响公司年度利润目标的实现。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对策：紧盯主要原材料价格行情，分析研判价格变动趋势，制定有利的采购方案，同时高效组织好原材料购买、产品生产、销售等，降低周转周期，加强生产及采购成本费用控制等。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jc w:val="left"/>
        <w:textAlignment w:val="auto"/>
        <w:rPr>
          <w:rFonts w:hint="default" w:ascii="Times New Roman" w:hAnsi="Times New Roman" w:cs="Times New Roman"/>
          <w:b/>
          <w:bCs/>
          <w:sz w:val="21"/>
          <w:szCs w:val="21"/>
        </w:rPr>
      </w:pPr>
      <w:r>
        <w:rPr>
          <w:rStyle w:val="5"/>
          <w:rFonts w:hint="default" w:ascii="Times New Roman" w:hAnsi="Times New Roman" w:eastAsia="宋体" w:cs="Times New Roman"/>
          <w:b/>
          <w:bCs/>
          <w:sz w:val="21"/>
          <w:szCs w:val="21"/>
        </w:rPr>
        <w:t>3</w:t>
      </w:r>
      <w:r>
        <w:rPr>
          <w:rStyle w:val="5"/>
          <w:rFonts w:hint="eastAsia" w:ascii="宋体" w:hAnsi="宋体" w:eastAsia="宋体" w:cs="宋体"/>
          <w:b/>
          <w:bCs/>
          <w:sz w:val="21"/>
          <w:szCs w:val="21"/>
        </w:rPr>
        <w:t>、存货较大的风险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公司产品的生产周期较长，客户要求的供货时间短，为满足客户需求，公司保持了较高的安全库存量。但是较高的安全库存量一方面占用公司大量的资金，造成资金短缺的风险；另一方面，一旦市场需求发生变化，或者客户订单达不到预期，大量的存货将会成为公司的负担，给公司的经营带来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jc w:val="left"/>
        <w:textAlignment w:val="auto"/>
        <w:rPr>
          <w:rFonts w:hint="default" w:ascii="Times New Roman" w:hAnsi="Times New Roman" w:cs="Times New Roman"/>
          <w:b/>
          <w:bCs/>
          <w:sz w:val="21"/>
          <w:szCs w:val="21"/>
        </w:rPr>
      </w:pPr>
      <w:r>
        <w:rPr>
          <w:rStyle w:val="5"/>
          <w:rFonts w:hint="default" w:ascii="Times New Roman" w:hAnsi="Times New Roman" w:eastAsia="宋体" w:cs="Times New Roman"/>
          <w:b/>
          <w:bCs/>
          <w:sz w:val="21"/>
          <w:szCs w:val="21"/>
        </w:rPr>
        <w:t>4</w:t>
      </w:r>
      <w:r>
        <w:rPr>
          <w:rStyle w:val="5"/>
          <w:rFonts w:hint="eastAsia" w:ascii="宋体" w:hAnsi="宋体" w:eastAsia="宋体" w:cs="宋体"/>
          <w:b/>
          <w:bCs/>
          <w:sz w:val="21"/>
          <w:szCs w:val="21"/>
        </w:rPr>
        <w:t>、市场开拓风险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公司在建项目投产后公司产能将会大幅提升，需要公司加大市场拓展力度，以消化新增产能。如果未来行业内竞争加剧，或公司市场拓展不达预期，将会造成公司产销率、产能利用率下降，因而会对公司经营业绩提升产生不利影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对策：公司将持续加强销售团队建设，加强营销模式与服务模式创新，提高销售人员业务能力；在稳固原有市场基础上，进一步开拓市场份额，提升综合竞争力。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2"/>
        <w:jc w:val="left"/>
        <w:textAlignment w:val="auto"/>
        <w:rPr>
          <w:rFonts w:hint="default" w:ascii="Times New Roman" w:hAnsi="Times New Roman" w:cs="Times New Roman"/>
          <w:b/>
          <w:bCs/>
          <w:sz w:val="21"/>
          <w:szCs w:val="21"/>
        </w:rPr>
      </w:pPr>
      <w:r>
        <w:rPr>
          <w:rStyle w:val="5"/>
          <w:rFonts w:hint="default" w:ascii="Times New Roman" w:hAnsi="Times New Roman" w:eastAsia="宋体" w:cs="Times New Roman"/>
          <w:b/>
          <w:bCs/>
          <w:sz w:val="21"/>
          <w:szCs w:val="21"/>
        </w:rPr>
        <w:t>5</w:t>
      </w:r>
      <w:r>
        <w:rPr>
          <w:rStyle w:val="5"/>
          <w:rFonts w:hint="eastAsia" w:ascii="宋体" w:hAnsi="宋体" w:eastAsia="宋体" w:cs="宋体"/>
          <w:b/>
          <w:bCs/>
          <w:sz w:val="21"/>
          <w:szCs w:val="21"/>
        </w:rPr>
        <w:t>、安全环保风险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0" w:right="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随着国家对安全生产、环境保护要求不断提高，有关安全环保的法律法规趋严，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default" w:ascii="Times New Roman" w:hAnsi="Times New Roman" w:cs="Times New Roman"/>
          <w:b w:val="0"/>
          <w:bCs w:val="0"/>
          <w:sz w:val="24"/>
          <w:szCs w:val="24"/>
        </w:rPr>
      </w:pPr>
      <w:r>
        <w:rPr>
          <w:rFonts w:hint="eastAsia" w:ascii="宋体" w:hAnsi="宋体" w:eastAsia="宋体" w:cs="宋体"/>
          <w:b w:val="0"/>
          <w:bCs w:val="0"/>
          <w:sz w:val="21"/>
          <w:szCs w:val="21"/>
        </w:rPr>
        <w:t>对策：加强生产安全管理，加强安全隐患排查和整改，加强环境风险管理，大力推进节能环保设备的应用。</w:t>
      </w:r>
    </w:p>
    <w:p>
      <w:pPr>
        <w:keepNext w:val="0"/>
        <w:keepLines w:val="0"/>
        <w:pageBreakBefore w:val="0"/>
        <w:kinsoku/>
        <w:wordWrap/>
        <w:overflowPunct/>
        <w:topLinePunct w:val="0"/>
        <w:autoSpaceDE/>
        <w:autoSpaceDN/>
        <w:bidi w:val="0"/>
        <w:adjustRightInd/>
        <w:snapToGrid/>
        <w:spacing w:line="360" w:lineRule="exact"/>
        <w:textAlignment w:val="auto"/>
        <w:rPr>
          <w:b w:val="0"/>
          <w:bCs w:val="0"/>
        </w:rPr>
      </w:pPr>
      <w:r>
        <w:rPr>
          <w:b w:val="0"/>
          <w:bCs w:val="0"/>
        </w:rPr>
        <w:br w:type="page"/>
      </w:r>
    </w:p>
    <w:p>
      <w:pPr>
        <w:keepNext/>
        <w:keepLines/>
        <w:spacing w:before="340" w:after="330" w:line="773" w:lineRule="exact"/>
        <w:jc w:val="center"/>
        <w:outlineLvl w:val="0"/>
        <w:rPr>
          <w:rFonts w:ascii="宋体" w:hAnsi="宋体" w:eastAsia="宋体" w:cs="宋体"/>
          <w:b/>
          <w:bCs/>
          <w:sz w:val="32"/>
          <w:szCs w:val="32"/>
        </w:rPr>
      </w:pPr>
      <w:bookmarkStart w:id="40" w:name="_Toc988929"/>
      <w:r>
        <w:rPr>
          <w:rFonts w:ascii="宋体" w:hAnsi="宋体" w:eastAsia="宋体" w:cs="宋体"/>
          <w:b/>
          <w:bCs/>
          <w:sz w:val="32"/>
          <w:szCs w:val="32"/>
        </w:rPr>
        <w:t>第四节 公司治理</w:t>
      </w:r>
      <w:bookmarkEnd w:id="40"/>
    </w:p>
    <w:p>
      <w:pPr>
        <w:keepNext/>
        <w:keepLines/>
        <w:spacing w:before="300" w:after="300" w:line="320" w:lineRule="exact"/>
        <w:jc w:val="left"/>
        <w:outlineLvl w:val="1"/>
        <w:rPr>
          <w:rFonts w:ascii="宋体" w:hAnsi="宋体" w:eastAsia="宋体" w:cs="宋体"/>
          <w:b/>
          <w:bCs/>
          <w:sz w:val="24"/>
          <w:szCs w:val="24"/>
        </w:rPr>
      </w:pPr>
      <w:bookmarkStart w:id="41" w:name="_Toc988930"/>
      <w:r>
        <w:rPr>
          <w:rFonts w:ascii="宋体" w:hAnsi="宋体" w:eastAsia="宋体" w:cs="宋体"/>
          <w:b/>
          <w:bCs/>
          <w:sz w:val="24"/>
          <w:szCs w:val="24"/>
        </w:rPr>
        <w:t>一、报告期内召开的年度股东大会和临时股东大会的有关情况</w:t>
      </w:r>
      <w:bookmarkEnd w:id="41"/>
    </w:p>
    <w:p>
      <w:pPr>
        <w:keepNext/>
        <w:keepLines/>
        <w:spacing w:before="300" w:after="300" w:line="280" w:lineRule="exact"/>
        <w:jc w:val="left"/>
        <w:outlineLvl w:val="2"/>
        <w:rPr>
          <w:rFonts w:ascii="宋体" w:hAnsi="宋体" w:eastAsia="宋体" w:cs="宋体"/>
          <w:b/>
          <w:bCs/>
          <w:sz w:val="21"/>
          <w:szCs w:val="21"/>
        </w:rPr>
      </w:pPr>
      <w:bookmarkStart w:id="42" w:name="_Toc988931"/>
      <w:r>
        <w:rPr>
          <w:rFonts w:ascii="宋体" w:hAnsi="宋体" w:eastAsia="宋体" w:cs="宋体"/>
          <w:b/>
          <w:bCs/>
          <w:sz w:val="21"/>
          <w:szCs w:val="21"/>
        </w:rPr>
        <w:t>1、本报告期股东大会情况</w:t>
      </w:r>
      <w:bookmarkEnd w:id="42"/>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254"/>
        <w:gridCol w:w="1200"/>
        <w:gridCol w:w="1155"/>
        <w:gridCol w:w="2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2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28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2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31.26%</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2023年06月30日</w:t>
            </w:r>
          </w:p>
        </w:tc>
        <w:tc>
          <w:tcPr>
            <w:tcW w:w="28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详见刊登于指定媒体和巨潮资讯网的《湖南博云新材料股份有限公司2022年年度股东大会决议公告 》（公告编号为2023-024）</w:t>
            </w:r>
          </w:p>
        </w:tc>
      </w:tr>
    </w:tbl>
    <w:p>
      <w:pPr>
        <w:keepNext/>
        <w:keepLines/>
        <w:spacing w:before="300" w:after="300" w:line="280" w:lineRule="exact"/>
        <w:jc w:val="left"/>
        <w:outlineLvl w:val="2"/>
        <w:rPr>
          <w:rFonts w:ascii="宋体" w:hAnsi="宋体" w:eastAsia="宋体" w:cs="宋体"/>
          <w:b/>
          <w:bCs/>
          <w:sz w:val="21"/>
          <w:szCs w:val="21"/>
        </w:rPr>
      </w:pPr>
      <w:bookmarkStart w:id="43" w:name="_Toc988932"/>
      <w:r>
        <w:rPr>
          <w:rFonts w:ascii="宋体" w:hAnsi="宋体" w:eastAsia="宋体" w:cs="宋体"/>
          <w:b/>
          <w:bCs/>
          <w:sz w:val="21"/>
          <w:szCs w:val="21"/>
        </w:rPr>
        <w:t>2、表决权恢复的优先股股东请求召开临时股东大会</w:t>
      </w:r>
      <w:bookmarkEnd w:id="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4" w:name="_Toc988933"/>
      <w:r>
        <w:rPr>
          <w:rFonts w:ascii="宋体" w:hAnsi="宋体" w:eastAsia="宋体" w:cs="宋体"/>
          <w:b/>
          <w:bCs/>
          <w:sz w:val="24"/>
          <w:szCs w:val="24"/>
        </w:rPr>
        <w:t>二、公司董事、监事、高级管理人员变动情况</w:t>
      </w:r>
      <w:bookmarkEnd w:id="4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李寒波</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谭强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因工作原因辞去监事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2023年06月29日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股东大会选举</w:t>
            </w:r>
          </w:p>
        </w:tc>
      </w:tr>
    </w:tbl>
    <w:p>
      <w:pPr>
        <w:keepNext/>
        <w:keepLines/>
        <w:spacing w:before="300" w:after="300" w:line="320" w:lineRule="exact"/>
        <w:jc w:val="left"/>
        <w:outlineLvl w:val="1"/>
        <w:rPr>
          <w:rFonts w:ascii="宋体" w:hAnsi="宋体" w:eastAsia="宋体" w:cs="宋体"/>
          <w:b/>
          <w:bCs/>
          <w:sz w:val="24"/>
          <w:szCs w:val="24"/>
        </w:rPr>
      </w:pPr>
      <w:bookmarkStart w:id="45" w:name="_Toc988934"/>
      <w:r>
        <w:rPr>
          <w:rFonts w:ascii="宋体" w:hAnsi="宋体" w:eastAsia="宋体" w:cs="宋体"/>
          <w:b/>
          <w:bCs/>
          <w:sz w:val="24"/>
          <w:szCs w:val="24"/>
        </w:rPr>
        <w:t>三、本报告期利润分配及资本公积金转增股本情况</w:t>
      </w:r>
      <w:bookmarkEnd w:id="45"/>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四、公司股权激励计划、员工持股计划或其他员工激励措施的实施情况</w:t>
      </w:r>
      <w:bookmarkEnd w:id="4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r>
        <w:br w:type="page"/>
      </w:r>
    </w:p>
    <w:p>
      <w:pPr>
        <w:keepNext/>
        <w:keepLines/>
        <w:spacing w:before="340" w:after="330" w:line="773" w:lineRule="exact"/>
        <w:jc w:val="center"/>
        <w:outlineLvl w:val="0"/>
        <w:rPr>
          <w:rFonts w:ascii="宋体" w:hAnsi="宋体" w:eastAsia="宋体" w:cs="宋体"/>
          <w:b/>
          <w:bCs/>
          <w:sz w:val="32"/>
          <w:szCs w:val="32"/>
        </w:rPr>
      </w:pPr>
      <w:bookmarkStart w:id="47" w:name="_Toc988936"/>
      <w:r>
        <w:rPr>
          <w:rFonts w:ascii="宋体" w:hAnsi="宋体" w:eastAsia="宋体" w:cs="宋体"/>
          <w:b/>
          <w:bCs/>
          <w:sz w:val="32"/>
          <w:szCs w:val="32"/>
        </w:rPr>
        <w:t>第五节 环境和社会责任</w:t>
      </w:r>
      <w:bookmarkEnd w:id="47"/>
    </w:p>
    <w:p>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一、重大环保问题情况</w:t>
      </w:r>
      <w:bookmarkEnd w:id="48"/>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2"/>
        <w:keepNext w:val="0"/>
        <w:keepLines w:val="0"/>
        <w:widowControl/>
        <w:suppressLineNumbers w:val="0"/>
      </w:pPr>
      <w:r>
        <w:rPr>
          <w:rFonts w:hint="eastAsia"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2"/>
        <w:keepNext w:val="0"/>
        <w:keepLines w:val="0"/>
        <w:widowControl/>
        <w:suppressLineNumbers w:val="0"/>
      </w:pPr>
      <w:r>
        <w:rPr>
          <w:rFonts w:hint="eastAsia"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二、社会责任情况</w:t>
      </w:r>
      <w:bookmarkEnd w:id="49"/>
    </w:p>
    <w:p>
      <w:pPr>
        <w:pStyle w:val="2"/>
        <w:keepNext w:val="0"/>
        <w:keepLines w:val="0"/>
        <w:widowControl/>
        <w:suppressLineNumbers w:val="0"/>
      </w:pPr>
      <w:r>
        <w:rPr>
          <w:rFonts w:hint="eastAsia" w:ascii="宋体" w:hAnsi="宋体" w:eastAsia="宋体" w:cs="宋体"/>
          <w:sz w:val="18"/>
          <w:szCs w:val="18"/>
        </w:rPr>
        <w:t>无</w:t>
      </w:r>
    </w:p>
    <w:p>
      <w:r>
        <w:br w:type="page"/>
      </w:r>
    </w:p>
    <w:p>
      <w:pPr>
        <w:keepNext/>
        <w:keepLines/>
        <w:spacing w:before="340" w:after="330" w:line="773" w:lineRule="exact"/>
        <w:jc w:val="center"/>
        <w:outlineLvl w:val="0"/>
        <w:rPr>
          <w:rFonts w:ascii="宋体" w:hAnsi="宋体" w:eastAsia="宋体" w:cs="宋体"/>
          <w:b/>
          <w:bCs/>
          <w:sz w:val="32"/>
          <w:szCs w:val="32"/>
        </w:rPr>
      </w:pPr>
      <w:bookmarkStart w:id="50" w:name="_Toc988939"/>
      <w:r>
        <w:rPr>
          <w:rFonts w:ascii="宋体" w:hAnsi="宋体" w:eastAsia="宋体" w:cs="宋体"/>
          <w:b/>
          <w:bCs/>
          <w:sz w:val="32"/>
          <w:szCs w:val="32"/>
        </w:rPr>
        <w:t>第六节 重要事项</w:t>
      </w:r>
      <w:bookmarkEnd w:id="50"/>
    </w:p>
    <w:p>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5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2450"/>
        <w:gridCol w:w="1050"/>
        <w:gridCol w:w="1035"/>
        <w:gridCol w:w="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24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0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10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97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首次公开发行或再融资时所作承诺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间接控股股东湖南兴湘投资控股集团有限公司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2020年非公开发行股份限售承诺</w:t>
            </w:r>
          </w:p>
        </w:tc>
        <w:tc>
          <w:tcPr>
            <w:tcW w:w="2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本人承诺在本次发行过程中认购的博云新材股票自新增股份上市之日起18个月内不得转让。本公司/本人特申请将在本次发行过程中认购的博云新材股票进行锁定处理，锁定期自博云新材新增股份上市之日起满18个月。</w:t>
            </w:r>
          </w:p>
        </w:tc>
        <w:tc>
          <w:tcPr>
            <w:tcW w:w="10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2021年8月6日至2023年2月6日</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控股股东粉冶中心及股东高创投</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作出避免同业竞争承诺，除在公司投资外，将不在任何区域投资或从事与公司相同或相近的业务。</w:t>
            </w:r>
          </w:p>
        </w:tc>
        <w:tc>
          <w:tcPr>
            <w:tcW w:w="10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2008年01月18日</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长期有效</w:t>
            </w:r>
          </w:p>
        </w:tc>
        <w:tc>
          <w:tcPr>
            <w:tcW w:w="9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bl>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二、控股股东及其他关联方对上市公司的非经营性占用资金情况</w:t>
      </w:r>
      <w:bookmarkEnd w:id="5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三、违规对外担保情况</w:t>
      </w:r>
      <w:bookmarkEnd w:id="5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四、聘任、解聘会计师事务所情况</w:t>
      </w:r>
      <w:bookmarkEnd w:id="54"/>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五、董事会、监事会对会计师事务所本报告期“非标准审计报告”的说明</w:t>
      </w:r>
      <w:bookmarkEnd w:id="5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六、董事会对上年度“非标准审计报告”相关情况的说明</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七、破产重整相关事项</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八、诉讼事项</w:t>
      </w:r>
      <w:bookmarkEnd w:id="58"/>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9" w:name="_Toc988948"/>
      <w:r>
        <w:rPr>
          <w:rFonts w:ascii="宋体" w:hAnsi="宋体" w:eastAsia="宋体" w:cs="宋体"/>
          <w:b/>
          <w:bCs/>
          <w:sz w:val="24"/>
          <w:szCs w:val="24"/>
        </w:rPr>
        <w:t>九、处罚及整改情况</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0" w:name="_Toc988949"/>
      <w:r>
        <w:rPr>
          <w:rFonts w:ascii="宋体" w:hAnsi="宋体" w:eastAsia="宋体" w:cs="宋体"/>
          <w:b/>
          <w:bCs/>
          <w:sz w:val="24"/>
          <w:szCs w:val="24"/>
        </w:rPr>
        <w:t>十、公司及其控股股东、实际控制人的诚信状况</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1" w:name="_Toc988950"/>
      <w:r>
        <w:rPr>
          <w:rFonts w:ascii="宋体" w:hAnsi="宋体" w:eastAsia="宋体" w:cs="宋体"/>
          <w:b/>
          <w:bCs/>
          <w:sz w:val="24"/>
          <w:szCs w:val="24"/>
        </w:rPr>
        <w:t>十一、重大关联交易</w:t>
      </w:r>
      <w:bookmarkEnd w:id="61"/>
    </w:p>
    <w:p>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1、与日常经营相关的关联交易</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2、资产或股权收购、出售发生的关联交易</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3、共同对外投资的关联交易</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4、关联债权债务往来</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66" w:name="_Toc988955"/>
      <w:r>
        <w:rPr>
          <w:rFonts w:ascii="宋体" w:hAnsi="宋体" w:eastAsia="宋体" w:cs="宋体"/>
          <w:b/>
          <w:bCs/>
          <w:sz w:val="21"/>
          <w:szCs w:val="21"/>
        </w:rPr>
        <w:t>5、与存在关联关系的财务公司的往来情况</w:t>
      </w:r>
      <w:bookmarkEnd w:id="6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6、公司控股的财务公司与关联方的往来情况</w:t>
      </w:r>
      <w:bookmarkEnd w:id="6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8" w:name="_Toc988957"/>
      <w:r>
        <w:rPr>
          <w:rFonts w:ascii="宋体" w:hAnsi="宋体" w:eastAsia="宋体" w:cs="宋体"/>
          <w:b/>
          <w:bCs/>
          <w:sz w:val="21"/>
          <w:szCs w:val="21"/>
        </w:rPr>
        <w:t>7、其他重大关联交易</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69" w:name="_Toc988958"/>
      <w:r>
        <w:rPr>
          <w:rFonts w:ascii="宋体" w:hAnsi="宋体" w:eastAsia="宋体" w:cs="宋体"/>
          <w:b/>
          <w:bCs/>
          <w:sz w:val="24"/>
          <w:szCs w:val="24"/>
        </w:rPr>
        <w:t>十二、重大合同及其履行情况</w:t>
      </w:r>
      <w:bookmarkEnd w:id="69"/>
    </w:p>
    <w:p>
      <w:pPr>
        <w:keepNext/>
        <w:keepLines/>
        <w:spacing w:before="300" w:after="300" w:line="280" w:lineRule="exact"/>
        <w:jc w:val="left"/>
        <w:outlineLvl w:val="2"/>
        <w:rPr>
          <w:rFonts w:ascii="宋体" w:hAnsi="宋体" w:eastAsia="宋体" w:cs="宋体"/>
          <w:b/>
          <w:bCs/>
          <w:sz w:val="21"/>
          <w:szCs w:val="21"/>
        </w:rPr>
      </w:pPr>
      <w:bookmarkStart w:id="70" w:name="_Toc988959"/>
      <w:r>
        <w:rPr>
          <w:rFonts w:ascii="宋体" w:hAnsi="宋体" w:eastAsia="宋体" w:cs="宋体"/>
          <w:b/>
          <w:bCs/>
          <w:sz w:val="21"/>
          <w:szCs w:val="21"/>
        </w:rPr>
        <w:t>1、托管、承包、租赁事项情况</w:t>
      </w:r>
      <w:bookmarkEnd w:id="70"/>
    </w:p>
    <w:p>
      <w:pPr>
        <w:keepNext/>
        <w:keepLines/>
        <w:spacing w:before="300" w:after="300" w:line="280" w:lineRule="exact"/>
        <w:jc w:val="left"/>
        <w:outlineLvl w:val="3"/>
        <w:rPr>
          <w:rFonts w:ascii="宋体" w:hAnsi="宋体" w:eastAsia="宋体" w:cs="宋体"/>
          <w:b/>
          <w:bCs/>
          <w:sz w:val="18"/>
          <w:szCs w:val="18"/>
        </w:rPr>
      </w:pPr>
      <w:bookmarkStart w:id="71" w:name="_Toc988960"/>
      <w:r>
        <w:rPr>
          <w:rFonts w:ascii="宋体" w:hAnsi="宋体" w:eastAsia="宋体" w:cs="宋体"/>
          <w:b/>
          <w:bCs/>
          <w:sz w:val="18"/>
          <w:szCs w:val="18"/>
        </w:rPr>
        <w:t>（1） 托管情况</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72" w:name="_Toc988961"/>
      <w:r>
        <w:rPr>
          <w:rFonts w:ascii="宋体" w:hAnsi="宋体" w:eastAsia="宋体" w:cs="宋体"/>
          <w:b/>
          <w:bCs/>
          <w:sz w:val="18"/>
          <w:szCs w:val="18"/>
        </w:rPr>
        <w:t>（2） 承包情况</w:t>
      </w:r>
      <w:bookmarkEnd w:id="7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73" w:name="_Toc988962"/>
      <w:r>
        <w:rPr>
          <w:rFonts w:ascii="宋体" w:hAnsi="宋体" w:eastAsia="宋体" w:cs="宋体"/>
          <w:b/>
          <w:bCs/>
          <w:sz w:val="18"/>
          <w:szCs w:val="18"/>
        </w:rPr>
        <w:t>（3） 租赁情况</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74" w:name="_Toc988963"/>
      <w:r>
        <w:rPr>
          <w:rFonts w:ascii="宋体" w:hAnsi="宋体" w:eastAsia="宋体" w:cs="宋体"/>
          <w:b/>
          <w:bCs/>
          <w:sz w:val="21"/>
          <w:szCs w:val="21"/>
        </w:rPr>
        <w:t>2、重大担保</w:t>
      </w:r>
      <w:bookmarkEnd w:id="7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6"/>
        <w:gridCol w:w="885"/>
        <w:gridCol w:w="825"/>
        <w:gridCol w:w="628"/>
        <w:gridCol w:w="876"/>
        <w:gridCol w:w="876"/>
        <w:gridCol w:w="740"/>
        <w:gridCol w:w="840"/>
        <w:gridCol w:w="1125"/>
        <w:gridCol w:w="799"/>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hint="eastAsia" w:ascii="宋体" w:hAnsi="宋体" w:eastAsia="宋体" w:cs="宋体"/>
                <w:sz w:val="18"/>
                <w:szCs w:val="18"/>
                <w:lang w:eastAsia="zh-CN"/>
              </w:rPr>
            </w:pPr>
            <w:r>
              <w:rPr>
                <w:rFonts w:hint="eastAsia" w:ascii="宋体" w:hAnsi="宋体" w:cs="宋体"/>
                <w:sz w:val="18"/>
                <w:szCs w:val="18"/>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2020年8月21日至2025年8月21日</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2022年4月26到2023年4月26日</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2021年7月5日至2023年7月4日</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8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连带责任担保</w:t>
            </w:r>
          </w:p>
        </w:tc>
        <w:tc>
          <w:tcPr>
            <w:tcW w:w="7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2023年3月16至2024年3月16</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14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4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6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7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7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报告期内审批担保额度合计（A1+B1+C1）</w:t>
            </w:r>
          </w:p>
        </w:tc>
        <w:tc>
          <w:tcPr>
            <w:tcW w:w="14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报告期内担保实际发生额合计（A2+B2+C2）</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报告期末已审批的担保额度合计（A3+B3+C3）</w:t>
            </w:r>
          </w:p>
        </w:tc>
        <w:tc>
          <w:tcPr>
            <w:tcW w:w="14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报告期末实际担保余额合计（A4+B4+C4）</w:t>
            </w:r>
          </w:p>
        </w:tc>
        <w:tc>
          <w:tcPr>
            <w:tcW w:w="4380"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实际担保总额（即A4+B4+C4）占公司净资产的比例</w:t>
            </w:r>
          </w:p>
        </w:tc>
        <w:tc>
          <w:tcPr>
            <w:tcW w:w="613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6"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采用复合方式担保的具体情况说明</w:t>
      </w:r>
    </w:p>
    <w:p>
      <w:pPr>
        <w:keepNext/>
        <w:keepLines/>
        <w:spacing w:before="300" w:after="300" w:line="280" w:lineRule="exact"/>
        <w:jc w:val="left"/>
        <w:outlineLvl w:val="2"/>
        <w:rPr>
          <w:rFonts w:ascii="宋体" w:hAnsi="宋体" w:eastAsia="宋体" w:cs="宋体"/>
          <w:b/>
          <w:bCs/>
          <w:sz w:val="21"/>
          <w:szCs w:val="21"/>
        </w:rPr>
      </w:pPr>
      <w:bookmarkStart w:id="75" w:name="_Toc988964"/>
      <w:r>
        <w:rPr>
          <w:rFonts w:ascii="宋体" w:hAnsi="宋体" w:eastAsia="宋体" w:cs="宋体"/>
          <w:b/>
          <w:bCs/>
          <w:sz w:val="21"/>
          <w:szCs w:val="21"/>
        </w:rPr>
        <w:t>3、委托理财</w:t>
      </w:r>
      <w:bookmarkEnd w:id="7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4、其他重大合同</w:t>
      </w:r>
      <w:bookmarkEnd w:id="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77" w:name="_Toc988966"/>
      <w:r>
        <w:rPr>
          <w:rFonts w:ascii="宋体" w:hAnsi="宋体" w:eastAsia="宋体" w:cs="宋体"/>
          <w:b/>
          <w:bCs/>
          <w:sz w:val="24"/>
          <w:szCs w:val="24"/>
        </w:rPr>
        <w:t>十三、其他重大事项的说明</w:t>
      </w:r>
      <w:bookmarkEnd w:id="7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78" w:name="_Toc988967"/>
      <w:r>
        <w:rPr>
          <w:rFonts w:ascii="宋体" w:hAnsi="宋体" w:eastAsia="宋体" w:cs="宋体"/>
          <w:b/>
          <w:bCs/>
          <w:sz w:val="24"/>
          <w:szCs w:val="24"/>
        </w:rPr>
        <w:t>十四、公司子公司重大事项</w:t>
      </w:r>
      <w:bookmarkEnd w:id="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79" w:name="_Toc988968"/>
      <w:r>
        <w:rPr>
          <w:rFonts w:ascii="宋体" w:hAnsi="宋体" w:eastAsia="宋体" w:cs="宋体"/>
          <w:b/>
          <w:bCs/>
          <w:sz w:val="32"/>
          <w:szCs w:val="32"/>
        </w:rPr>
        <w:t>第七节 股份变动及股东情况</w:t>
      </w:r>
      <w:bookmarkEnd w:id="79"/>
    </w:p>
    <w:p>
      <w:pPr>
        <w:keepNext/>
        <w:keepLines/>
        <w:spacing w:before="300" w:after="300" w:line="320" w:lineRule="exact"/>
        <w:jc w:val="left"/>
        <w:outlineLvl w:val="1"/>
        <w:rPr>
          <w:rFonts w:ascii="宋体" w:hAnsi="宋体" w:eastAsia="宋体" w:cs="宋体"/>
          <w:b/>
          <w:bCs/>
          <w:sz w:val="24"/>
          <w:szCs w:val="24"/>
        </w:rPr>
      </w:pPr>
      <w:bookmarkStart w:id="80" w:name="_Toc988969"/>
      <w:r>
        <w:rPr>
          <w:rFonts w:ascii="宋体" w:hAnsi="宋体" w:eastAsia="宋体" w:cs="宋体"/>
          <w:b/>
          <w:bCs/>
          <w:sz w:val="24"/>
          <w:szCs w:val="24"/>
        </w:rPr>
        <w:t>一、股份变动情况</w:t>
      </w:r>
      <w:bookmarkEnd w:id="80"/>
    </w:p>
    <w:p>
      <w:pPr>
        <w:keepNext/>
        <w:keepLines/>
        <w:spacing w:before="300" w:after="300" w:line="280" w:lineRule="exact"/>
        <w:jc w:val="left"/>
        <w:outlineLvl w:val="2"/>
        <w:rPr>
          <w:rFonts w:ascii="宋体" w:hAnsi="宋体" w:eastAsia="宋体" w:cs="宋体"/>
          <w:b/>
          <w:bCs/>
          <w:sz w:val="21"/>
          <w:szCs w:val="21"/>
        </w:rPr>
      </w:pPr>
      <w:bookmarkStart w:id="81" w:name="_Toc988970"/>
      <w:r>
        <w:rPr>
          <w:rFonts w:ascii="宋体" w:hAnsi="宋体" w:eastAsia="宋体" w:cs="宋体"/>
          <w:b/>
          <w:bCs/>
          <w:sz w:val="21"/>
          <w:szCs w:val="21"/>
        </w:rPr>
        <w:t>1、股份变动情况</w:t>
      </w:r>
      <w:bookmarkEnd w:id="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81"/>
        <w:gridCol w:w="1230"/>
        <w:gridCol w:w="765"/>
        <w:gridCol w:w="465"/>
        <w:gridCol w:w="450"/>
        <w:gridCol w:w="705"/>
        <w:gridCol w:w="1245"/>
        <w:gridCol w:w="1155"/>
        <w:gridCol w:w="1065"/>
        <w:gridCol w:w="7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99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0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84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4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99" w:leftChars="-95" w:right="-94" w:rightChars="-45" w:firstLine="0" w:firstLineChars="0"/>
              <w:jc w:val="center"/>
              <w:rPr>
                <w:rFonts w:ascii="宋体" w:hAnsi="宋体" w:eastAsia="宋体" w:cs="宋体"/>
                <w:sz w:val="18"/>
                <w:szCs w:val="18"/>
              </w:rPr>
            </w:pPr>
            <w:r>
              <w:rPr>
                <w:rFonts w:hint="eastAsia" w:ascii="宋体" w:hAnsi="宋体" w:eastAsia="宋体" w:cs="宋体"/>
                <w:sz w:val="18"/>
                <w:szCs w:val="18"/>
                <w:lang w:val="en-US" w:eastAsia="zh-CN"/>
              </w:rPr>
              <w:t xml:space="preserve"> </w:t>
            </w:r>
            <w:r>
              <w:rPr>
                <w:rFonts w:ascii="宋体" w:hAnsi="宋体" w:eastAsia="宋体" w:cs="宋体"/>
                <w:sz w:val="18"/>
                <w:szCs w:val="18"/>
              </w:rPr>
              <w:t>发行新股</w:t>
            </w:r>
          </w:p>
        </w:tc>
        <w:tc>
          <w:tcPr>
            <w:tcW w:w="4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7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0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7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center"/>
              <w:rPr>
                <w:rFonts w:ascii="宋体" w:hAnsi="宋体" w:eastAsia="宋体" w:cs="宋体"/>
                <w:sz w:val="18"/>
                <w:szCs w:val="18"/>
              </w:rPr>
            </w:pPr>
            <w:r>
              <w:rPr>
                <w:rFonts w:ascii="宋体" w:hAnsi="宋体" w:eastAsia="宋体" w:cs="宋体"/>
                <w:sz w:val="18"/>
                <w:szCs w:val="18"/>
              </w:rPr>
              <w:t>4.22%</w:t>
            </w: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199" w:firstLineChars="111"/>
              <w:jc w:val="both"/>
              <w:rPr>
                <w:rFonts w:ascii="宋体" w:hAnsi="宋体" w:eastAsia="宋体" w:cs="宋体"/>
                <w:sz w:val="18"/>
                <w:szCs w:val="18"/>
              </w:rPr>
            </w:pPr>
            <w:r>
              <w:rPr>
                <w:rFonts w:ascii="宋体" w:hAnsi="宋体" w:eastAsia="宋体" w:cs="宋体"/>
                <w:sz w:val="18"/>
                <w:szCs w:val="18"/>
              </w:rPr>
              <w:t>4.22%</w:t>
            </w: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95.78%</w:t>
            </w: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548,911,271</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95.78%</w:t>
            </w: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90" w:rightChars="-43"/>
              <w:jc w:val="center"/>
              <w:rPr>
                <w:rFonts w:ascii="宋体" w:hAnsi="宋体" w:eastAsia="宋体" w:cs="宋体"/>
                <w:sz w:val="18"/>
                <w:szCs w:val="18"/>
              </w:rPr>
            </w:pPr>
            <w:r>
              <w:rPr>
                <w:rFonts w:ascii="宋体" w:hAnsi="宋体" w:eastAsia="宋体" w:cs="宋体"/>
                <w:sz w:val="18"/>
                <w:szCs w:val="18"/>
              </w:rPr>
              <w:t>100.00%</w:t>
            </w: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2</w:t>
      </w:r>
      <w:r>
        <w:rPr>
          <w:rFonts w:hint="eastAsia" w:ascii="宋体" w:hAnsi="宋体" w:eastAsia="宋体" w:cs="宋体"/>
          <w:sz w:val="21"/>
          <w:szCs w:val="21"/>
        </w:rPr>
        <w:t>月</w:t>
      </w:r>
      <w:r>
        <w:rPr>
          <w:rFonts w:hint="default" w:ascii="Times New Roman" w:hAnsi="Times New Roman" w:eastAsia="宋体" w:cs="Times New Roman"/>
          <w:sz w:val="21"/>
          <w:szCs w:val="21"/>
        </w:rPr>
        <w:t>3</w:t>
      </w:r>
      <w:r>
        <w:rPr>
          <w:rFonts w:hint="eastAsia" w:ascii="宋体" w:hAnsi="宋体" w:eastAsia="宋体" w:cs="宋体"/>
          <w:sz w:val="21"/>
          <w:szCs w:val="21"/>
        </w:rPr>
        <w:t>日，公司申请将</w:t>
      </w:r>
      <w:r>
        <w:rPr>
          <w:rFonts w:hint="default" w:ascii="Times New Roman" w:hAnsi="Times New Roman" w:eastAsia="宋体" w:cs="Times New Roman"/>
          <w:sz w:val="21"/>
          <w:szCs w:val="21"/>
        </w:rPr>
        <w:t>2020</w:t>
      </w:r>
      <w:r>
        <w:rPr>
          <w:rFonts w:hint="eastAsia" w:ascii="宋体" w:hAnsi="宋体" w:eastAsia="宋体" w:cs="宋体"/>
          <w:sz w:val="21"/>
          <w:szCs w:val="21"/>
        </w:rPr>
        <w:t>年非公开发行限售股份</w:t>
      </w:r>
      <w:r>
        <w:rPr>
          <w:rFonts w:hint="default" w:ascii="Times New Roman" w:hAnsi="Times New Roman" w:eastAsia="宋体" w:cs="Times New Roman"/>
          <w:sz w:val="21"/>
          <w:szCs w:val="21"/>
        </w:rPr>
        <w:t>24,193,548</w:t>
      </w:r>
      <w:r>
        <w:rPr>
          <w:rFonts w:hint="eastAsia" w:ascii="宋体" w:hAnsi="宋体" w:eastAsia="宋体" w:cs="宋体"/>
          <w:sz w:val="21"/>
          <w:szCs w:val="21"/>
        </w:rPr>
        <w:t>股解除限售，占公司股份总数的</w:t>
      </w:r>
      <w:r>
        <w:rPr>
          <w:rFonts w:hint="default" w:ascii="Times New Roman" w:hAnsi="Times New Roman" w:eastAsia="宋体" w:cs="Times New Roman"/>
          <w:sz w:val="21"/>
          <w:szCs w:val="21"/>
        </w:rPr>
        <w:t>4.22%</w:t>
      </w:r>
      <w:r>
        <w:rPr>
          <w:rFonts w:hint="eastAsia" w:ascii="宋体" w:hAnsi="宋体" w:eastAsia="宋体" w:cs="宋体"/>
          <w:sz w:val="21"/>
          <w:szCs w:val="21"/>
        </w:rPr>
        <w:t>。该限售股份已于</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2</w:t>
      </w:r>
      <w:r>
        <w:rPr>
          <w:rFonts w:hint="eastAsia" w:ascii="宋体" w:hAnsi="宋体" w:eastAsia="宋体" w:cs="宋体"/>
          <w:sz w:val="21"/>
          <w:szCs w:val="21"/>
        </w:rPr>
        <w:t>月</w:t>
      </w:r>
      <w:r>
        <w:rPr>
          <w:rFonts w:hint="default" w:ascii="Times New Roman" w:hAnsi="Times New Roman" w:eastAsia="宋体" w:cs="Times New Roman"/>
          <w:sz w:val="21"/>
          <w:szCs w:val="21"/>
        </w:rPr>
        <w:t>7</w:t>
      </w:r>
      <w:r>
        <w:rPr>
          <w:rFonts w:hint="eastAsia" w:ascii="宋体" w:hAnsi="宋体" w:eastAsia="宋体" w:cs="宋体"/>
          <w:sz w:val="21"/>
          <w:szCs w:val="21"/>
        </w:rPr>
        <w:t>日上市流通，详见公司</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2</w:t>
      </w:r>
      <w:r>
        <w:rPr>
          <w:rFonts w:hint="eastAsia" w:ascii="宋体" w:hAnsi="宋体" w:eastAsia="宋体" w:cs="宋体"/>
          <w:sz w:val="21"/>
          <w:szCs w:val="21"/>
        </w:rPr>
        <w:t>月</w:t>
      </w:r>
      <w:r>
        <w:rPr>
          <w:rFonts w:hint="default" w:ascii="Times New Roman" w:hAnsi="Times New Roman" w:eastAsia="宋体" w:cs="Times New Roman"/>
          <w:sz w:val="21"/>
          <w:szCs w:val="21"/>
        </w:rPr>
        <w:t>6</w:t>
      </w:r>
      <w:r>
        <w:rPr>
          <w:rFonts w:hint="eastAsia" w:ascii="宋体" w:hAnsi="宋体" w:eastAsia="宋体" w:cs="宋体"/>
          <w:sz w:val="21"/>
          <w:szCs w:val="21"/>
        </w:rPr>
        <w:t>日刊登于指定媒体和巨潮资讯网（</w:t>
      </w:r>
      <w:r>
        <w:rPr>
          <w:rFonts w:hint="default" w:ascii="Times New Roman" w:hAnsi="Times New Roman" w:eastAsia="宋体" w:cs="Times New Roman"/>
          <w:sz w:val="21"/>
          <w:szCs w:val="21"/>
        </w:rPr>
        <w:t>www.cninfo.com.cn</w:t>
      </w:r>
      <w:r>
        <w:rPr>
          <w:rFonts w:hint="eastAsia" w:ascii="宋体" w:hAnsi="宋体" w:eastAsia="宋体" w:cs="宋体"/>
          <w:sz w:val="21"/>
          <w:szCs w:val="21"/>
        </w:rPr>
        <w:t>）上的《湖南博云新材料股份有限公司关于</w:t>
      </w:r>
      <w:r>
        <w:rPr>
          <w:rFonts w:hint="default" w:ascii="Times New Roman" w:hAnsi="Times New Roman" w:eastAsia="宋体" w:cs="Times New Roman"/>
          <w:sz w:val="21"/>
          <w:szCs w:val="21"/>
        </w:rPr>
        <w:t>2020</w:t>
      </w:r>
      <w:r>
        <w:rPr>
          <w:rFonts w:hint="eastAsia" w:ascii="宋体" w:hAnsi="宋体" w:eastAsia="宋体" w:cs="宋体"/>
          <w:sz w:val="21"/>
          <w:szCs w:val="21"/>
        </w:rPr>
        <w:t>年非公开发行限售股份上市流通提示性公告》公告编号</w:t>
      </w:r>
      <w:r>
        <w:rPr>
          <w:rFonts w:hint="default" w:ascii="Times New Roman" w:hAnsi="Times New Roman" w:eastAsia="宋体" w:cs="Times New Roman"/>
          <w:sz w:val="21"/>
          <w:szCs w:val="21"/>
        </w:rPr>
        <w:t xml:space="preserve"> 2023-003</w:t>
      </w:r>
      <w:r>
        <w:rPr>
          <w:rFonts w:hint="eastAsia" w:ascii="宋体" w:hAnsi="宋体" w:eastAsia="宋体" w:cs="宋体"/>
          <w:sz w:val="21"/>
          <w:szCs w:val="21"/>
        </w:rPr>
        <w:t>）。</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82" w:name="_Toc988971"/>
      <w:r>
        <w:rPr>
          <w:rFonts w:ascii="宋体" w:hAnsi="宋体" w:eastAsia="宋体" w:cs="宋体"/>
          <w:b/>
          <w:bCs/>
          <w:sz w:val="21"/>
          <w:szCs w:val="21"/>
        </w:rPr>
        <w:t>2、限售股份变动情况</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36"/>
        <w:gridCol w:w="1470"/>
        <w:gridCol w:w="1215"/>
        <w:gridCol w:w="108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4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期初限售股数</w:t>
            </w:r>
          </w:p>
        </w:tc>
        <w:tc>
          <w:tcPr>
            <w:tcW w:w="12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本期解除限售股数</w:t>
            </w:r>
          </w:p>
        </w:tc>
        <w:tc>
          <w:tcPr>
            <w:tcW w:w="108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解除限售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2023年2月7日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08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二、证券发行与上市情况</w:t>
      </w:r>
      <w:bookmarkEnd w:id="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4" w:name="_Toc988973"/>
      <w:r>
        <w:rPr>
          <w:rFonts w:ascii="宋体" w:hAnsi="宋体" w:eastAsia="宋体" w:cs="宋体"/>
          <w:b/>
          <w:bCs/>
          <w:sz w:val="24"/>
          <w:szCs w:val="24"/>
        </w:rPr>
        <w:t>三、公司股东数量及持股情况</w:t>
      </w:r>
      <w:bookmarkEnd w:id="8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86"/>
        <w:gridCol w:w="1005"/>
        <w:gridCol w:w="780"/>
        <w:gridCol w:w="1155"/>
        <w:gridCol w:w="1095"/>
        <w:gridCol w:w="45"/>
        <w:gridCol w:w="990"/>
        <w:gridCol w:w="1050"/>
        <w:gridCol w:w="225"/>
        <w:gridCol w:w="750"/>
        <w:gridCol w:w="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93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60,048</w:t>
            </w:r>
          </w:p>
        </w:tc>
        <w:tc>
          <w:tcPr>
            <w:tcW w:w="3405"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40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持股5%以上的普通股股东或前10名普通股股东持股情况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78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1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报告期末持有的普通股数量</w:t>
            </w:r>
          </w:p>
        </w:tc>
        <w:tc>
          <w:tcPr>
            <w:tcW w:w="114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99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持有有限售条件的普通股数量</w:t>
            </w:r>
          </w:p>
        </w:tc>
        <w:tc>
          <w:tcPr>
            <w:tcW w:w="127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持有无限售条件的普通股数量</w:t>
            </w:r>
          </w:p>
        </w:tc>
        <w:tc>
          <w:tcPr>
            <w:tcW w:w="140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4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9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7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6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12.65%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-58,800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18,681,666</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17,384,966</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18,681,666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-700,000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2,600,000</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-1,100,000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2,600,000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2,421,257</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-923,800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2,421,257</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2,144,100</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114,600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2,144,100</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10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2,118,321</w:t>
            </w:r>
          </w:p>
        </w:tc>
        <w:tc>
          <w:tcPr>
            <w:tcW w:w="114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65,700</w:t>
            </w:r>
          </w:p>
        </w:tc>
        <w:tc>
          <w:tcPr>
            <w:tcW w:w="9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7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2,118,321</w:t>
            </w:r>
          </w:p>
        </w:tc>
        <w:tc>
          <w:tcPr>
            <w:tcW w:w="75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战略投资者或一般法人因配售新股成为前10名普通股股东的情况（如有）（参见注3）</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303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报告期末持有无限售条件普通股股份数量</w:t>
            </w:r>
          </w:p>
        </w:tc>
        <w:tc>
          <w:tcPr>
            <w:tcW w:w="3718"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030"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08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63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18,681,666</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18,681,666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2,600,000</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郭伟</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2,421,257</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2,421,257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2,144,100</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303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2,118,321</w:t>
            </w:r>
          </w:p>
        </w:tc>
        <w:tc>
          <w:tcPr>
            <w:tcW w:w="2085"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633"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前10名无限售条件普通股股东之间，以及前10名无限售条件普通股股东和前10名普通股股东之间关联关系或一致行动的说明</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6748" w:type="dxa"/>
            <w:gridSpan w:val="9"/>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李卓通过投资者信用账户持有公司股票15,094,238股，通过普通证券账户持有3,587,428股，普通证券账户及投资者信用账户合计持有18,681,666股；股东应光亮通过投资者信用账户持有公司股票1,000,000股，通过普通证券账户持有1,600,000股，普通证券账户及投资者信用账户合计持有2,600,000股；股东廖兵通过投资者信用账户持有公司股票1,998,421股，通过普通证券账户持有119,900股，普通证券账户及投资者信用账户合计持有2,118,321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85" w:name="_Toc988974"/>
      <w:r>
        <w:rPr>
          <w:rFonts w:ascii="宋体" w:hAnsi="宋体" w:eastAsia="宋体" w:cs="宋体"/>
          <w:b/>
          <w:bCs/>
          <w:sz w:val="24"/>
          <w:szCs w:val="24"/>
        </w:rPr>
        <w:t>四、董事、监事和高级管理人员持股变动</w:t>
      </w:r>
      <w:bookmarkEnd w:id="8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公司董事、监事和高级管理人员在报告期持股情况没有发生变动，具体可参见2022年年报。</w:t>
      </w:r>
    </w:p>
    <w:p>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五、控股股东或实际控制人变更情况</w:t>
      </w:r>
      <w:bookmarkEnd w:id="86"/>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40" w:after="330" w:line="773" w:lineRule="exact"/>
        <w:jc w:val="center"/>
        <w:outlineLvl w:val="0"/>
        <w:rPr>
          <w:rFonts w:ascii="宋体" w:hAnsi="宋体" w:eastAsia="宋体" w:cs="宋体"/>
          <w:b/>
          <w:bCs/>
          <w:sz w:val="32"/>
          <w:szCs w:val="32"/>
        </w:rPr>
      </w:pPr>
      <w:bookmarkStart w:id="87" w:name="_Toc988976"/>
      <w:r>
        <w:rPr>
          <w:rFonts w:ascii="宋体" w:hAnsi="宋体" w:eastAsia="宋体" w:cs="宋体"/>
          <w:b/>
          <w:bCs/>
          <w:sz w:val="32"/>
          <w:szCs w:val="32"/>
        </w:rPr>
        <w:t>第八节 优先股相关情况</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88" w:name="_Toc988977"/>
      <w:r>
        <w:rPr>
          <w:rFonts w:ascii="宋体" w:hAnsi="宋体" w:eastAsia="宋体" w:cs="宋体"/>
          <w:b/>
          <w:bCs/>
          <w:sz w:val="32"/>
          <w:szCs w:val="32"/>
        </w:rPr>
        <w:t>第九节 债券相关情况</w:t>
      </w:r>
      <w:bookmarkEnd w:id="8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9" w:name="_Toc988978"/>
      <w:r>
        <w:rPr>
          <w:rFonts w:ascii="宋体" w:hAnsi="宋体" w:eastAsia="宋体" w:cs="宋体"/>
          <w:b/>
          <w:bCs/>
          <w:sz w:val="32"/>
          <w:szCs w:val="32"/>
        </w:rPr>
        <w:t>第十节 财务报告</w:t>
      </w:r>
      <w:bookmarkEnd w:id="89"/>
    </w:p>
    <w:p>
      <w:pPr>
        <w:keepNext/>
        <w:keepLines/>
        <w:spacing w:before="300" w:after="300" w:line="320" w:lineRule="exact"/>
        <w:jc w:val="left"/>
        <w:outlineLvl w:val="1"/>
        <w:rPr>
          <w:rFonts w:ascii="宋体" w:hAnsi="宋体" w:eastAsia="宋体" w:cs="宋体"/>
          <w:b/>
          <w:bCs/>
          <w:sz w:val="24"/>
          <w:szCs w:val="24"/>
        </w:rPr>
      </w:pPr>
      <w:bookmarkStart w:id="90" w:name="_Toc988979"/>
      <w:r>
        <w:rPr>
          <w:rFonts w:ascii="宋体" w:hAnsi="宋体" w:eastAsia="宋体" w:cs="宋体"/>
          <w:b/>
          <w:bCs/>
          <w:sz w:val="24"/>
          <w:szCs w:val="24"/>
        </w:rPr>
        <w:t>一、审计报告</w:t>
      </w:r>
      <w:bookmarkEnd w:id="90"/>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91" w:name="_Toc988980"/>
      <w:r>
        <w:rPr>
          <w:rFonts w:ascii="宋体" w:hAnsi="宋体" w:eastAsia="宋体" w:cs="宋体"/>
          <w:b/>
          <w:bCs/>
          <w:sz w:val="24"/>
          <w:szCs w:val="24"/>
        </w:rPr>
        <w:t>二、财务报表</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92" w:name="_Toc988981"/>
      <w:r>
        <w:rPr>
          <w:rFonts w:ascii="宋体" w:hAnsi="宋体" w:eastAsia="宋体" w:cs="宋体"/>
          <w:b/>
          <w:bCs/>
          <w:sz w:val="21"/>
          <w:szCs w:val="21"/>
        </w:rPr>
        <w:t>1、合并资产负债表</w:t>
      </w:r>
      <w:bookmarkEnd w:id="92"/>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559,658,678.83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80,487,736.69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331,750,395.41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15,912,473.62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2,058,906.35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524,229,179.82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733,009.71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12,160,754.05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1,539,171,283.42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1,450,000,437.45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575,734,299.99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248,803,533.83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50,646,427.72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2,860,553.59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28,050,955.00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64,484,531.79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1,293,996,846.95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1,235,957,840.17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2,833,168,130.37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69,965,440.50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142,726,248.35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15,713,535.74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8,598,660.46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3,627,120.19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39,840,429.16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77,068,444.44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59,798,322.92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586,838,201.76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404,097,311.27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118,996,709.07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5,062,067.64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124,058,776.71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169,664,578.29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710,896,978.47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573,761,889.56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-183,163,404.37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2,099,329,104.32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22,942,047.58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2,122,271,151.90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2,833,168,130.37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会计机构负责人：许斌</w:t>
      </w:r>
    </w:p>
    <w:p>
      <w:pPr>
        <w:keepNext/>
        <w:keepLines/>
        <w:spacing w:before="300" w:after="300" w:line="320" w:lineRule="exact"/>
        <w:jc w:val="left"/>
        <w:outlineLvl w:val="2"/>
        <w:rPr>
          <w:rFonts w:ascii="宋体" w:hAnsi="宋体" w:eastAsia="宋体" w:cs="宋体"/>
          <w:b/>
          <w:bCs/>
          <w:sz w:val="24"/>
          <w:szCs w:val="24"/>
        </w:rPr>
      </w:pPr>
      <w:bookmarkStart w:id="93" w:name="_Toc988982"/>
      <w:r>
        <w:rPr>
          <w:rFonts w:ascii="宋体" w:hAnsi="宋体" w:eastAsia="宋体" w:cs="宋体"/>
          <w:b/>
          <w:bCs/>
          <w:sz w:val="24"/>
          <w:szCs w:val="24"/>
        </w:rPr>
        <w:t>2、母公司资产负债表</w:t>
      </w:r>
      <w:bookmarkEnd w:id="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285,250,888.41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38,500,514.84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55,856,800.02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223,982,666.71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1,522,367.19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2,017,895.20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6,917,641.28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3,677,608.32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508,176.73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120,382,997.85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120,321,872.42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155,498,317.73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152,710,751.86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832,563,570.74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817,102,424.46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1,228,356,427.42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1,237,972,331.20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178,693,274.72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186,667,565.26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10,984,545.37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2,025,292.06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19,611,024.08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20,619,633.96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484,166.14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558,348.82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23,946,070.26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23,951,483.61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2,387,199.22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1,268,548.53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1,490,795,507.21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1,499,396,003.44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2,323,359,077.95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2,316,498,427.90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48,911,862.55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44,565,190.76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12,171,246.46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7,047,279.40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4,731,381.33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20,048,178.13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3,124,390.11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7,079,848.36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37,065,216.68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36,016,522.70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77,068,444.44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29,314,800.43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29,930,220.20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212,387,342.00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146,756,572.88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20,844,750.59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22,552,408.72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1,733,365.64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1,733,365.64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22,578,116.23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100,285,774.36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234,965,458.23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247,042,347.24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-184,301,484.31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-203,239,023.37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2,088,393,619.72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2,323,359,077.95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2,316,498,427.90</w:t>
            </w:r>
          </w:p>
        </w:tc>
      </w:tr>
    </w:tbl>
    <w:p>
      <w:pPr>
        <w:keepNext/>
        <w:keepLines/>
        <w:spacing w:before="300" w:after="300" w:line="280" w:lineRule="exact"/>
        <w:jc w:val="left"/>
        <w:outlineLvl w:val="2"/>
        <w:rPr>
          <w:rFonts w:ascii="宋体" w:hAnsi="宋体" w:eastAsia="宋体" w:cs="宋体"/>
          <w:b/>
          <w:bCs/>
          <w:sz w:val="21"/>
          <w:szCs w:val="21"/>
        </w:rPr>
      </w:pPr>
      <w:bookmarkStart w:id="94" w:name="_Toc988983"/>
      <w:r>
        <w:rPr>
          <w:rFonts w:ascii="宋体" w:hAnsi="宋体" w:eastAsia="宋体" w:cs="宋体"/>
          <w:b/>
          <w:bCs/>
          <w:sz w:val="21"/>
          <w:szCs w:val="21"/>
        </w:rPr>
        <w:t>3、合并利润表</w:t>
      </w:r>
      <w:bookmarkEnd w:id="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276,769,837.63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265,152,450.73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4,292,594.83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4,393,928.47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1,731,805.57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1,082,947.81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4,722,192.12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11,520,785.39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21,525,539.63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206,900.66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72,262.54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11,716,780.74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21,467,997.09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0.0295</w:t>
            </w:r>
          </w:p>
        </w:tc>
      </w:tr>
    </w:tbl>
    <w:p>
      <w:pPr>
        <w:spacing w:before="100" w:after="100" w:line="240" w:lineRule="exact"/>
        <w:ind w:firstLine="180" w:firstLineChars="100"/>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会计机构负责人：许斌</w:t>
      </w:r>
    </w:p>
    <w:p>
      <w:pPr>
        <w:keepNext/>
        <w:keepLines/>
        <w:spacing w:before="300" w:after="300" w:line="280" w:lineRule="exact"/>
        <w:jc w:val="left"/>
        <w:outlineLvl w:val="2"/>
        <w:rPr>
          <w:rFonts w:ascii="宋体" w:hAnsi="宋体" w:eastAsia="宋体" w:cs="宋体"/>
          <w:b/>
          <w:bCs/>
          <w:sz w:val="21"/>
          <w:szCs w:val="21"/>
        </w:rPr>
      </w:pPr>
      <w:bookmarkStart w:id="95" w:name="_Toc988984"/>
      <w:r>
        <w:rPr>
          <w:rFonts w:ascii="宋体" w:hAnsi="宋体" w:eastAsia="宋体" w:cs="宋体"/>
          <w:b/>
          <w:bCs/>
          <w:sz w:val="21"/>
          <w:szCs w:val="21"/>
        </w:rPr>
        <w:t>4、母公司利润表</w:t>
      </w:r>
      <w:bookmarkEnd w:id="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87,655,631.90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86,886,705.74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47,395,049.97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45,135,035.98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1,704,356.30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1,444,326.95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2,230,704.23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1,943,776.48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7,315,780.55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11,615,799.63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8,253,886.20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6,275,001.65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-3,930,079.53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-3,351,014.73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788,638.89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1,371,555.57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4,739,466.31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4,737,911.54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2,711,458.13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2,650,857.24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-10,522,726.28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36,089.01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-1,052,141.87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20,882,910.59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13,449,580.04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20,882,822.98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13,435,882.64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1,945,283.92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1,640,032.80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0.0206</w:t>
            </w:r>
          </w:p>
        </w:tc>
      </w:tr>
    </w:tbl>
    <w:p>
      <w:pPr>
        <w:keepNext/>
        <w:keepLines/>
        <w:spacing w:before="300" w:after="300" w:line="280" w:lineRule="exact"/>
        <w:jc w:val="left"/>
        <w:outlineLvl w:val="2"/>
        <w:rPr>
          <w:rFonts w:ascii="宋体" w:hAnsi="宋体" w:eastAsia="宋体" w:cs="宋体"/>
          <w:b/>
          <w:bCs/>
          <w:sz w:val="21"/>
          <w:szCs w:val="21"/>
        </w:rPr>
      </w:pPr>
      <w:bookmarkStart w:id="96" w:name="_Toc988985"/>
      <w:r>
        <w:rPr>
          <w:rFonts w:ascii="宋体" w:hAnsi="宋体" w:eastAsia="宋体" w:cs="宋体"/>
          <w:b/>
          <w:bCs/>
          <w:sz w:val="21"/>
          <w:szCs w:val="21"/>
        </w:rPr>
        <w:t>5、合并现金流量表</w:t>
      </w:r>
      <w:bookmarkEnd w:id="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214,999,941.38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218,736,946.19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1,900,837.62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17,634,264.19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53,196,386.78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25,959,238.19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270,097,165.78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262,330,448.57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194,002,367.53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177,806,718.56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86,501,512.94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77,430,939.67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24,941,448.00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12,349,343.43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32,436,599.89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19,667,900.76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337,881,928.36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287,254,902.42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217,743,572.09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2,822,222.48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4,502,919.48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217,753,079.65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91,803,833.58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101,883,120.08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58,118,160.00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91,803,833.58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160,001,280.08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-87,300,914.10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57,751,799.57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2,248,966.67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2,086,144.51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3,248,966.67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116,251,033.33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-3,286,144.51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61,381.55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464,448.85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r>
    </w:tbl>
    <w:p>
      <w:pPr>
        <w:keepNext/>
        <w:keepLines/>
        <w:spacing w:before="300" w:after="300" w:line="280" w:lineRule="exact"/>
        <w:jc w:val="left"/>
        <w:outlineLvl w:val="2"/>
        <w:rPr>
          <w:rFonts w:ascii="宋体" w:hAnsi="宋体" w:eastAsia="宋体" w:cs="宋体"/>
          <w:b/>
          <w:bCs/>
          <w:sz w:val="21"/>
          <w:szCs w:val="21"/>
        </w:rPr>
      </w:pPr>
      <w:bookmarkStart w:id="97" w:name="_Toc988986"/>
      <w:r>
        <w:rPr>
          <w:rFonts w:ascii="宋体" w:hAnsi="宋体" w:eastAsia="宋体" w:cs="宋体"/>
          <w:b/>
          <w:bCs/>
          <w:sz w:val="21"/>
          <w:szCs w:val="21"/>
        </w:rPr>
        <w:t>6、母公司现金流量表</w:t>
      </w:r>
      <w:bookmarkEnd w:id="97"/>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57,389,387.14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58,457,617.34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5,858,368.08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4,703,571.43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63,247,755.22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63,161,188.77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22,642,102.21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19,568,578.42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39,417,971.61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32,004,154.99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14,257,689.39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3,900,781.62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4,009,209.69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6,536,429.46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80,326,972.90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62,009,944.49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-17,079,217.68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1,151,244.28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160,287,583.06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2,822,222.48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4,502,919.48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160,287,583.06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10,713,497.60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1,797,311.58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28,118,160.00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10,713,497.60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59,915,471.58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-6,210,578.12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100,372,111.48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1,258,577.78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1,364,850.01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2,258,577.78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2,364,850.01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-2,258,577.78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-2,364,850.01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7,693.10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-25,548,373.58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99,166,198.85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310,799,261.99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194,615,726.40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285,250,888.41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293,781,925.25</w:t>
            </w:r>
          </w:p>
        </w:tc>
      </w:tr>
    </w:tbl>
    <w:p>
      <w:pPr>
        <w:keepNext/>
        <w:keepLines/>
        <w:spacing w:before="300" w:after="300" w:line="280" w:lineRule="exact"/>
        <w:jc w:val="left"/>
        <w:outlineLvl w:val="2"/>
        <w:rPr>
          <w:rFonts w:ascii="宋体" w:hAnsi="宋体" w:eastAsia="宋体" w:cs="宋体"/>
          <w:b/>
          <w:bCs/>
          <w:sz w:val="21"/>
          <w:szCs w:val="21"/>
        </w:rPr>
      </w:pPr>
      <w:bookmarkStart w:id="98" w:name="_Toc988987"/>
      <w:r>
        <w:rPr>
          <w:rFonts w:ascii="宋体" w:hAnsi="宋体" w:eastAsia="宋体" w:cs="宋体"/>
          <w:b/>
          <w:bCs/>
          <w:sz w:val="21"/>
          <w:szCs w:val="21"/>
        </w:rPr>
        <w:t>7、合并所有者权益变动表</w:t>
      </w:r>
      <w:bookmarkEnd w:id="9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-183,163,404.37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2,099,329,104.32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22,942,047.58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2,122,271,151.90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2,055,096,815.38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22,590,159.42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2,077,686,974.80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16,884,923.86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330,963.49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929,844.02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-200,355,572.81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2,071,981,739.24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22,921,122.91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2,094,902,862.15</w:t>
            </w:r>
          </w:p>
        </w:tc>
      </w:tr>
    </w:tbl>
    <w:p>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8、母公司所有者权益变动表</w:t>
      </w:r>
      <w:bookmarkEnd w:id="9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2,069,456,080.66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18,937,539.06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10,720,448.72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-209,193,581.35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24,892,097.04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2,088,393,619.72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-228,131,120.41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2,035,690,280.70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11,795,849.84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1,846,745.80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-216,335,270.57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2,047,486,130.54</w:t>
            </w:r>
          </w:p>
        </w:tc>
      </w:tr>
    </w:tbl>
    <w:p>
      <w:pPr>
        <w:keepNext/>
        <w:keepLines/>
        <w:spacing w:before="300" w:after="300" w:line="320" w:lineRule="exact"/>
        <w:jc w:val="left"/>
        <w:outlineLvl w:val="1"/>
        <w:rPr>
          <w:rFonts w:ascii="宋体" w:hAnsi="宋体" w:eastAsia="宋体" w:cs="宋体"/>
          <w:b/>
          <w:bCs/>
          <w:sz w:val="24"/>
          <w:szCs w:val="24"/>
        </w:rPr>
      </w:pPr>
      <w:bookmarkStart w:id="100" w:name="_Toc988989"/>
      <w:r>
        <w:rPr>
          <w:rFonts w:ascii="宋体" w:hAnsi="宋体" w:eastAsia="宋体" w:cs="宋体"/>
          <w:b/>
          <w:bCs/>
          <w:sz w:val="24"/>
          <w:szCs w:val="24"/>
        </w:rPr>
        <w:t>三、公司基本情况</w:t>
      </w:r>
      <w:bookmarkEnd w:id="100"/>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（一）公司概况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湖南博云新材料股份有限公司（以下简称“公司”或“本公司”） 住所及注册地址：长沙市岳麓区高新技术产业开发区麓松路500号；统一社会信用代码：91430000183898967C；公司组织形式：其他股份有限公司(上市)；现任法定代表人：贺柳。</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截至2023年6月30日止，本公司累计发行股本总数573,104,819.00股，注册资本为573,104,819.00元。本公司主要经营活动为：研究、生产、销售粉末冶金摩擦材料、碳/碳复合材料、纳米材料及其制品、其他新型材料、相关制品及相关新设备（以上国家有专项规定的，另行报批）；航空部件维修（包括飞机零部件的维修）及技术开发和咨询服务（国家有专项规定的经审批后方可经营）；自有房屋租赁；经营商品和技术的进出口业务（国家法律法规禁止和限制的除外）。（依法须经批准的项目，经相关部门批准后方可开展经营活动）。公司的母公司为中南大学粉末冶金工程研究中心有限公司，实际控制人为湖南省人民政府国有资产监督管理委员会。</w:t>
      </w:r>
    </w:p>
    <w:p>
      <w:pPr>
        <w:pStyle w:val="2"/>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default" w:ascii="宋体" w:hAnsi="宋体" w:eastAsia="宋体" w:cs="宋体"/>
          <w:color w:val="000000"/>
          <w:sz w:val="21"/>
          <w:szCs w:val="21"/>
        </w:rPr>
        <w:t>本财务报表经公司董事会于2023年8月29日批准报出。 </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（二）合并财务报表范围</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本公司子公司的相关信息详见本附注“九、在其他主体中的权益”。</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本报告期合并范围变化情况详见本附注“八、合并范围的变更”。</w:t>
      </w:r>
    </w:p>
    <w:p>
      <w:pPr>
        <w:keepNext/>
        <w:keepLines/>
        <w:spacing w:before="300" w:after="300" w:line="32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四、财务报表的编制基础</w:t>
      </w:r>
      <w:bookmarkEnd w:id="101"/>
    </w:p>
    <w:p>
      <w:pPr>
        <w:keepNext/>
        <w:keepLines/>
        <w:spacing w:before="300" w:after="300" w:line="280" w:lineRule="exact"/>
        <w:jc w:val="left"/>
        <w:outlineLvl w:val="2"/>
        <w:rPr>
          <w:rFonts w:ascii="宋体" w:hAnsi="宋体" w:eastAsia="宋体" w:cs="宋体"/>
          <w:b/>
          <w:bCs/>
          <w:sz w:val="21"/>
          <w:szCs w:val="21"/>
        </w:rPr>
      </w:pPr>
      <w:bookmarkStart w:id="102" w:name="_Toc988991"/>
      <w:r>
        <w:rPr>
          <w:rFonts w:ascii="宋体" w:hAnsi="宋体" w:eastAsia="宋体" w:cs="宋体"/>
          <w:b/>
          <w:bCs/>
          <w:sz w:val="21"/>
          <w:szCs w:val="21"/>
        </w:rPr>
        <w:t>1、编制基础</w:t>
      </w:r>
      <w:bookmarkEnd w:id="102"/>
    </w:p>
    <w:p>
      <w:pPr>
        <w:pStyle w:val="2"/>
        <w:keepNext w:val="0"/>
        <w:keepLines w:val="0"/>
        <w:widowControl/>
        <w:suppressLineNumbers w:val="0"/>
        <w:spacing w:before="0" w:beforeAutospacing="0" w:after="12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本财务报表按照财政部颁布的《企业会计准则</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基本准则》和各项具体会计准则、企业会计准则应用指南、企业会计准则解释及其他相关规定（以下合称“企业会计准则”），以及中国证券监督管理委员会《公开发行证券的公司信息披露编报规则第</w:t>
      </w:r>
      <w:r>
        <w:rPr>
          <w:rFonts w:hint="default" w:ascii="Times New Roman" w:hAnsi="Times New Roman" w:eastAsia="宋体" w:cs="Times New Roman"/>
          <w:color w:val="000000"/>
          <w:sz w:val="21"/>
          <w:szCs w:val="21"/>
        </w:rPr>
        <w:t xml:space="preserve">15 </w:t>
      </w:r>
      <w:r>
        <w:rPr>
          <w:rFonts w:hint="eastAsia" w:ascii="宋体" w:hAnsi="宋体" w:eastAsia="宋体" w:cs="宋体"/>
          <w:color w:val="000000"/>
          <w:sz w:val="21"/>
          <w:szCs w:val="21"/>
        </w:rPr>
        <w:t>号</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财务报告的一般规定》的相关规定编制。</w:t>
      </w:r>
    </w:p>
    <w:p>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2、持续经营</w:t>
      </w:r>
      <w:bookmarkEnd w:id="103"/>
    </w:p>
    <w:p>
      <w:pPr>
        <w:pStyle w:val="2"/>
        <w:keepNext w:val="0"/>
        <w:keepLines w:val="0"/>
        <w:widowControl/>
        <w:suppressLineNumbers w:val="0"/>
        <w:spacing w:before="0" w:beforeAutospacing="0" w:after="12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本财务报表以持续经营为基础编制。</w:t>
      </w:r>
    </w:p>
    <w:p>
      <w:pPr>
        <w:keepNext/>
        <w:keepLines/>
        <w:spacing w:before="300" w:after="300" w:line="560" w:lineRule="exact"/>
        <w:jc w:val="left"/>
        <w:outlineLvl w:val="1"/>
        <w:rPr>
          <w:rFonts w:ascii="宋体" w:hAnsi="宋体" w:eastAsia="宋体" w:cs="宋体"/>
          <w:b/>
          <w:bCs/>
          <w:sz w:val="24"/>
          <w:szCs w:val="24"/>
        </w:rPr>
      </w:pPr>
      <w:bookmarkStart w:id="104" w:name="_Toc988993"/>
      <w:r>
        <w:rPr>
          <w:rFonts w:ascii="宋体" w:hAnsi="宋体" w:eastAsia="宋体" w:cs="宋体"/>
          <w:b/>
          <w:bCs/>
          <w:sz w:val="24"/>
          <w:szCs w:val="24"/>
        </w:rPr>
        <w:t>五、重要会计政策及会计估计</w:t>
      </w:r>
      <w:bookmarkEnd w:id="10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2"/>
        <w:keepNext w:val="0"/>
        <w:keepLines w:val="0"/>
        <w:widowControl/>
        <w:suppressLineNumbers w:val="0"/>
        <w:spacing w:before="0" w:beforeAutospacing="0" w:after="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本公司根据实际生产经营特点制定了应收款项、固定资产、无形资产、收入确认等具体会计政策和会计估计。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05" w:name="_Toc988994"/>
      <w:r>
        <w:rPr>
          <w:rFonts w:ascii="宋体" w:hAnsi="宋体" w:eastAsia="宋体" w:cs="宋体"/>
          <w:b/>
          <w:bCs/>
          <w:sz w:val="21"/>
          <w:szCs w:val="21"/>
        </w:rPr>
        <w:t>1、遵循企业会计准则的声明</w:t>
      </w:r>
      <w:bookmarkEnd w:id="105"/>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本财务报表符合财政部颁布的企业会计准则的要求，真实、完整地反映了本公司</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日的合并及母公司财务状况以及</w:t>
      </w:r>
      <w:r>
        <w:rPr>
          <w:rFonts w:hint="default" w:ascii="Times New Roman" w:hAnsi="Times New Roman" w:eastAsia="宋体" w:cs="Times New Roman"/>
          <w:color w:val="000000"/>
          <w:sz w:val="21"/>
          <w:szCs w:val="21"/>
        </w:rPr>
        <w:t>2023</w:t>
      </w:r>
      <w:r>
        <w:rPr>
          <w:rFonts w:hint="eastAsia" w:ascii="宋体" w:hAnsi="宋体" w:eastAsia="宋体" w:cs="宋体"/>
          <w:color w:val="000000"/>
          <w:sz w:val="21"/>
          <w:szCs w:val="21"/>
        </w:rPr>
        <w:t>年半年度的合并及母公司经营成果和现金流量。</w:t>
      </w:r>
    </w:p>
    <w:p>
      <w:pPr>
        <w:keepNext/>
        <w:keepLines/>
        <w:spacing w:before="300" w:after="300" w:line="280" w:lineRule="exact"/>
        <w:jc w:val="left"/>
        <w:outlineLvl w:val="2"/>
        <w:rPr>
          <w:rFonts w:ascii="宋体" w:hAnsi="宋体" w:eastAsia="宋体" w:cs="宋体"/>
          <w:b/>
          <w:bCs/>
          <w:sz w:val="21"/>
          <w:szCs w:val="21"/>
        </w:rPr>
      </w:pPr>
      <w:bookmarkStart w:id="106" w:name="_Toc988995"/>
      <w:r>
        <w:rPr>
          <w:rFonts w:ascii="宋体" w:hAnsi="宋体" w:eastAsia="宋体" w:cs="宋体"/>
          <w:b/>
          <w:bCs/>
          <w:sz w:val="21"/>
          <w:szCs w:val="21"/>
        </w:rPr>
        <w:t>2、会计期间</w:t>
      </w:r>
      <w:bookmarkEnd w:id="106"/>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Style w:val="5"/>
          <w:rFonts w:hint="eastAsia" w:ascii="宋体" w:hAnsi="宋体" w:eastAsia="宋体" w:cs="宋体"/>
          <w:b/>
          <w:bCs/>
          <w:color w:val="000000"/>
          <w:sz w:val="21"/>
          <w:szCs w:val="21"/>
        </w:rPr>
        <w:t>自公历1月1日起至12月31日止为一个会计年度。</w:t>
      </w:r>
    </w:p>
    <w:p>
      <w:pPr>
        <w:keepNext/>
        <w:keepLines/>
        <w:spacing w:before="300" w:after="300" w:line="280" w:lineRule="exact"/>
        <w:jc w:val="left"/>
        <w:outlineLvl w:val="2"/>
        <w:rPr>
          <w:rFonts w:ascii="宋体" w:hAnsi="宋体" w:eastAsia="宋体" w:cs="宋体"/>
          <w:b/>
          <w:bCs/>
          <w:sz w:val="21"/>
          <w:szCs w:val="21"/>
        </w:rPr>
      </w:pPr>
      <w:bookmarkStart w:id="107" w:name="_Toc988996"/>
      <w:r>
        <w:rPr>
          <w:rFonts w:ascii="宋体" w:hAnsi="宋体" w:eastAsia="宋体" w:cs="宋体"/>
          <w:b/>
          <w:bCs/>
          <w:sz w:val="21"/>
          <w:szCs w:val="21"/>
        </w:rPr>
        <w:t>3、营业周期</w:t>
      </w:r>
      <w:bookmarkEnd w:id="107"/>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本公司营业周期为12个月。</w:t>
      </w:r>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4、记账本位币</w:t>
      </w:r>
      <w:bookmarkEnd w:id="108"/>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本公司采用人民币为记账本位币。</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5、同一控制下和非同一控制下企业合并的会计处理方法</w:t>
      </w:r>
      <w:bookmarkEnd w:id="109"/>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6、合并财务报表的编制方法</w:t>
      </w:r>
      <w:bookmarkEnd w:id="110"/>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（1）合并范围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（2）合并程序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1）增加子公司或业务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在报告期内，因非同一控制下企业合并增加子公司或业务的，以购买日确定的各项可辨认资产、负债及或有负债的公允价值为基础自购买日起纳入合并财务报表。</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2）处置子公司</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①一般处理方法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②分步处置子公司</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通过多次交易分步处置对子公司股权投资直至丧失控制权的，处置对子公司股权投资的各项交易的条款、条件以及经济影响符合以下一种或多种情况，通常表明该多次交易事项为一揽子交易：</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ⅰ．这些交易是同时或者在考虑了彼此影响的情况下订立的；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ⅱ．这些交易整体才能达成一项完整的商业结果；</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ⅲ．一项交易的发生取决于其他至少一项交易的发生；</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ⅳ．一项交易单独看是不经济的，但是和其他交易一并考虑时是经济的。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各项交易不属于一揽子交易的，在丧失控制权之前，按不丧失控制权的情况下部分处置对子公司的股权投资进行会计处理；在丧失控制权时，按处置子公司一般处理方法进行会计处理。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3）购买子公司少数股权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4）不丧失控制权的情况下部分处置对子公司的股权投资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7、合营安排分类及共同经营会计处理方法</w:t>
      </w:r>
      <w:bookmarkEnd w:id="111"/>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合营安排分为共同经营和合营企业。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共同经营，是指合营方享有该安排相关资产且承担该安排相关负债的合营安排。</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本公司确认与共同经营中利益份额相关的下列项目：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（1）确认本公司单独所持有的资产，以及按本公司份额确认共同持有的资产；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（2）确认本公司单独所承担的负债，以及按本公司份额确认共同承担的负债；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（3）确认出售本公司享有的共同经营产出份额所产生的收入；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（4）按本公司份额确认共同经营因出售产出所产生的收入；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（5）确认单独所发生的费用，以及按本公司份额确认共同经营发生的费用。</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本公司对合营企业的投资采用权益法核算，详见本附注“X、（XX）长期股权投资”。</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8、现金及现金等价物的确定标准</w:t>
      </w:r>
      <w:bookmarkEnd w:id="112"/>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9、外币业务和外币报表折算</w:t>
      </w:r>
      <w:bookmarkEnd w:id="113"/>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外币业务采用交易发生日的即期汇率作为折算汇率将外币金额折合成人民币记账。</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   </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10、金融工具</w:t>
      </w:r>
      <w:bookmarkEnd w:id="114"/>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本公司在成为金融工具合同的一方时，确认一项金融资产、金融负债或权益工具。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（1）金融工具的分类</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本公司将同时符合下列条件且未被指定为以公允价值计量且其变动计入当期损益的金融资产，分类为以摊余成本计量的金融资产：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业务模式是以收取合同现金流量为目标；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合同现金流量仅为对本金和以未偿付本金金额为基础的利息的支付。</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本公司将同时符合下列条件且未被指定为以公允价值计量且其变动计入当期损益的金融资产，分类为以公允价值计量且其变动计入其他综合收益的金融资产（债务工具）：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业务模式既以收取合同现金流量又以出售该金融资产为目标；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合同现金流量仅为对本金和以未偿付本金金额为基础的利息的支付。</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金融负债于初始确认时分类为：以公允价值计量且其变动计入当期损益的金融负债和以摊余成本计量的金融负债。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（2）金融工具的确认依据和计量方法</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1）以摊余成本计量的金融资产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收回或处置时，将取得的价款与该金融资产账面价值之间的差额计入当期损益。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2）以公允价值计量且其变动计入其他综合收益的金融资产（债务工具）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终止确认时，之前计入其他综合收益的累计利得或损失从其他综合收益中转出，计入当期损益。</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3）以公允价值计量且其变动计入其他综合收益的金融资产（权益工具）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终止确认时，之前计入其他综合收益的累计利得或损失从其他综合收益中转出，计入留存收益。</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4）以公允价值计量且其变动计入当期损益的金融资产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   </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5）以公允价值计量且其变动计入当期损益的金融负债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终止确认时，其账面价值与支付的对价之间的差额计入当期损益。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6）以摊余成本计量的金融负债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以摊余成本计量的金融负债包括短期借款、应付票据、应付账款、其他应付款、长期借款、应付债券、长期应付款，按公允价值进行初始计量，相关交易费用计入初始确认金额。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终止确认时，将支付的对价与该金融负债账面价值之间的差额计入当期损益。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（3）金融资产终止确认和金融资产转移</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满足下列条件之一时，本公司终止确认金融资产：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收取金融资产现金流量的合同权利终止；</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金融资产已转移，且已将金融资产所有权上几乎所有的风险和报酬转移给转入方；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金融资产已转移，虽然本公司既没有转移也没有保留金融资产所有权上几乎所有的风险和报酬，但是未保留对金融资产的控制。</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发生金融资产转移时，如保留了金融资产所有权上几乎所有的风险和报酬的，则不终止确认该金融资产。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在判断金融资产转移是否满足上述金融资产终止确认条件时，采用实质重于形式的原则。</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公司将金融资产转移区分为金融资产整体转移和部分转移。金融资产整体转移满足终止确认条件的，将下列两项金额的差额计入当期损益：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1）所转移金融资产的账面价值；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2）因转移而收到的对价，与原直接计入所有者权益的公允价值变动累计额（涉及转移的金融资产为以公允价值计量且其变动计入其他综合收益的金融资产（债务工具）的情形）之和。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1）终止确认部分的账面价值；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金融资产转移不满足终止确认条件的，继续确认该金融资产，所收到的对价确认为一项金融负债。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（4）金融负债终止确认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对现存金融负债全部或部分合同条款作出实质性修改的，则终止确认现存金融负债或其一部分，同时将修改条款后的金融负债确认为一项新金融负债。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金融负债全部或部分终止确认时，终止确认的金融负债账面价值与支付对价（包括转出的非现金资产或承担的新金融负债）之间的差额，计入当期损益。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（5）金融资产和金融负债的公允价值的确定方法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（6）金融资产减值的测试方法及会计处理方法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本公司以单项或组合的方式对以摊余成本计量的金融资产、以公允价值计量且其变动计入其他综合收益的金融资产（债务工具）和财务担保合同等的预期信用损失进行估计。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12个月内预期信用损失的金额计量其损失准备。由此形成的损失准备的增加或转回金额，作为减值损失或利得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30日，本公司即认为该金融工具的信用风险已显著增加，除非有确凿证据证明该金融工具的信用风险自初始确认后并未显著增加。</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如果金融工具于资产负债表日的信用风险较低，本公司即认为该金融工具的信用风险自初始确认后并未显著增加。</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如果有客观证据表明某项金融资产已经发生信用减值，则本公司在单项基础上对该金融资产计提减值准备。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对于由《企业会计准则第14号——收入》(2017)规范的交易形成的应收款项和合同资产，无论是否包含重大融资成分，本公司始终按照相当于整个存续期内预期信用损失的金额计量其损失准备。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对于租赁应收款，本公司选择始终按照相当于整个存续期内预期信用损失的金额计量其损失准备。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本公司不再合理预期金融资产合同现金流量能够全部或部分收回的，直接减记该金融资产的账面余额。</w:t>
      </w:r>
    </w:p>
    <w:p>
      <w:pPr>
        <w:keepNext/>
        <w:keepLines/>
        <w:spacing w:before="300" w:after="300" w:line="280" w:lineRule="exact"/>
        <w:jc w:val="left"/>
        <w:outlineLvl w:val="2"/>
        <w:rPr>
          <w:rFonts w:ascii="宋体" w:hAnsi="宋体" w:eastAsia="宋体" w:cs="宋体"/>
          <w:b/>
          <w:bCs/>
          <w:sz w:val="21"/>
          <w:szCs w:val="21"/>
        </w:rPr>
      </w:pPr>
      <w:bookmarkStart w:id="115" w:name="_Toc989004"/>
      <w:r>
        <w:rPr>
          <w:rFonts w:ascii="宋体" w:hAnsi="宋体" w:eastAsia="宋体" w:cs="宋体"/>
          <w:b/>
          <w:bCs/>
          <w:sz w:val="21"/>
          <w:szCs w:val="21"/>
        </w:rPr>
        <w:t>11、应收票据</w:t>
      </w:r>
      <w:bookmarkEnd w:id="115"/>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对于《企业会计准则第14号——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对于包含重大融资成分的应收款项，本公司选择采用预期信用损失的简化模型，即始终按照整个存续期内预期信用损失的金额计量其损失准备。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预期信用损失的简化模型：始终按照整个存续期内预期信用损失的金额计量其损失准备。</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08"/>
        <w:gridCol w:w="1701"/>
        <w:gridCol w:w="5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项</w:t>
            </w:r>
            <w:r>
              <w:rPr>
                <w:rFonts w:hint="default" w:ascii="Times New Roman" w:hAnsi="Times New Roman" w:cs="Times New Roman"/>
                <w:sz w:val="18"/>
                <w:szCs w:val="18"/>
              </w:rPr>
              <w:t>  </w:t>
            </w:r>
            <w:r>
              <w:rPr>
                <w:rFonts w:hint="eastAsia" w:ascii="宋体" w:hAnsi="宋体" w:eastAsia="宋体" w:cs="宋体"/>
                <w:sz w:val="18"/>
                <w:szCs w:val="18"/>
              </w:rPr>
              <w:t>目</w:t>
            </w:r>
          </w:p>
        </w:tc>
        <w:tc>
          <w:tcPr>
            <w:tcW w:w="170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确定组合的依据</w:t>
            </w:r>
          </w:p>
        </w:tc>
        <w:tc>
          <w:tcPr>
            <w:tcW w:w="5286"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应收票据</w:t>
            </w:r>
            <w:r>
              <w:rPr>
                <w:rFonts w:hint="default" w:ascii="Times New Roman" w:hAnsi="Times New Roman" w:cs="Times New Roman"/>
                <w:sz w:val="18"/>
                <w:szCs w:val="18"/>
              </w:rPr>
              <w:t>—</w:t>
            </w:r>
            <w:r>
              <w:rPr>
                <w:rFonts w:hint="eastAsia" w:ascii="宋体" w:hAnsi="宋体" w:eastAsia="宋体" w:cs="宋体"/>
                <w:sz w:val="18"/>
                <w:szCs w:val="18"/>
              </w:rPr>
              <w:t>银行</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应收票据</w:t>
            </w:r>
            <w:r>
              <w:rPr>
                <w:rFonts w:hint="default" w:ascii="Times New Roman" w:hAnsi="Times New Roman" w:cs="Times New Roman"/>
                <w:sz w:val="18"/>
                <w:szCs w:val="18"/>
              </w:rPr>
              <w:t>—</w:t>
            </w:r>
            <w:r>
              <w:rPr>
                <w:rFonts w:hint="eastAsia" w:ascii="宋体" w:hAnsi="宋体" w:eastAsia="宋体" w:cs="宋体"/>
                <w:sz w:val="18"/>
                <w:szCs w:val="18"/>
              </w:rPr>
              <w:t>商业</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参考历史信用损失经验，并考虑前瞻性信息结合当前状况以及对未来经济状况的预测，通过违约风险敞口和整个存续期信用损失率计算预期信用损失进行估计。</w:t>
            </w:r>
          </w:p>
        </w:tc>
      </w:tr>
    </w:tbl>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12、应收账款</w:t>
      </w:r>
      <w:bookmarkEnd w:id="116"/>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对于《企业会计准则第14号——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对于包含重大融资成分的应收款项，本公司选择采用预期信用损失的简化模型，即始终按照整个存续期内预期信用损失的金额计量其损失准备。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预期信用损失的简化模型：始终按照整个存续期内预期信用损失的金额计量其损失准备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1、按组合计量预期信用损失的应收款项</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0"/>
        <w:gridCol w:w="1821"/>
        <w:gridCol w:w="51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20"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项</w:t>
            </w:r>
            <w:r>
              <w:rPr>
                <w:rFonts w:hint="default" w:ascii="Times New Roman" w:hAnsi="Times New Roman" w:cs="Times New Roman"/>
                <w:sz w:val="18"/>
                <w:szCs w:val="18"/>
              </w:rPr>
              <w:t>  </w:t>
            </w:r>
            <w:r>
              <w:rPr>
                <w:rFonts w:hint="eastAsia" w:ascii="宋体" w:hAnsi="宋体" w:eastAsia="宋体" w:cs="宋体"/>
                <w:sz w:val="18"/>
                <w:szCs w:val="18"/>
              </w:rPr>
              <w:t>目</w:t>
            </w:r>
          </w:p>
        </w:tc>
        <w:tc>
          <w:tcPr>
            <w:tcW w:w="182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确定组合的依据</w:t>
            </w:r>
          </w:p>
        </w:tc>
        <w:tc>
          <w:tcPr>
            <w:tcW w:w="5154"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20"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应收账款</w:t>
            </w:r>
            <w:r>
              <w:rPr>
                <w:rFonts w:hint="default" w:ascii="Times New Roman" w:hAnsi="Times New Roman" w:cs="Times New Roman"/>
                <w:sz w:val="18"/>
                <w:szCs w:val="18"/>
              </w:rPr>
              <w:t>-</w:t>
            </w:r>
            <w:r>
              <w:rPr>
                <w:rFonts w:hint="eastAsia" w:ascii="宋体" w:hAnsi="宋体" w:eastAsia="宋体" w:cs="宋体"/>
                <w:sz w:val="18"/>
                <w:szCs w:val="18"/>
              </w:rPr>
              <w:t>信用风险特征组合</w:t>
            </w:r>
          </w:p>
        </w:tc>
        <w:tc>
          <w:tcPr>
            <w:tcW w:w="182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账龄组合</w:t>
            </w:r>
          </w:p>
        </w:tc>
        <w:tc>
          <w:tcPr>
            <w:tcW w:w="5154"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参考历史信用损失经验，并考虑前瞻性信息结合当前状况以及对未来经济状况的预测，通过违约风险敞口和整个存续期信用损失率计算预期信用损失进行估计。</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如果有客观证据表明某项应收账款已经发生信用减值，则本公司对该应收账款单项计提坏账准备并确认预期信用损失。单项计提坏账准备的方法为根据其未来现金流量现值低于其账面价值的差额，计提坏账准备。如果没有客观证据表明某项应收账款需进行单项认定计提坏账准备并确认预期信用损失，则采用账龄组合计量预期信用损失。</w:t>
      </w:r>
    </w:p>
    <w:p>
      <w:pPr>
        <w:keepNext/>
        <w:keepLines/>
        <w:spacing w:before="300" w:after="300" w:line="280" w:lineRule="exact"/>
        <w:jc w:val="left"/>
        <w:outlineLvl w:val="2"/>
        <w:rPr>
          <w:rFonts w:ascii="宋体" w:hAnsi="宋体" w:eastAsia="宋体" w:cs="宋体"/>
          <w:b/>
          <w:bCs/>
          <w:sz w:val="21"/>
          <w:szCs w:val="21"/>
        </w:rPr>
      </w:pPr>
      <w:bookmarkStart w:id="117" w:name="_Toc989006"/>
      <w:r>
        <w:rPr>
          <w:rFonts w:ascii="宋体" w:hAnsi="宋体" w:eastAsia="宋体" w:cs="宋体"/>
          <w:b/>
          <w:bCs/>
          <w:sz w:val="21"/>
          <w:szCs w:val="21"/>
        </w:rPr>
        <w:t>13、应收款项融资</w:t>
      </w:r>
      <w:bookmarkEnd w:id="117"/>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将持有的应收票据，以贴现或背书等形式转让，且该类业务较为频繁、涉及金额也较大的，其管理业务模式实质为既收取合同现金流量又出售，按照金融工具准则的相关规定，将其分类至以公允价值计量变动且其变动计入其他综合收益的金融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对于《企业会计准则第14号——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对于包含重大融资成分的应收款项，本公司选择采用预期信用损失的简化模型，即始终按照整个存续期内预期信用损失的金额计量其损失准备。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预期信用损失的简化模型：始终按照整个存续期内预期信用损失的金额计量其损失准备。</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08"/>
        <w:gridCol w:w="1701"/>
        <w:gridCol w:w="52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08"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项  目</w:t>
            </w:r>
          </w:p>
        </w:tc>
        <w:tc>
          <w:tcPr>
            <w:tcW w:w="1701"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确定组合的依据</w:t>
            </w:r>
          </w:p>
        </w:tc>
        <w:tc>
          <w:tcPr>
            <w:tcW w:w="5286"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计量预期信用损失的方法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808"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应收款项融资</w:t>
            </w:r>
            <w:r>
              <w:rPr>
                <w:rFonts w:hint="default" w:ascii="Times New Roman" w:hAnsi="Times New Roman" w:cs="Times New Roman"/>
                <w:sz w:val="18"/>
                <w:szCs w:val="18"/>
              </w:rPr>
              <w:t>—</w:t>
            </w:r>
            <w:r>
              <w:rPr>
                <w:rFonts w:hint="eastAsia" w:ascii="宋体" w:hAnsi="宋体" w:eastAsia="宋体" w:cs="宋体"/>
                <w:sz w:val="18"/>
                <w:szCs w:val="18"/>
              </w:rPr>
              <w:t>银行承兑汇票</w:t>
            </w:r>
          </w:p>
        </w:tc>
        <w:tc>
          <w:tcPr>
            <w:tcW w:w="1701"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票据承兑人</w:t>
            </w:r>
          </w:p>
        </w:tc>
        <w:tc>
          <w:tcPr>
            <w:tcW w:w="5286"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18"/>
                <w:szCs w:val="18"/>
              </w:rPr>
              <w:t>本公司考虑所有合理且有依据的信息，包括历史信用损失经验，并考虑前瞻性信息结合当前状况以及未来经济情况的预测，通过违约风险敞口和整个存续期信用损失率，以单项或组合的方式对预期信用损失进行估计。</w:t>
            </w:r>
          </w:p>
        </w:tc>
      </w:tr>
    </w:tbl>
    <w:p>
      <w:pPr>
        <w:keepNext/>
        <w:keepLines/>
        <w:spacing w:before="300" w:after="300" w:line="280" w:lineRule="exact"/>
        <w:jc w:val="left"/>
        <w:outlineLvl w:val="2"/>
        <w:rPr>
          <w:rFonts w:ascii="宋体" w:hAnsi="宋体" w:eastAsia="宋体" w:cs="宋体"/>
          <w:b/>
          <w:bCs/>
          <w:sz w:val="21"/>
          <w:szCs w:val="21"/>
        </w:rPr>
      </w:pPr>
      <w:bookmarkStart w:id="118" w:name="_Toc989007"/>
      <w:r>
        <w:rPr>
          <w:rFonts w:ascii="宋体" w:hAnsi="宋体" w:eastAsia="宋体" w:cs="宋体"/>
          <w:b/>
          <w:bCs/>
          <w:sz w:val="21"/>
          <w:szCs w:val="21"/>
        </w:rPr>
        <w:t>14、其他应收款</w:t>
      </w:r>
      <w:bookmarkEnd w:id="11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其他应收款的预期信用损失的确定方法及会计处理方法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本公司对其他应收款采用预期信用损失的一般模型（详见附注“五、10、金融工具”）进行处理。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1、公司账龄组合与整个存续期间预期信用损失率对照表如下：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69"/>
        <w:gridCol w:w="2870"/>
        <w:gridCol w:w="28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single" w:color="auto" w:sz="8" w:space="0"/>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其他应收款账龄</w:t>
            </w:r>
          </w:p>
        </w:tc>
        <w:tc>
          <w:tcPr>
            <w:tcW w:w="2870"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预期信用损失率</w:t>
            </w:r>
            <w:r>
              <w:rPr>
                <w:rFonts w:hint="default" w:ascii="Times New Roman" w:hAnsi="Times New Roman" w:cs="Times New Roman"/>
                <w:sz w:val="18"/>
                <w:szCs w:val="18"/>
              </w:rPr>
              <w:t>1</w:t>
            </w:r>
            <w:r>
              <w:rPr>
                <w:rFonts w:hint="eastAsia" w:ascii="宋体" w:hAnsi="宋体" w:eastAsia="宋体" w:cs="宋体"/>
                <w:sz w:val="18"/>
                <w:szCs w:val="18"/>
              </w:rPr>
              <w:t>（</w:t>
            </w:r>
            <w:r>
              <w:rPr>
                <w:rFonts w:hint="default" w:ascii="Times New Roman" w:hAnsi="Times New Roman" w:cs="Times New Roman"/>
                <w:sz w:val="18"/>
                <w:szCs w:val="18"/>
              </w:rPr>
              <w:t>%</w:t>
            </w:r>
            <w:r>
              <w:rPr>
                <w:rFonts w:hint="eastAsia" w:ascii="宋体" w:hAnsi="宋体" w:eastAsia="宋体" w:cs="宋体"/>
                <w:sz w:val="18"/>
                <w:szCs w:val="18"/>
              </w:rPr>
              <w:t>）</w:t>
            </w:r>
          </w:p>
        </w:tc>
        <w:tc>
          <w:tcPr>
            <w:tcW w:w="2870" w:type="dxa"/>
            <w:tcBorders>
              <w:top w:val="single" w:color="auto" w:sz="8" w:space="0"/>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预期信用损失率</w:t>
            </w:r>
            <w:r>
              <w:rPr>
                <w:rFonts w:hint="default" w:ascii="Times New Roman" w:hAnsi="Times New Roman" w:cs="Times New Roman"/>
                <w:sz w:val="18"/>
                <w:szCs w:val="18"/>
              </w:rPr>
              <w:t>2</w:t>
            </w:r>
            <w:r>
              <w:rPr>
                <w:rFonts w:hint="eastAsia" w:ascii="宋体" w:hAnsi="宋体" w:eastAsia="宋体" w:cs="宋体"/>
                <w:sz w:val="18"/>
                <w:szCs w:val="18"/>
              </w:rPr>
              <w:t>（</w:t>
            </w:r>
            <w:r>
              <w:rPr>
                <w:rFonts w:hint="default" w:ascii="Times New Roman" w:hAnsi="Times New Roman" w:cs="Times New Roman"/>
                <w:sz w:val="18"/>
                <w:szCs w:val="18"/>
              </w:rPr>
              <w:t>%</w:t>
            </w:r>
            <w:r>
              <w:rPr>
                <w:rFonts w:hint="eastAsia" w:ascii="宋体" w:hAnsi="宋体" w:eastAsia="宋体" w:cs="宋体"/>
                <w:sz w:val="18"/>
                <w:szCs w:val="18"/>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1</w:t>
            </w:r>
            <w:r>
              <w:rPr>
                <w:rFonts w:hint="eastAsia" w:ascii="宋体" w:hAnsi="宋体" w:eastAsia="宋体" w:cs="宋体"/>
                <w:sz w:val="18"/>
                <w:szCs w:val="18"/>
              </w:rPr>
              <w:t>年以下（含</w:t>
            </w:r>
            <w:r>
              <w:rPr>
                <w:rFonts w:hint="default" w:ascii="Times New Roman" w:hAnsi="Times New Roman" w:cs="Times New Roman"/>
                <w:sz w:val="18"/>
                <w:szCs w:val="18"/>
              </w:rPr>
              <w:t>1</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5</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1-2</w:t>
            </w:r>
            <w:r>
              <w:rPr>
                <w:rFonts w:hint="eastAsia" w:ascii="宋体" w:hAnsi="宋体" w:eastAsia="宋体" w:cs="宋体"/>
                <w:sz w:val="18"/>
                <w:szCs w:val="18"/>
              </w:rPr>
              <w:t>年（含</w:t>
            </w:r>
            <w:r>
              <w:rPr>
                <w:rFonts w:hint="default" w:ascii="Times New Roman" w:hAnsi="Times New Roman" w:cs="Times New Roman"/>
                <w:sz w:val="18"/>
                <w:szCs w:val="18"/>
              </w:rPr>
              <w:t>2</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10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2-3</w:t>
            </w:r>
            <w:r>
              <w:rPr>
                <w:rFonts w:hint="eastAsia" w:ascii="宋体" w:hAnsi="宋体" w:eastAsia="宋体" w:cs="宋体"/>
                <w:sz w:val="18"/>
                <w:szCs w:val="18"/>
              </w:rPr>
              <w:t>年（含</w:t>
            </w:r>
            <w:r>
              <w:rPr>
                <w:rFonts w:hint="default" w:ascii="Times New Roman" w:hAnsi="Times New Roman" w:cs="Times New Roman"/>
                <w:sz w:val="18"/>
                <w:szCs w:val="18"/>
              </w:rPr>
              <w:t>3</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20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3-4</w:t>
            </w:r>
            <w:r>
              <w:rPr>
                <w:rFonts w:hint="eastAsia" w:ascii="宋体" w:hAnsi="宋体" w:eastAsia="宋体" w:cs="宋体"/>
                <w:sz w:val="18"/>
                <w:szCs w:val="18"/>
              </w:rPr>
              <w:t>年（含</w:t>
            </w:r>
            <w:r>
              <w:rPr>
                <w:rFonts w:hint="default" w:ascii="Times New Roman" w:hAnsi="Times New Roman" w:cs="Times New Roman"/>
                <w:sz w:val="18"/>
                <w:szCs w:val="18"/>
              </w:rPr>
              <w:t>4</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30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4-5</w:t>
            </w:r>
            <w:r>
              <w:rPr>
                <w:rFonts w:hint="eastAsia" w:ascii="宋体" w:hAnsi="宋体" w:eastAsia="宋体" w:cs="宋体"/>
                <w:sz w:val="18"/>
                <w:szCs w:val="18"/>
              </w:rPr>
              <w:t>年（含</w:t>
            </w:r>
            <w:r>
              <w:rPr>
                <w:rFonts w:hint="default" w:ascii="Times New Roman" w:hAnsi="Times New Roman" w:cs="Times New Roman"/>
                <w:sz w:val="18"/>
                <w:szCs w:val="18"/>
              </w:rPr>
              <w:t>5</w:t>
            </w:r>
            <w:r>
              <w:rPr>
                <w:rFonts w:hint="eastAsia" w:ascii="宋体" w:hAnsi="宋体" w:eastAsia="宋体" w:cs="宋体"/>
                <w:sz w:val="18"/>
                <w:szCs w:val="18"/>
              </w:rPr>
              <w:t>年）</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50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69" w:type="dxa"/>
            <w:tcBorders>
              <w:top w:val="nil"/>
              <w:left w:val="single" w:color="auto" w:sz="8" w:space="0"/>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firstLine="283"/>
              <w:jc w:val="left"/>
              <w:rPr>
                <w:rFonts w:hint="default" w:ascii="Times New Roman" w:hAnsi="Times New Roman" w:cs="Times New Roman"/>
                <w:sz w:val="24"/>
                <w:szCs w:val="24"/>
              </w:rPr>
            </w:pPr>
            <w:r>
              <w:rPr>
                <w:rFonts w:hint="default" w:ascii="Times New Roman" w:hAnsi="Times New Roman" w:cs="Times New Roman"/>
                <w:sz w:val="18"/>
                <w:szCs w:val="18"/>
              </w:rPr>
              <w:t>5</w:t>
            </w:r>
            <w:r>
              <w:rPr>
                <w:rFonts w:hint="eastAsia" w:ascii="宋体" w:hAnsi="宋体" w:eastAsia="宋体" w:cs="宋体"/>
                <w:sz w:val="18"/>
                <w:szCs w:val="18"/>
              </w:rPr>
              <w:t>年以上</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100</w:t>
            </w:r>
          </w:p>
        </w:tc>
        <w:tc>
          <w:tcPr>
            <w:tcW w:w="2870" w:type="dxa"/>
            <w:tcBorders>
              <w:top w:val="nil"/>
              <w:left w:val="nil"/>
              <w:bottom w:val="single" w:color="auto" w:sz="8" w:space="0"/>
              <w:right w:val="single" w:color="auto" w:sz="8" w:space="0"/>
            </w:tcBorders>
            <w:shd w:val="clear" w:color="auto" w:fill="auto"/>
            <w:tcMar>
              <w:top w:w="10" w:type="dxa"/>
              <w:left w:w="10" w:type="dxa"/>
              <w:bottom w:w="10" w:type="dxa"/>
              <w:right w:w="10" w:type="dxa"/>
            </w:tcMar>
            <w:vAlign w:val="top"/>
          </w:tcPr>
          <w:p>
            <w:pPr>
              <w:pStyle w:val="2"/>
              <w:keepNext w:val="0"/>
              <w:keepLines w:val="0"/>
              <w:widowControl/>
              <w:suppressLineNumbers w:val="0"/>
              <w:spacing w:before="0" w:beforeAutospacing="0" w:after="0" w:afterAutospacing="0"/>
              <w:ind w:left="1" w:right="0"/>
              <w:jc w:val="center"/>
              <w:rPr>
                <w:rFonts w:hint="default" w:ascii="Times New Roman" w:hAnsi="Times New Roman" w:cs="Times New Roman"/>
                <w:sz w:val="24"/>
                <w:szCs w:val="24"/>
              </w:rPr>
            </w:pPr>
            <w:r>
              <w:rPr>
                <w:rFonts w:hint="default" w:ascii="Times New Roman" w:hAnsi="Times New Roman" w:cs="Times New Roman"/>
                <w:sz w:val="18"/>
                <w:szCs w:val="18"/>
              </w:rPr>
              <w:t>100</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注：湖南博云新材料股份有限公司、湖南博云东方粉末冶金有限公司和长沙鑫航机轮刹车有限公司按照“预期信用损失率1（%）”计提，长沙伟徽高科技新材料有限公司按照“预期信用损失率2（%）”计提。</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2、如果有客观证据表明某项其他应收款已经发生信用减值，则本公司对该其他应收款单项计提坏账准备并确认预期信用损失。</w:t>
      </w:r>
    </w:p>
    <w:p>
      <w:pPr>
        <w:keepNext/>
        <w:keepLines/>
        <w:spacing w:before="300" w:after="300" w:line="280" w:lineRule="exact"/>
        <w:jc w:val="left"/>
        <w:outlineLvl w:val="2"/>
        <w:rPr>
          <w:rFonts w:ascii="宋体" w:hAnsi="宋体" w:eastAsia="宋体" w:cs="宋体"/>
          <w:b/>
          <w:bCs/>
          <w:sz w:val="21"/>
          <w:szCs w:val="21"/>
        </w:rPr>
      </w:pPr>
      <w:bookmarkStart w:id="119" w:name="_Toc989008"/>
      <w:r>
        <w:rPr>
          <w:rFonts w:ascii="宋体" w:hAnsi="宋体" w:eastAsia="宋体" w:cs="宋体"/>
          <w:b/>
          <w:bCs/>
          <w:sz w:val="21"/>
          <w:szCs w:val="21"/>
        </w:rPr>
        <w:t>15、存货</w:t>
      </w:r>
      <w:bookmarkEnd w:id="119"/>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（1）存货的分类和成本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存货分类为：原材料、在产品、库存商品、周转材料、委托加工物资、发出商品等。</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存货按成本进行初始计量，存货成本包括采购成本、加工成本和其他使存货达到目前场所和状态所发生的支出。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（2）发出存货的计价方法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存货发出时按加权平均法计价，低值易耗品于领用时一次转销列成本费用。</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（3）不同类别存货可变现净值的确定依据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计提存货跌价准备后，如果以前减记存货价值的影响因素已经消失，导致存货的可变现净值高于其账面价值的，在原已计提的存货跌价准备金额内予以转回，转回的金额计入当期损益。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（4）存货的盘存制度</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采用永续盘存制。</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（5）低值易耗品和包装物的摊销方法</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1）低值易耗品采用一次转销法.</w:t>
      </w:r>
    </w:p>
    <w:p>
      <w:pPr>
        <w:pStyle w:val="2"/>
        <w:keepNext w:val="0"/>
        <w:keepLines w:val="0"/>
        <w:widowControl/>
        <w:suppressLineNumbers w:val="0"/>
        <w:spacing w:before="0" w:beforeAutospacing="0" w:after="0" w:afterAutospacing="0" w:line="360" w:lineRule="atLeast"/>
        <w:ind w:left="0" w:right="0" w:firstLine="630"/>
        <w:jc w:val="both"/>
        <w:rPr>
          <w:rFonts w:hint="default" w:ascii="Times New Roman" w:hAnsi="Times New Roman" w:cs="Times New Roman"/>
          <w:sz w:val="24"/>
          <w:szCs w:val="24"/>
        </w:rPr>
      </w:pPr>
      <w:r>
        <w:rPr>
          <w:rFonts w:hint="eastAsia" w:ascii="宋体" w:hAnsi="宋体" w:eastAsia="宋体" w:cs="宋体"/>
          <w:color w:val="000000"/>
          <w:sz w:val="21"/>
          <w:szCs w:val="21"/>
        </w:rPr>
        <w:t>2）包装物采用一次转销法。</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16、合同资产</w:t>
      </w:r>
      <w:bookmarkEnd w:id="120"/>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w:t>
      </w:r>
      <w:r>
        <w:rPr>
          <w:rFonts w:hint="eastAsia" w:ascii="宋体" w:hAnsi="宋体" w:eastAsia="宋体" w:cs="宋体"/>
          <w:color w:val="000000"/>
          <w:sz w:val="21"/>
          <w:szCs w:val="21"/>
        </w:rPr>
        <w:t>合同资产的确认方法及标准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（2）合同资产预期信用损失的确定方法及会计处理方法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合同资产的预期信用损失的确定方法及会计处理方法详见本附注“五、（10）6、金融资产减值的测试方法及会计处理方法”。</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17、合同成本</w:t>
      </w:r>
      <w:bookmarkEnd w:id="121"/>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合同成本包括合同履约成本与合同取得成本。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本公司为履行合同而发生的成本，不属于存货、固定资产或无形资产等相关准则规范范围的，在满足下列条件时作为合同履约成本确认为一项资产：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该成本与一份当前或预期取得的合同直接相关。</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该成本增加了本公司未来用于履行履约义务的资源。</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该成本预期能够收回。</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本公司为取得合同发生的增量成本预期能够收回的，作为合同取得成本确认为一项资产。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与合同成本有关的资产采用与该资产相关的商品或服务收入确认相同的基础进行摊销；但是对于合同取得成本摊销期限未超过一年的，本公司在发生时将其计入当期损益。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与合同成本有关的资产，其账面价值高于下列两项的差额的，本公司对超出部分计提减值准备，并确认为资产减值损失：</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（1）因转让与该资产相关的商品或服务预期能够取得的剩余对价；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（2）为转让该相关商品或服务估计将要发生的成本。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22" w:name="_Toc989011"/>
      <w:r>
        <w:rPr>
          <w:rFonts w:ascii="宋体" w:hAnsi="宋体" w:eastAsia="宋体" w:cs="宋体"/>
          <w:b/>
          <w:bCs/>
          <w:sz w:val="21"/>
          <w:szCs w:val="21"/>
        </w:rPr>
        <w:t>18、持有待售资产</w:t>
      </w:r>
      <w:bookmarkEnd w:id="122"/>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主要通过出售（包括具有商业实质的非货币性资产交换）而非持续使用一项非流动资产或处置组收回其账面价值的，划分为持有待售类别。</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本公司将同时满足下列条件的非流动资产或处置组划分为持有待售类别：</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（1）根据类似交易中出售此类资产或处置组的惯例，在当前状况下即可立即出售；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（2）出售极可能发生，即本公司已经就一项出售计划作出决议且获得确定的购买承诺，预计出售将在一年内完成。有关规定要求本公司相关权力机构或者监管部门批准后方可出售的，已经获得批准。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ascii="宋体" w:hAnsi="宋体" w:eastAsia="宋体" w:cs="宋体"/>
          <w:b/>
          <w:bCs/>
          <w:sz w:val="21"/>
          <w:szCs w:val="21"/>
        </w:rPr>
      </w:pPr>
      <w:bookmarkStart w:id="123" w:name="_Toc989012"/>
      <w:r>
        <w:rPr>
          <w:rFonts w:ascii="宋体" w:hAnsi="宋体" w:eastAsia="宋体" w:cs="宋体"/>
          <w:b/>
          <w:bCs/>
          <w:sz w:val="21"/>
          <w:szCs w:val="21"/>
        </w:rPr>
        <w:t>19、长期股权投资</w:t>
      </w:r>
      <w:bookmarkEnd w:id="123"/>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（1）共同控制、重大影响的判断标准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（2）初始投资成本的确定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1）企业合并形成的长期股权投资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资本公积（资本溢价或股本溢价），资本公积不足冲减的，冲减留存收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2）通过企业合并以外的其他方式取得的长期股权投资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以支付现金方式取得的长期股权投资，按照实际支付的购买价款作为初始投资成本。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以发行权益性证券取得的长期股权投资，按照发行权益性证券的公允价值作为初始投资成本。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（3）后续计量及损益确认方法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1）成本法核算的长期股权投资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2）权益法核算的长期股权投资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3）长期股权投资的处置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处置长期股权投资，其账面价值与实际取得价款的差额，计入当期损益。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  </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color w:val="000000"/>
          <w:sz w:val="21"/>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20、固定资产</w:t>
      </w:r>
      <w:bookmarkEnd w:id="124"/>
    </w:p>
    <w:p>
      <w:pPr>
        <w:keepNext/>
        <w:keepLines/>
        <w:spacing w:before="300" w:after="300" w:line="280" w:lineRule="exact"/>
        <w:jc w:val="left"/>
        <w:outlineLvl w:val="3"/>
        <w:rPr>
          <w:rFonts w:ascii="宋体" w:hAnsi="宋体" w:eastAsia="宋体" w:cs="宋体"/>
          <w:b/>
          <w:bCs/>
          <w:sz w:val="21"/>
          <w:szCs w:val="21"/>
        </w:rPr>
      </w:pPr>
      <w:bookmarkStart w:id="125" w:name="_Toc989014"/>
      <w:r>
        <w:rPr>
          <w:rFonts w:ascii="宋体" w:hAnsi="宋体" w:eastAsia="宋体" w:cs="宋体"/>
          <w:b/>
          <w:bCs/>
          <w:sz w:val="21"/>
          <w:szCs w:val="21"/>
        </w:rPr>
        <w:t>（1） 确认条件</w:t>
      </w:r>
      <w:bookmarkEnd w:id="125"/>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固定资产指为生产商品、提供劳务、出租或经营管理而持有，并且使用寿命超过一个会计年度的有形资产。固定资产在同时满足下列条件时予以确认：</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1）与该固定资产有关的经济利益很可能流入企业；</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2）该固定资产的成本能够可靠地计量。</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 xml:space="preserve">固定资产按成本（并考虑预计弃置费用因素的影响）进行初始计量。 </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 xml:space="preserve">与固定资产有关的后续支出，在与其有关的经济利益很可能流入且其成本能够可靠计量时，计入固定资产成本；对于被替换的部分，终止确认其账面价值；所有其他后续支出于发生时计入当期损益。 </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（2）折旧方法</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2"/>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各类固定资产折旧方法、折旧年限、残值率和年折旧率如下：</w:t>
      </w:r>
    </w:p>
    <w:p>
      <w:pPr>
        <w:keepNext/>
        <w:keepLines/>
        <w:spacing w:before="300" w:after="300" w:line="280" w:lineRule="exact"/>
        <w:jc w:val="left"/>
        <w:outlineLvl w:val="3"/>
        <w:rPr>
          <w:rFonts w:ascii="宋体" w:hAnsi="宋体" w:eastAsia="宋体" w:cs="宋体"/>
          <w:b/>
          <w:bCs/>
          <w:sz w:val="21"/>
          <w:szCs w:val="21"/>
        </w:rPr>
      </w:pPr>
      <w:bookmarkStart w:id="126" w:name="_Toc989015"/>
      <w:r>
        <w:rPr>
          <w:rFonts w:ascii="宋体" w:hAnsi="宋体" w:eastAsia="宋体" w:cs="宋体"/>
          <w:b/>
          <w:bCs/>
          <w:sz w:val="21"/>
          <w:szCs w:val="21"/>
        </w:rPr>
        <w:t>（2） 折旧方法</w:t>
      </w:r>
      <w:bookmarkEnd w:id="126"/>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2.38-9.50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9.50-19.00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（3）固定资产处置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当固定资产被处置、或者预期通过使用或处置不能产生经济利益时，终止确认该固定资产。固定资产出售、转让、报废或毁损的处置收入扣除其账面价值和相关税费后的金额计入当期损益。</w:t>
      </w:r>
    </w:p>
    <w:p>
      <w:pPr>
        <w:keepNext/>
        <w:keepLines/>
        <w:spacing w:before="300" w:after="300" w:line="280" w:lineRule="exact"/>
        <w:jc w:val="left"/>
        <w:outlineLvl w:val="2"/>
        <w:rPr>
          <w:rFonts w:ascii="宋体" w:hAnsi="宋体" w:eastAsia="宋体" w:cs="宋体"/>
          <w:b/>
          <w:bCs/>
          <w:sz w:val="21"/>
          <w:szCs w:val="21"/>
        </w:rPr>
      </w:pPr>
      <w:bookmarkStart w:id="127" w:name="_Toc989016"/>
      <w:r>
        <w:rPr>
          <w:rFonts w:ascii="宋体" w:hAnsi="宋体" w:eastAsia="宋体" w:cs="宋体"/>
          <w:b/>
          <w:bCs/>
          <w:sz w:val="21"/>
          <w:szCs w:val="21"/>
        </w:rPr>
        <w:t>21、在建工程</w:t>
      </w:r>
      <w:bookmarkEnd w:id="127"/>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pPr>
        <w:keepNext/>
        <w:keepLines/>
        <w:spacing w:before="300" w:after="300" w:line="280" w:lineRule="exact"/>
        <w:jc w:val="left"/>
        <w:outlineLvl w:val="2"/>
        <w:rPr>
          <w:rFonts w:ascii="宋体" w:hAnsi="宋体" w:eastAsia="宋体" w:cs="宋体"/>
          <w:b/>
          <w:bCs/>
          <w:sz w:val="21"/>
          <w:szCs w:val="21"/>
        </w:rPr>
      </w:pPr>
      <w:bookmarkStart w:id="128" w:name="_Toc989017"/>
      <w:r>
        <w:rPr>
          <w:rFonts w:ascii="宋体" w:hAnsi="宋体" w:eastAsia="宋体" w:cs="宋体"/>
          <w:b/>
          <w:bCs/>
          <w:sz w:val="21"/>
          <w:szCs w:val="21"/>
        </w:rPr>
        <w:t>22、借款费用</w:t>
      </w:r>
      <w:bookmarkEnd w:id="128"/>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（1）借款费用资本化的确认原则</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公司发生的借款费用，可直接归属于符合资本化条件的资产的购建或者生产的，予以资本化，计入相关资产成本；其他借款费用，在发生时根据其发生额确认为费用，计入当期损益。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符合资本化条件的资产，是指需要经过相当长时间的购建或者生产活动才能达到预定可使用或者可销售状态的固定资产、投资性房地产和存货等资产。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（2）借款费用资本化期间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资本化期间，指从借款费用开始资本化时点到停止资本化时点的期间，借款费用暂停资本化的期间不包括在内。</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借款费用同时满足下列条件时开始资本化：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xml:space="preserve">1）资产支出已经发生，资产支出包括为购建或者生产符合资本化条件的资产而以支付现金、转移非现金资产或者承担带息债务形式发生的支出；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xml:space="preserve">2）借款费用已经发生；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3）为使资产达到预定可使用或者可销售状态所必要的购建或者生产活动已经开始。</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当购建或者生产符合资本化条件的资产达到预定可使用或者可销售状态时，借款费用停止资本化。</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（3）暂停资本化期间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（4）借款费用资本化率、资本化金额的计算方法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23、无形资产</w:t>
      </w:r>
      <w:bookmarkEnd w:id="129"/>
    </w:p>
    <w:p>
      <w:pPr>
        <w:keepNext/>
        <w:keepLines/>
        <w:spacing w:before="300" w:after="300" w:line="280" w:lineRule="exact"/>
        <w:jc w:val="left"/>
        <w:outlineLvl w:val="3"/>
        <w:rPr>
          <w:rFonts w:ascii="宋体" w:hAnsi="宋体" w:eastAsia="宋体" w:cs="宋体"/>
          <w:b/>
          <w:bCs/>
          <w:sz w:val="21"/>
          <w:szCs w:val="21"/>
        </w:rPr>
      </w:pPr>
      <w:bookmarkStart w:id="130" w:name="_Toc989019"/>
      <w:r>
        <w:rPr>
          <w:rFonts w:ascii="宋体" w:hAnsi="宋体" w:eastAsia="宋体" w:cs="宋体"/>
          <w:b/>
          <w:bCs/>
          <w:sz w:val="21"/>
          <w:szCs w:val="21"/>
        </w:rPr>
        <w:t>（1） 计价方法、使用寿命、减值测试</w:t>
      </w:r>
      <w:bookmarkEnd w:id="130"/>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（1）无形资产的计价方法</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1）公司取得无形资产时按成本进行初始计量；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外购无形资产的成本，包括购买价款、相关税费以及直接归属于使该项资产达到预定用途所发生的其他支出。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2）后续计量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在取得无形资产时分析判断其使用寿命。</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对于使用寿命有限的无形资产，在为企业带来经济利益的期限内摊销；无法预见无形资产为企业带来经济利益期限的，视为使用寿命不确定的无形资产，不予摊销。</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（2）使用寿命有限的无形资产的使用寿命估计情况</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61"/>
        <w:gridCol w:w="1495"/>
        <w:gridCol w:w="1827"/>
        <w:gridCol w:w="1549"/>
        <w:gridCol w:w="21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1087"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cs="Times New Roman"/>
                <w:color w:val="000000"/>
                <w:sz w:val="21"/>
                <w:szCs w:val="21"/>
              </w:rPr>
              <w:t> </w:t>
            </w:r>
            <w:r>
              <w:rPr>
                <w:rFonts w:hint="eastAsia" w:ascii="宋体" w:hAnsi="宋体" w:eastAsia="宋体" w:cs="宋体"/>
                <w:color w:val="000000"/>
                <w:sz w:val="18"/>
                <w:szCs w:val="18"/>
              </w:rPr>
              <w:t>项目</w:t>
            </w:r>
          </w:p>
        </w:tc>
        <w:tc>
          <w:tcPr>
            <w:tcW w:w="828"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预计使用寿命</w:t>
            </w:r>
          </w:p>
        </w:tc>
        <w:tc>
          <w:tcPr>
            <w:tcW w:w="101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摊销方法</w:t>
            </w:r>
          </w:p>
        </w:tc>
        <w:tc>
          <w:tcPr>
            <w:tcW w:w="85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残值率</w:t>
            </w:r>
          </w:p>
        </w:tc>
        <w:tc>
          <w:tcPr>
            <w:tcW w:w="1215"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土地使用权</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50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土地使用权期限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软件</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10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专有技术</w:t>
            </w:r>
          </w:p>
        </w:tc>
        <w:tc>
          <w:tcPr>
            <w:tcW w:w="82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10</w:t>
            </w:r>
          </w:p>
        </w:tc>
        <w:tc>
          <w:tcPr>
            <w:tcW w:w="101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5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21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）使用寿命不确定的无形资产的判断依据以及对其使用寿命进行复核的程序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本公司尚不存在使用寿命不确定的无形资产。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 划分研究阶段和开发阶段的具体标准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公司内部研究开发项目的支出分为研究阶段支出和开发阶段支出。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研究阶段：为获取并理解新的科学或技术知识等而进行的独创性的有计划调查、研究活动的阶段。</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开发阶段：在进行商业性生产或使用前，将研究成果或其他知识应用于某项计划或设计，以生产出新的或具有实质性改进的材料、装置、产品等活动的阶段。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（5） 开发阶段支出资本化的具体条件</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研究阶段的支出，于发生时计入当期损益。开发阶段的支出同时满足下列条件的，确认为无形资产，不能满足下述条件的开发阶段的支出计入当期损益：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 完成该无形资产以使其能够使用或出售在技术上具有可行性；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 具有完成该无形资产并使用或出售的意图；</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 无形资产产生经济利益的方式，包括能够证明运用该无形资产生产的产品存在市场或无形资产自身存在市场，无形资产将在内部使用的，能够证明其有用性；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4) 有足够的技术、财务资源和其他资源支持，以完成该无形资产的开发，并有能力使用或出售该无形资产；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5) 归属于该无形资产开发阶段的支出能够可靠地计量。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无法区分研究阶段支出和开发阶段支出的，将发生的研发支出全部计入当期损益。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主要研发项目为新型飞机刹车材料研制、飞机刹车材料改进研制、新型高性能模具材料研制等，其中：新型飞机刹车材料研制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飞机刹车材料改进研制项目，是基于在已研制完成项目基础上进行改进，故将实质性研发支出直接资本化；新型高性能模具材料研制，以完成配方试验作为资本化时点。以完成研发成果鉴定、验收或取得PMA证书等作为转入无形资产核算时点。</w:t>
      </w:r>
    </w:p>
    <w:p>
      <w:pPr>
        <w:keepNext/>
        <w:keepLines/>
        <w:spacing w:before="300" w:after="300" w:line="280" w:lineRule="exact"/>
        <w:jc w:val="left"/>
        <w:outlineLvl w:val="2"/>
        <w:rPr>
          <w:rFonts w:ascii="宋体" w:hAnsi="宋体" w:eastAsia="宋体" w:cs="宋体"/>
          <w:b/>
          <w:bCs/>
          <w:sz w:val="21"/>
          <w:szCs w:val="21"/>
        </w:rPr>
      </w:pPr>
      <w:bookmarkStart w:id="131" w:name="_Toc989020"/>
      <w:r>
        <w:rPr>
          <w:rFonts w:ascii="宋体" w:hAnsi="宋体" w:eastAsia="宋体" w:cs="宋体"/>
          <w:b/>
          <w:bCs/>
          <w:sz w:val="21"/>
          <w:szCs w:val="21"/>
        </w:rPr>
        <w:t>24、长期资产减值</w:t>
      </w:r>
      <w:bookmarkEnd w:id="131"/>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长期股权投资、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对于因企业合并形成的商誉、使用寿命不确定的无形资产、尚未达到可使用状态的无形资产，无论是否存在减值迹象，至少在每年年度终了进行减值测试。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上述资产减值损失一经确认，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32" w:name="_Toc989021"/>
      <w:r>
        <w:rPr>
          <w:rFonts w:ascii="宋体" w:hAnsi="宋体" w:eastAsia="宋体" w:cs="宋体"/>
          <w:b/>
          <w:bCs/>
          <w:sz w:val="21"/>
          <w:szCs w:val="21"/>
        </w:rPr>
        <w:t>25、长期待摊费用</w:t>
      </w:r>
      <w:bookmarkEnd w:id="132"/>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长期待摊费用为已经发生但应由本期和以后各期负担的分摊期限在一年以上的各项费用。</w:t>
      </w:r>
    </w:p>
    <w:p>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26、合同负债</w:t>
      </w:r>
      <w:bookmarkEnd w:id="133"/>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  </w:t>
      </w:r>
    </w:p>
    <w:p>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27、职工薪酬</w:t>
      </w:r>
      <w:bookmarkEnd w:id="134"/>
    </w:p>
    <w:p>
      <w:pPr>
        <w:keepNext/>
        <w:keepLines/>
        <w:spacing w:before="300" w:after="300" w:line="280" w:lineRule="exact"/>
        <w:jc w:val="left"/>
        <w:outlineLvl w:val="3"/>
        <w:rPr>
          <w:rFonts w:ascii="宋体" w:hAnsi="宋体" w:eastAsia="宋体" w:cs="宋体"/>
          <w:b/>
          <w:bCs/>
          <w:sz w:val="21"/>
          <w:szCs w:val="21"/>
        </w:rPr>
      </w:pPr>
      <w:bookmarkStart w:id="135" w:name="_Toc989024"/>
      <w:r>
        <w:rPr>
          <w:rFonts w:ascii="宋体" w:hAnsi="宋体" w:eastAsia="宋体" w:cs="宋体"/>
          <w:b/>
          <w:bCs/>
          <w:sz w:val="21"/>
          <w:szCs w:val="21"/>
        </w:rPr>
        <w:t>（1） 短期薪酬的会计处理方法</w:t>
      </w:r>
      <w:bookmarkEnd w:id="135"/>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本公司在职工为本公司提供服务的会计期间，将实际发生的短期薪酬确认为负债，并计入当期损益或相关资产成本。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本公司发生的职工福利费，在实际发生时根据实际发生额计入当期损益或相关资产成本，其中，非货币性福利按照公允价值计量。</w:t>
      </w:r>
    </w:p>
    <w:p>
      <w:pPr>
        <w:keepNext/>
        <w:keepLines/>
        <w:spacing w:before="300" w:after="300" w:line="280" w:lineRule="exact"/>
        <w:jc w:val="left"/>
        <w:outlineLvl w:val="3"/>
        <w:rPr>
          <w:rFonts w:ascii="宋体" w:hAnsi="宋体" w:eastAsia="宋体" w:cs="宋体"/>
          <w:b/>
          <w:bCs/>
          <w:sz w:val="21"/>
          <w:szCs w:val="21"/>
        </w:rPr>
      </w:pPr>
      <w:bookmarkStart w:id="136" w:name="_Toc989025"/>
      <w:r>
        <w:rPr>
          <w:rFonts w:ascii="宋体" w:hAnsi="宋体" w:eastAsia="宋体" w:cs="宋体"/>
          <w:b/>
          <w:bCs/>
          <w:sz w:val="21"/>
          <w:szCs w:val="21"/>
        </w:rPr>
        <w:t>（2） 离职后福利的会计处理方法</w:t>
      </w:r>
      <w:bookmarkEnd w:id="136"/>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1）设定提存计划</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基金。本公司按职工工资总额的一定比例向年金计划/当地社会保险机构缴费，相应支出计入当期损益或相关资产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2）设定受益计划</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本公司根据预期累计福利单位法确定的公式将设定受益计划产生的福利义务归属于职工提供服务的期间，并计入当期损益或相关资产成本。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在设定受益计划结算时，按在结算日确定的设定受益计划义务现值和结算价格两者的差额，确认结算利得或损失。</w:t>
      </w:r>
    </w:p>
    <w:p>
      <w:pPr>
        <w:keepNext/>
        <w:keepLines/>
        <w:spacing w:before="300" w:after="300" w:line="280" w:lineRule="exact"/>
        <w:jc w:val="left"/>
        <w:outlineLvl w:val="3"/>
        <w:rPr>
          <w:rFonts w:ascii="宋体" w:hAnsi="宋体" w:eastAsia="宋体" w:cs="宋体"/>
          <w:b/>
          <w:bCs/>
          <w:sz w:val="21"/>
          <w:szCs w:val="21"/>
        </w:rPr>
      </w:pPr>
      <w:bookmarkStart w:id="137" w:name="_Toc989026"/>
      <w:r>
        <w:rPr>
          <w:rFonts w:ascii="宋体" w:hAnsi="宋体" w:eastAsia="宋体" w:cs="宋体"/>
          <w:b/>
          <w:bCs/>
          <w:sz w:val="21"/>
          <w:szCs w:val="21"/>
        </w:rPr>
        <w:t>（3） 辞退福利的会计处理方法</w:t>
      </w:r>
      <w:bookmarkEnd w:id="137"/>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28、预计负债</w:t>
      </w:r>
      <w:bookmarkEnd w:id="138"/>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与或有事项相关的义务同时满足下列条件时，本公司将其确认为预计负债：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（1）该义务是本公司承担的现时义务；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（2）履行该义务很可能导致经济利益流出本公司；</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（3）该义务的金额能够可靠地计量。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预计负债按履行相关现时义务所需的支出的最佳估计数进行初始计量。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在确定最佳估计数时，综合考虑与或有事项有关的风险、不确定性和货币时间价值等因素。对于货币时间价值影响重大的，通过对相关未来现金流出进行折现后确定最佳估计数。</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所需支出存在一个连续范围，且该范围内各种结果发生的可能性相同的，最佳估计数按照该范围内的中间值确定；在其他情况下，最佳估计数分别下列情况处理：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或有事项涉及单个项目的，按照最可能发生金额确定。</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或有事项涉及多个项目的，按照各种可能结果及相关概率计算确定。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清偿预计负债所需支出全部或部分预期由第三方补偿的，补偿金额在基本确定能够收到时，作为资产单独确认，确认的补偿金额不超过预计负债的账面价值。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29、收入</w:t>
      </w:r>
      <w:bookmarkEnd w:id="139"/>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收入确认和计量所采用的会计政策</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本公司在履行了合同中的履约义务，即在客户取得相关商品或服务控制权时确认收入。取得相关商品或服务控制权，是指能够主导该商品或服务的使用并从中获得几乎全部的经济利益。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满足下列条件之一的，属于在某一时段内履行履约义务，否则，属于在某一时点履行履约义务：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客户在本公司履约的同时即取得并消耗本公司履约所带来的经济利益。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客户能够控制本公司履约过程中在建的商品。</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本公司履约过程中所产出的商品具有不可替代用途，且本公司在整个合同期内有权就累计至今已完成的履约部分收取款项。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对于在某一时点履行的履约义务，本公司在客户取得相关商品或服务控制权时点确认收入。在判断客户是否已取得商品或服务控制权时，本公司考虑下列迹象：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本公司就该商品或服务享有现时收款权利，即客户就该商品或服务负有现时付款义务。</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本公司已将该商品的法定所有权转移给客户，即客户已拥有该商品的法定所有权。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本公司已将该商品实物转移给客户，即客户已实物占有该商品。</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本公司已将该商品所有权上的主要风险和报酬转移给客户，即客户已取得该商品所有权上的主要风险和报酬。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客户已接受该商品或服务等。</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本公司主要产品为飞机刹车材料、航天及民用碳\碳复合材料、高性能模具材料。</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本公司主要产品内销收入具体政策如下：</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收入确认时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航天及民用碳\碳复合材料：根据合同是否约定验收合格条款而分别以客户确认收货或客户验收合格作为收入确认时点。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高性能硬质合金材料：主要采取快递的运输方式，待客户确认收货后公司开具发票，故公司以客户确认收货作为收入确认时点。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稀有金属粉体新材料：公司将产品交付客户，经客户验收合格后确认收入。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出口销售：主要为FCA、FOB两种模式，出口报关后凭报关单、装箱单、运输发票等原始凭证确认收入。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同类业务采用不同经营模式导致收入确认会计政策存在差异的情况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同类业务采用不同经营模式导致收入确认会计政策存在差异的情况</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30、政府补助</w:t>
      </w:r>
      <w:bookmarkEnd w:id="140"/>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（1）类型</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政府补助，是本公司从政府无偿取得的货币性资产或非货币性资产，分为与资产相关的政府补助和与收益相关的政府补助。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与资产相关的政府补助，是指本公司取得的、用于购建或以其他方式形成长期资产的政府补助。与收益相关的政府补助，是指除与资产相关的政府补助之外的政府补助。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 确认时点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政府补助在本公司能够满足其所附的条件并且能够收到时，予以确认。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资产相关的政府补助，确认为递延收益，在相关资产使用寿命内按照合理、系统的方法分期计入当期损益。相关资产在使用寿命结束前被出售、转让、报废或发生毁损的，将尚未分配的相关递延收益余额转入资产处置当期的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本公司取得的政策性优惠贷款贴息，区分以下两种情况，分别进行会计处理：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2）财政将贴息资金直接拨付给本公司的，本公司将对应的贴息冲减相关借款费用。</w:t>
      </w:r>
    </w:p>
    <w:p>
      <w:pPr>
        <w:keepNext/>
        <w:keepLines/>
        <w:spacing w:before="300" w:after="300" w:line="280" w:lineRule="exact"/>
        <w:jc w:val="left"/>
        <w:outlineLvl w:val="2"/>
        <w:rPr>
          <w:rFonts w:ascii="宋体" w:hAnsi="宋体" w:eastAsia="宋体" w:cs="宋体"/>
          <w:b/>
          <w:bCs/>
          <w:sz w:val="21"/>
          <w:szCs w:val="21"/>
        </w:rPr>
      </w:pPr>
      <w:bookmarkStart w:id="141" w:name="_Toc989030"/>
      <w:r>
        <w:rPr>
          <w:rFonts w:ascii="宋体" w:hAnsi="宋体" w:eastAsia="宋体" w:cs="宋体"/>
          <w:b/>
          <w:bCs/>
          <w:sz w:val="21"/>
          <w:szCs w:val="21"/>
        </w:rPr>
        <w:t>31、递延所得税资产/递延所得税负债</w:t>
      </w:r>
      <w:bookmarkEnd w:id="141"/>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所得税包括当期所得税和递延所得税。除因企业合并和直接计入所有者权益(包括其他综合收益)的交易或者事项产生的所得税外，本公司将当期所得税和递延所得税计入当期损益。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递延所得税资产和递延所得税负债根据资产和负债的计税基础与其账面价值的差额(暂时性差异)计算确认。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对于应纳税暂时性差异，除特殊情况外，确认递延所得税负债。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不确认递延所得税资产或递延所得税负债的特殊情况包括：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商誉的初始确认；</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既不是企业合并、发生时也不影响会计利润和应纳税所得额(或可抵扣亏损)的交易或事项。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资产负债表日，对于递延所得税资产和递延所得税负债，根据税法规定，按照预期收回相关资产或清偿相关负债期间的适用税率计量。</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当拥有以净额结算的法定权利，且意图以净额结算或取得资产、清偿负债同时进行时，当期所得税资产及当期所得税负债以抵销后的净额列报。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资产负债表日，递延所得税资产及递延所得税负债在同时满足以下条件时以抵销后的净额列示：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纳税主体拥有以净额结算当期所得税资产及当期所得税负债的法定权利；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ascii="宋体" w:hAnsi="宋体" w:eastAsia="宋体" w:cs="宋体"/>
          <w:b/>
          <w:bCs/>
          <w:sz w:val="21"/>
          <w:szCs w:val="21"/>
        </w:rPr>
      </w:pPr>
      <w:bookmarkStart w:id="142" w:name="_Toc989031"/>
      <w:r>
        <w:rPr>
          <w:rFonts w:ascii="宋体" w:hAnsi="宋体" w:eastAsia="宋体" w:cs="宋体"/>
          <w:b/>
          <w:bCs/>
          <w:sz w:val="21"/>
          <w:szCs w:val="21"/>
        </w:rPr>
        <w:t>32、租赁</w:t>
      </w:r>
      <w:bookmarkEnd w:id="142"/>
    </w:p>
    <w:p>
      <w:pPr>
        <w:keepNext/>
        <w:keepLines/>
        <w:spacing w:before="300" w:after="300" w:line="280" w:lineRule="exact"/>
        <w:jc w:val="left"/>
        <w:outlineLvl w:val="3"/>
        <w:rPr>
          <w:rFonts w:ascii="宋体" w:hAnsi="宋体" w:eastAsia="宋体" w:cs="宋体"/>
          <w:b/>
          <w:bCs/>
          <w:sz w:val="21"/>
          <w:szCs w:val="21"/>
        </w:rPr>
      </w:pPr>
      <w:bookmarkStart w:id="143" w:name="_Toc989032"/>
      <w:r>
        <w:rPr>
          <w:rFonts w:ascii="宋体" w:hAnsi="宋体" w:eastAsia="宋体" w:cs="宋体"/>
          <w:b/>
          <w:bCs/>
          <w:sz w:val="21"/>
          <w:szCs w:val="21"/>
        </w:rPr>
        <w:t>（1） 经营租赁的会计处理方法</w:t>
      </w:r>
      <w:bookmarkEnd w:id="143"/>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合同中同时包含多项单独租赁的，本公司将合同予以分拆，并分别各项单独租赁进行会计处理。合同中同时包含租赁和非租赁部分的，承租人和出租人将租赁和非租赁部分进行分拆。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（2）本公司作为承租人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1）使用权资产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在租赁期开始日，本公司对除短期租赁和低价值资产租赁以外的租赁确认使用权资产。使用权资产按照成本进行初始计量。该成本包括：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租赁负债的初始计量金额；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本公司发生的初始直接费用；</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本公司为拆卸及移除租赁资产、复原租赁资产所在场地或将租赁资产恢复至租赁条款约定状态预计将发生的成本，但不包括属于为生产存货而发生的成本。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本公司按照本附注“五、24 长期资产减值”所述原则来确定使用权资产是否已发生减值，并对已识别的减值损失进行会计处理。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2）租赁负债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在租赁期开始日，本公司对除短期租赁和低价值资产租赁以外的租赁确认租赁负债。租赁负债按照尚未支付的租赁付款额的现值进行初始计量。租赁付款额包括：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固定付款额（包括实质固定付款额），存在租赁激励的，扣除租赁激励相关金额；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取决于指数或比率的可变租赁付款额；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根据公司提供的担保余值预计应支付的款项；</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购买选择权的行权价格，前提是公司合理确定将行使该选择权；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行使终止租赁选择权需支付的款项，前提是租赁期反映出公司将行使终止租赁选择权。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本公司采用租赁内含利率作为折现率，但如果无法合理确定租赁内含利率的，则采用本公司的增量借款利率作为折现率。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本公司按照固定的周期性利率计算租赁负债在租赁期内各期间的利息费用，并计入当期损益或相关资产成本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未纳入租赁负债计量的可变租赁付款额在实际发生时计入当期损益或相关资产成本。</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在租赁期开始日后，发生下列情形的，本公司重新计量租赁负债，并调整相应的使用权资产，若使用权资产的账面价值已调减至零，但租赁负债仍需进一步调减的，将差额计入当期损益：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3）短期租赁和低价值资产租赁</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选择对短期租赁和低价值资产租赁不确认使用权资产和租赁负债，并将相关的租赁付款额在租赁期内各个期间按照直线法计入当期损益或相关资产成本。短期租赁，是指在租赁期开始日，租赁期不超过12个月且不包含购买选择权的租赁。低价值资产租赁，是指单项租赁资产为全新资产时价值较低的租赁。公司转租或预期转租租赁资产的，原租赁不属于低价值资产租赁。</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4）租赁变更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租赁发生变更且同时符合下列条件的，公司将该租赁变更作为一项单独租赁进行会计处理：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该租赁变更通过增加一项或多项租赁资产的使用权而扩大了租赁范围；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（3）本公司作为出租人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1）经营租赁会计处理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keepNext/>
        <w:keepLines/>
        <w:spacing w:before="300" w:after="300" w:line="280" w:lineRule="exact"/>
        <w:jc w:val="left"/>
        <w:outlineLvl w:val="3"/>
        <w:rPr>
          <w:rFonts w:ascii="宋体" w:hAnsi="宋体" w:eastAsia="宋体" w:cs="宋体"/>
          <w:b/>
          <w:bCs/>
          <w:sz w:val="21"/>
          <w:szCs w:val="21"/>
        </w:rPr>
      </w:pPr>
      <w:bookmarkStart w:id="144" w:name="_Toc989033"/>
      <w:r>
        <w:rPr>
          <w:rFonts w:ascii="宋体" w:hAnsi="宋体" w:eastAsia="宋体" w:cs="宋体"/>
          <w:b/>
          <w:bCs/>
          <w:sz w:val="21"/>
          <w:szCs w:val="21"/>
        </w:rPr>
        <w:t>（2） 融资租赁的会计处理方法</w:t>
      </w:r>
      <w:bookmarkEnd w:id="144"/>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本公司按照固定的周期性利率计算并确认租赁期内各个期间的利息收入。应收融资租赁款的终止确认和减值按照本附注“五、10、金融工具”进行会计处理。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未纳入租赁投资净额计量的可变租赁付款额在实际发生时计入当期损益。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融资租赁发生变更且同时符合下列条件的，本公司将该变更作为一项单独租赁进行会计处理：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该变更通过增加一项或多项租赁资产的使用权而扩大了租赁范围；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融资租赁的变更未作为一项单独租赁进行会计处理的，本公司分别下列情形对变更后的租赁进行处理：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假如变更在租赁开始日生效，该租赁会被分类为融资租赁的，本公司按照本附注“五、10、金融工具”关于修改或重新议定合同的政策进行会计处理：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·该变更通过增加一项或多项租赁资产的使用权而扩大了租赁范围；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融资租赁的变更未作为一项单独租赁进行会计处理的，本公司分别下列情形对变更后的租赁进行处理：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·假如变更在租赁开始日生效，该租赁会被分类为融资租赁的，本公司按照本附注“五、10、金融工具”关于修改或重新议定合同的政策进行会计处理。</w:t>
      </w:r>
    </w:p>
    <w:p>
      <w:pPr>
        <w:keepNext/>
        <w:keepLines/>
        <w:spacing w:before="300" w:after="300" w:line="280" w:lineRule="exact"/>
        <w:jc w:val="left"/>
        <w:outlineLvl w:val="2"/>
        <w:rPr>
          <w:rFonts w:ascii="宋体" w:hAnsi="宋体" w:eastAsia="宋体" w:cs="宋体"/>
          <w:b/>
          <w:bCs/>
          <w:sz w:val="21"/>
          <w:szCs w:val="21"/>
        </w:rPr>
      </w:pPr>
      <w:bookmarkStart w:id="145" w:name="_Toc989034"/>
      <w:r>
        <w:rPr>
          <w:rFonts w:ascii="宋体" w:hAnsi="宋体" w:eastAsia="宋体" w:cs="宋体"/>
          <w:b/>
          <w:bCs/>
          <w:sz w:val="21"/>
          <w:szCs w:val="21"/>
        </w:rPr>
        <w:t>33、其他重要的会计政策和会计估计</w:t>
      </w:r>
      <w:bookmarkEnd w:id="145"/>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分部报告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本公司以内部组织结构、管理要求、内部报告制度为依据确定经营分部，以经营分部为基础确定报告分部并披露分部信息。</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经营分部是指本公司内同时满足下列条件的组成部分：(1) 该组成部分能够在日常活动中产生收入、发生费用；(2) 本公司管理层能够定期评价该组成部分的经营成果，以决定向其配置资源、评价其业绩；(3) 本公司能够取得该组成部分的财务状况、经营成果和现金流量等有关会计信息。两个或多个经营分部具有相似的经济特征，并且满足一定条件的，则可合并为一个经营分部。</w:t>
      </w:r>
    </w:p>
    <w:p>
      <w:pPr>
        <w:keepNext/>
        <w:keepLines/>
        <w:spacing w:before="300" w:after="300" w:line="280" w:lineRule="exact"/>
        <w:jc w:val="left"/>
        <w:outlineLvl w:val="2"/>
        <w:rPr>
          <w:rFonts w:ascii="宋体" w:hAnsi="宋体" w:eastAsia="宋体" w:cs="宋体"/>
          <w:b/>
          <w:bCs/>
          <w:sz w:val="21"/>
          <w:szCs w:val="21"/>
        </w:rPr>
      </w:pPr>
      <w:bookmarkStart w:id="146" w:name="_Toc989035"/>
      <w:r>
        <w:rPr>
          <w:rFonts w:ascii="宋体" w:hAnsi="宋体" w:eastAsia="宋体" w:cs="宋体"/>
          <w:b/>
          <w:bCs/>
          <w:sz w:val="21"/>
          <w:szCs w:val="21"/>
        </w:rPr>
        <w:t>34、重要会计政策和会计估计变更</w:t>
      </w:r>
      <w:bookmarkEnd w:id="146"/>
    </w:p>
    <w:p>
      <w:pPr>
        <w:keepNext/>
        <w:keepLines/>
        <w:spacing w:before="300" w:after="300" w:line="280" w:lineRule="exact"/>
        <w:jc w:val="left"/>
        <w:outlineLvl w:val="3"/>
        <w:rPr>
          <w:rFonts w:ascii="宋体" w:hAnsi="宋体" w:eastAsia="宋体" w:cs="宋体"/>
          <w:b/>
          <w:bCs/>
          <w:sz w:val="18"/>
          <w:szCs w:val="18"/>
        </w:rPr>
      </w:pPr>
      <w:bookmarkStart w:id="147" w:name="_Toc989036"/>
      <w:r>
        <w:rPr>
          <w:rFonts w:ascii="宋体" w:hAnsi="宋体" w:eastAsia="宋体" w:cs="宋体"/>
          <w:b/>
          <w:bCs/>
          <w:sz w:val="18"/>
          <w:szCs w:val="18"/>
        </w:rPr>
        <w:t>（1） 重要会计政策变更</w:t>
      </w:r>
      <w:bookmarkEnd w:id="14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（1）执行《企业会计准则解释第15号》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财政部于2021年12月30日发布了《企业会计准则解释第15号》（财会〔2021〕35号，以下简称“解释第15号”）。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① 关于试运行销售的会计处理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解释第15号规定了企业将固定资产达到预定可使用状态前或者研发过程中产出的产品或副产品对外销售的会计处理及其列报，规定不应将试运行销售相关收入抵销成本后的净额冲减固定资产成本或者研发支出。该规定自2022年1月1日起施行，对于财务报表列报最早期间的期初至2022年1月1日之间发生的试运行销售，应当进行追溯调整。本公司执行该规定对公司合并及公司财务报表列报无影响。</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②关于亏损合同的判断</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解释第15号明确企业在判断合同是否构成亏损合同时所考虑的“履行该合同的成本”应当同时包括履行合同的增量成本和与履行合同直接相关的其他成本的分摊金额。该规定自2022年1月1日起施行，企业应当对在2022年1月1日尚未履行完所有义务的合同执行该规定，累积影响数调整施行日当年年初留存收益及其他相关的财务报表项目，不调整前期比较财务报表数据。本公司执行该规定对公司合并及公司财务报表列报无影响。</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（2）执行《企业会计准则解释第16号》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财政部于2022年11月30日公布了《企业会计准则解释第16号》（财会〔2022〕31号，以下简称“解释第16号”）。</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① 关于发行方分类为权益工具的金融工具相关股利的所得税影响的会计处理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解释第16号规定对于企业分类为权益工具的金融工具，相关股利支出按照税收政策相关规定在企业所得税税前扣除的，应当在确认应付股利时，确认与股利相关的所得税影响，并按照与过去产生可供分配利润的交易或事项时所采用的会计处理相一致的方式，将股利的所得税影响计入当期损益或所有者权益项目（含其他综合收益项目）。</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该规定自公布之日起施行，相关应付股利发生在 2022年1月1日至施行日之间的，按照该规定进行调整；发生在 2022年1月1日之前且相关金融工具在2022 年1月1日尚未终止确认的，应当进行追溯调整。执行该规定对本公司财务状况和经营成果无影响。</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②关于企业将以现金结算的股份支付修改为以权益结算的股份支付的会计处理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解释第16号明确企业修改以现金结算的股份支付协议中的条款和条件，使其成为以权益结算的股份支付的，在修改日（无论发生在等待期内还是结束后），应当按照所授予权益工具修改日当日的公允价值计量以权益结算的股份支付，将已取得的服务计入资本公积，同时终止确认以现金结算的股份支付在修改日已确认的负债，两者之间的差额计入当期损益。</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该规定自公布之日起施行，2022年1月1日至施行日新增的有关交易，按照该规定进行调整； 2022年1月1日之前发生的有关交易未按照该规定进行处理的，应当进行追溯调整，将累计影响数调整2022年1月1日留存收益及其他相关项目，不调整前期比较财务报表数据。执行该规定对本公司财务状况和经营成果无影响。</w:t>
      </w:r>
    </w:p>
    <w:p>
      <w:pPr>
        <w:keepNext/>
        <w:keepLines/>
        <w:spacing w:before="300" w:after="300" w:line="280" w:lineRule="exact"/>
        <w:jc w:val="left"/>
        <w:outlineLvl w:val="3"/>
        <w:rPr>
          <w:rFonts w:ascii="宋体" w:hAnsi="宋体" w:eastAsia="宋体" w:cs="宋体"/>
          <w:b/>
          <w:bCs/>
          <w:sz w:val="18"/>
          <w:szCs w:val="18"/>
        </w:rPr>
      </w:pPr>
      <w:bookmarkStart w:id="148" w:name="_Toc989037"/>
      <w:r>
        <w:rPr>
          <w:rFonts w:ascii="宋体" w:hAnsi="宋体" w:eastAsia="宋体" w:cs="宋体"/>
          <w:b/>
          <w:bCs/>
          <w:sz w:val="18"/>
          <w:szCs w:val="18"/>
        </w:rPr>
        <w:t>（2） 重要会计估计变更</w:t>
      </w:r>
      <w:bookmarkEnd w:id="14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149" w:name="_Toc989038"/>
      <w:r>
        <w:rPr>
          <w:rFonts w:ascii="宋体" w:hAnsi="宋体" w:eastAsia="宋体" w:cs="宋体"/>
          <w:b/>
          <w:bCs/>
          <w:sz w:val="18"/>
          <w:szCs w:val="18"/>
        </w:rPr>
        <w:t>（3） 2023年起首次执行新会计准则调整首次执行当年年初财务报表相关项目情况</w:t>
      </w:r>
      <w:bookmarkEnd w:id="1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50" w:name="_Toc989039"/>
      <w:r>
        <w:rPr>
          <w:rFonts w:ascii="宋体" w:hAnsi="宋体" w:eastAsia="宋体" w:cs="宋体"/>
          <w:b/>
          <w:bCs/>
          <w:sz w:val="24"/>
          <w:szCs w:val="24"/>
        </w:rPr>
        <w:t>六、税项</w:t>
      </w:r>
      <w:bookmarkEnd w:id="150"/>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1、主要税种及税率</w:t>
      </w:r>
      <w:bookmarkEnd w:id="15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0、6、9、13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按实际缴纳的增值税及消费税计缴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bl>
    <w:p>
      <w:pPr>
        <w:keepNext/>
        <w:keepLines/>
        <w:spacing w:before="300" w:after="300" w:line="280" w:lineRule="exact"/>
        <w:jc w:val="left"/>
        <w:outlineLvl w:val="2"/>
        <w:rPr>
          <w:rFonts w:ascii="宋体" w:hAnsi="宋体" w:eastAsia="宋体" w:cs="宋体"/>
          <w:b/>
          <w:bCs/>
          <w:sz w:val="21"/>
          <w:szCs w:val="21"/>
        </w:rPr>
      </w:pPr>
      <w:bookmarkStart w:id="152" w:name="_Toc989041"/>
      <w:r>
        <w:rPr>
          <w:rFonts w:ascii="宋体" w:hAnsi="宋体" w:eastAsia="宋体" w:cs="宋体"/>
          <w:b/>
          <w:bCs/>
          <w:sz w:val="21"/>
          <w:szCs w:val="21"/>
        </w:rPr>
        <w:t>2、税收优惠</w:t>
      </w:r>
      <w:bookmarkEnd w:id="152"/>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1、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15%的企业所得税优惠税率。各公司获得高新技术证书的具体日期及证书号如下：</w:t>
      </w:r>
    </w:p>
    <w:tbl>
      <w:tblPr>
        <w:tblStyle w:val="3"/>
        <w:tblW w:w="4639"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78"/>
        <w:gridCol w:w="3309"/>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eastAsia" w:ascii="宋体" w:hAnsi="宋体" w:eastAsia="宋体" w:cs="宋体"/>
                <w:b/>
                <w:bCs/>
                <w:sz w:val="18"/>
                <w:szCs w:val="18"/>
              </w:rPr>
              <w:t>公</w:t>
            </w:r>
            <w:r>
              <w:rPr>
                <w:rFonts w:ascii="Calibri" w:hAnsi="Calibri" w:cs="Calibri"/>
                <w:b/>
                <w:bCs/>
                <w:sz w:val="18"/>
                <w:szCs w:val="18"/>
              </w:rPr>
              <w:t>  </w:t>
            </w:r>
            <w:r>
              <w:rPr>
                <w:rFonts w:hint="eastAsia" w:ascii="宋体" w:hAnsi="宋体" w:eastAsia="宋体" w:cs="宋体"/>
                <w:b/>
                <w:bCs/>
                <w:sz w:val="18"/>
                <w:szCs w:val="18"/>
              </w:rPr>
              <w:t>司</w:t>
            </w:r>
          </w:p>
        </w:tc>
        <w:tc>
          <w:tcPr>
            <w:tcW w:w="180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eastAsia" w:ascii="宋体" w:hAnsi="宋体" w:eastAsia="宋体" w:cs="宋体"/>
                <w:b/>
                <w:bCs/>
                <w:sz w:val="18"/>
                <w:szCs w:val="18"/>
              </w:rPr>
              <w:t>获得高新技术证书的具体日期</w:t>
            </w:r>
          </w:p>
        </w:tc>
        <w:tc>
          <w:tcPr>
            <w:tcW w:w="10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eastAsia" w:ascii="宋体" w:hAnsi="宋体" w:eastAsia="宋体" w:cs="宋体"/>
                <w:b/>
                <w:bCs/>
                <w:sz w:val="18"/>
                <w:szCs w:val="18"/>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湖南博云新材料股份有限公司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9</w:t>
            </w:r>
            <w:r>
              <w:rPr>
                <w:rFonts w:hint="eastAsia" w:ascii="宋体" w:hAnsi="宋体" w:eastAsia="宋体" w:cs="宋体"/>
                <w:sz w:val="18"/>
                <w:szCs w:val="18"/>
              </w:rPr>
              <w:t>月</w:t>
            </w:r>
            <w:r>
              <w:rPr>
                <w:rFonts w:hint="default" w:ascii="Calibri" w:hAnsi="Calibri" w:cs="Calibri"/>
                <w:sz w:val="18"/>
                <w:szCs w:val="18"/>
              </w:rPr>
              <w:t>11</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default" w:ascii="Calibri" w:hAnsi="Calibri" w:cs="Calibri"/>
                <w:sz w:val="18"/>
                <w:szCs w:val="18"/>
              </w:rPr>
              <w:t>GR202043000233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湖南博云东方粉末冶金有限公司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12</w:t>
            </w:r>
            <w:r>
              <w:rPr>
                <w:rFonts w:hint="eastAsia" w:ascii="宋体" w:hAnsi="宋体" w:eastAsia="宋体" w:cs="宋体"/>
                <w:sz w:val="18"/>
                <w:szCs w:val="18"/>
              </w:rPr>
              <w:t>月</w:t>
            </w:r>
            <w:r>
              <w:rPr>
                <w:rFonts w:hint="default" w:ascii="Calibri" w:hAnsi="Calibri" w:cs="Calibri"/>
                <w:sz w:val="18"/>
                <w:szCs w:val="18"/>
              </w:rPr>
              <w:t>3</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default" w:ascii="Calibri" w:hAnsi="Calibri" w:cs="Calibri"/>
                <w:sz w:val="18"/>
                <w:szCs w:val="18"/>
              </w:rPr>
              <w:t>GR202043003788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长沙伟徽高科技新材料有限公司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Calibri" w:hAnsi="Calibri" w:cs="Calibri"/>
                <w:sz w:val="18"/>
                <w:szCs w:val="18"/>
              </w:rPr>
              <w:t>2020</w:t>
            </w:r>
            <w:r>
              <w:rPr>
                <w:rFonts w:hint="eastAsia" w:ascii="宋体" w:hAnsi="宋体" w:eastAsia="宋体" w:cs="宋体"/>
                <w:sz w:val="18"/>
                <w:szCs w:val="18"/>
              </w:rPr>
              <w:t>年</w:t>
            </w:r>
            <w:r>
              <w:rPr>
                <w:rFonts w:hint="default" w:ascii="Calibri" w:hAnsi="Calibri" w:cs="Calibri"/>
                <w:sz w:val="18"/>
                <w:szCs w:val="18"/>
              </w:rPr>
              <w:t>9</w:t>
            </w:r>
            <w:r>
              <w:rPr>
                <w:rFonts w:hint="eastAsia" w:ascii="宋体" w:hAnsi="宋体" w:eastAsia="宋体" w:cs="宋体"/>
                <w:sz w:val="18"/>
                <w:szCs w:val="18"/>
              </w:rPr>
              <w:t>月</w:t>
            </w:r>
            <w:r>
              <w:rPr>
                <w:rFonts w:hint="default" w:ascii="Calibri" w:hAnsi="Calibri" w:cs="Calibri"/>
                <w:sz w:val="18"/>
                <w:szCs w:val="18"/>
              </w:rPr>
              <w:t>11</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default" w:ascii="Calibri" w:hAnsi="Calibri" w:cs="Calibri"/>
                <w:sz w:val="18"/>
                <w:szCs w:val="18"/>
              </w:rPr>
              <w:t>GR202043001422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4" w:hRule="atLeast"/>
          <w:jc w:val="right"/>
        </w:trPr>
        <w:tc>
          <w:tcPr>
            <w:tcW w:w="212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长沙鑫航机轮刹车有限公司</w:t>
            </w:r>
          </w:p>
        </w:tc>
        <w:tc>
          <w:tcPr>
            <w:tcW w:w="180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default" w:ascii="Calibri" w:hAnsi="Calibri" w:cs="Calibri"/>
                <w:sz w:val="18"/>
                <w:szCs w:val="18"/>
              </w:rPr>
              <w:t>2021</w:t>
            </w:r>
            <w:r>
              <w:rPr>
                <w:rFonts w:hint="eastAsia" w:ascii="宋体" w:hAnsi="宋体" w:eastAsia="宋体" w:cs="宋体"/>
                <w:sz w:val="18"/>
                <w:szCs w:val="18"/>
              </w:rPr>
              <w:t>年</w:t>
            </w:r>
            <w:r>
              <w:rPr>
                <w:rFonts w:hint="default" w:ascii="Calibri" w:hAnsi="Calibri" w:cs="Calibri"/>
                <w:sz w:val="18"/>
                <w:szCs w:val="18"/>
              </w:rPr>
              <w:t>9</w:t>
            </w:r>
            <w:r>
              <w:rPr>
                <w:rFonts w:hint="eastAsia" w:ascii="宋体" w:hAnsi="宋体" w:eastAsia="宋体" w:cs="宋体"/>
                <w:sz w:val="18"/>
                <w:szCs w:val="18"/>
              </w:rPr>
              <w:t>月</w:t>
            </w:r>
            <w:r>
              <w:rPr>
                <w:rFonts w:hint="default" w:ascii="Calibri" w:hAnsi="Calibri" w:cs="Calibri"/>
                <w:sz w:val="18"/>
                <w:szCs w:val="18"/>
              </w:rPr>
              <w:t>18</w:t>
            </w:r>
            <w:r>
              <w:rPr>
                <w:rFonts w:hint="eastAsia" w:ascii="宋体" w:hAnsi="宋体" w:eastAsia="宋体" w:cs="宋体"/>
                <w:sz w:val="18"/>
                <w:szCs w:val="18"/>
              </w:rPr>
              <w:t>日</w:t>
            </w:r>
          </w:p>
        </w:tc>
        <w:tc>
          <w:tcPr>
            <w:tcW w:w="10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4"/>
                <w:szCs w:val="24"/>
              </w:rPr>
            </w:pPr>
            <w:r>
              <w:rPr>
                <w:rFonts w:hint="default" w:ascii="Calibri" w:hAnsi="Calibri" w:cs="Calibri"/>
                <w:sz w:val="18"/>
                <w:szCs w:val="18"/>
              </w:rPr>
              <w:t>GR202143000150</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2、根据《财政部、税务总局关于延长部分税收优惠政策执行期限的公告》，研究开发费用税前加计扣除延续至2023年12月31日。根据财政部、税务总局2021年第13号《财政部、税务总局关于进一步完善研发费用税前加计扣除政策的公告》，制造业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本公司本年度享受按研发费用额的100%在税前加计扣除的优惠政策。</w:t>
      </w:r>
    </w:p>
    <w:p>
      <w:pPr>
        <w:keepNext/>
        <w:keepLines/>
        <w:spacing w:before="300" w:after="300" w:line="320" w:lineRule="exact"/>
        <w:jc w:val="left"/>
        <w:outlineLvl w:val="1"/>
        <w:rPr>
          <w:rFonts w:ascii="宋体" w:hAnsi="宋体" w:eastAsia="宋体" w:cs="宋体"/>
          <w:b/>
          <w:bCs/>
          <w:sz w:val="24"/>
          <w:szCs w:val="24"/>
        </w:rPr>
      </w:pPr>
      <w:bookmarkStart w:id="153" w:name="_Toc989042"/>
      <w:r>
        <w:rPr>
          <w:rFonts w:ascii="宋体" w:hAnsi="宋体" w:eastAsia="宋体" w:cs="宋体"/>
          <w:b/>
          <w:bCs/>
          <w:sz w:val="24"/>
          <w:szCs w:val="24"/>
        </w:rPr>
        <w:t>七、合并财务报表项目注释</w:t>
      </w:r>
      <w:bookmarkEnd w:id="153"/>
    </w:p>
    <w:p>
      <w:pPr>
        <w:keepNext/>
        <w:keepLines/>
        <w:spacing w:before="300" w:after="300" w:line="280" w:lineRule="exact"/>
        <w:jc w:val="left"/>
        <w:outlineLvl w:val="2"/>
        <w:rPr>
          <w:rFonts w:ascii="宋体" w:hAnsi="宋体" w:eastAsia="宋体" w:cs="宋体"/>
          <w:b/>
          <w:bCs/>
          <w:sz w:val="21"/>
          <w:szCs w:val="21"/>
        </w:rPr>
      </w:pPr>
      <w:bookmarkStart w:id="154" w:name="_Toc989043"/>
      <w:r>
        <w:rPr>
          <w:rFonts w:ascii="宋体" w:hAnsi="宋体" w:eastAsia="宋体" w:cs="宋体"/>
          <w:b/>
          <w:bCs/>
          <w:sz w:val="21"/>
          <w:szCs w:val="21"/>
        </w:rPr>
        <w:t>1、货币资金</w:t>
      </w:r>
      <w:bookmarkEnd w:id="1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508,888,954.27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547,553,294.98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50,764,018.52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54,670,884.82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559,658,678.83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其中因抵押、质押或冻结等对使用有限制，因资金集中管理支取受限的货币资金明细如下：</w:t>
      </w:r>
    </w:p>
    <w:tbl>
      <w:tblPr>
        <w:tblStyle w:val="3"/>
        <w:tblW w:w="457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53"/>
        <w:gridCol w:w="2585"/>
        <w:gridCol w:w="25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8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25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期末余额</w:t>
            </w:r>
          </w:p>
        </w:tc>
        <w:tc>
          <w:tcPr>
            <w:tcW w:w="25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银行承兑汇票保证金</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ascii="Calibri" w:hAnsi="Calibri" w:cs="Calibri"/>
                <w:sz w:val="21"/>
                <w:szCs w:val="21"/>
              </w:rPr>
              <w:t>11,046,870 .00</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22,683,030.00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信用证保证金</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Calibri" w:hAnsi="Calibri" w:cs="Calibri"/>
                <w:sz w:val="21"/>
                <w:szCs w:val="21"/>
              </w:rPr>
              <w:t>39,717,148.52 </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31,987,428.74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8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合计</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Calibri" w:hAnsi="Calibri" w:cs="Calibri"/>
                <w:sz w:val="21"/>
                <w:szCs w:val="21"/>
              </w:rPr>
              <w:t>50,764,018.52 </w:t>
            </w:r>
          </w:p>
        </w:tc>
        <w:tc>
          <w:tcPr>
            <w:tcW w:w="25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54,670,458.74</w:t>
            </w:r>
          </w:p>
        </w:tc>
      </w:tr>
    </w:tbl>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2、交易性金融资产</w:t>
      </w:r>
      <w:bookmarkEnd w:id="1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56" w:name="_Toc989045"/>
      <w:r>
        <w:rPr>
          <w:rFonts w:ascii="宋体" w:hAnsi="宋体" w:eastAsia="宋体" w:cs="宋体"/>
          <w:b/>
          <w:bCs/>
          <w:sz w:val="21"/>
          <w:szCs w:val="21"/>
        </w:rPr>
        <w:t>3、应收票据</w:t>
      </w:r>
      <w:bookmarkEnd w:id="156"/>
    </w:p>
    <w:p>
      <w:pPr>
        <w:keepNext/>
        <w:keepLines/>
        <w:spacing w:before="300" w:after="300" w:line="280" w:lineRule="exact"/>
        <w:jc w:val="left"/>
        <w:outlineLvl w:val="3"/>
        <w:rPr>
          <w:rFonts w:ascii="宋体" w:hAnsi="宋体" w:eastAsia="宋体" w:cs="宋体"/>
          <w:b/>
          <w:bCs/>
          <w:sz w:val="21"/>
          <w:szCs w:val="21"/>
        </w:rPr>
      </w:pPr>
      <w:bookmarkStart w:id="157" w:name="_Toc989046"/>
      <w:r>
        <w:rPr>
          <w:rFonts w:ascii="宋体" w:hAnsi="宋体" w:eastAsia="宋体" w:cs="宋体"/>
          <w:b/>
          <w:bCs/>
          <w:sz w:val="21"/>
          <w:szCs w:val="21"/>
        </w:rPr>
        <w:t>（1） 应收票据分类列示</w:t>
      </w:r>
      <w:bookmarkEnd w:id="1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49,202,755.39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31,284,981.30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52,674,954.30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80,487,736.69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82,560,225.39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80,487,736.69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108,205,696.27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49,202,755.39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49,202,755.39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52,768,902.27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33,357,470.00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31,284,981.30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55,436,794.00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52,674,954.30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82,560,225.39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80,487,736.69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108,205,696.27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按组合计提坏账准备：2,072,488.70元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1年以内商业承兑票据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25,265,165.98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1,263,258.30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1-2年商业承兑票据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8,092,304.02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809,230.40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33,357,470.00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58" w:name="_Toc989047"/>
      <w:r>
        <w:rPr>
          <w:rFonts w:ascii="宋体" w:hAnsi="宋体" w:eastAsia="宋体" w:cs="宋体"/>
          <w:b/>
          <w:bCs/>
          <w:sz w:val="21"/>
          <w:szCs w:val="21"/>
        </w:rPr>
        <w:t>（2） 本期计提、收回或转回的坏账准备情况</w:t>
      </w:r>
      <w:bookmarkEnd w:id="15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-689,351.00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2,761,839.70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-689,351.00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2,072,488.70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59" w:name="_Toc989048"/>
      <w:r>
        <w:rPr>
          <w:rFonts w:ascii="宋体" w:hAnsi="宋体" w:eastAsia="宋体" w:cs="宋体"/>
          <w:b/>
          <w:bCs/>
          <w:sz w:val="21"/>
          <w:szCs w:val="21"/>
        </w:rPr>
        <w:t>（3） 期末公司已质押的应收票据</w:t>
      </w:r>
      <w:bookmarkEnd w:id="1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160" w:name="_Toc989049"/>
      <w:r>
        <w:rPr>
          <w:rFonts w:ascii="宋体" w:hAnsi="宋体" w:eastAsia="宋体" w:cs="宋体"/>
          <w:b/>
          <w:bCs/>
          <w:sz w:val="21"/>
          <w:szCs w:val="21"/>
        </w:rPr>
        <w:t>（4） 期末公司已背书或贴现且在资产负债表日尚未到期的应收票据</w:t>
      </w:r>
      <w:bookmarkEnd w:id="1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33,979,789.58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24,098,747.00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58,078,536.58</w:t>
            </w:r>
          </w:p>
        </w:tc>
      </w:tr>
    </w:tbl>
    <w:p>
      <w:pPr>
        <w:keepNext/>
        <w:keepLines/>
        <w:spacing w:before="300" w:after="300" w:line="280" w:lineRule="exact"/>
        <w:jc w:val="left"/>
        <w:outlineLvl w:val="3"/>
        <w:rPr>
          <w:rFonts w:ascii="宋体" w:hAnsi="宋体" w:eastAsia="宋体" w:cs="宋体"/>
          <w:b/>
          <w:bCs/>
          <w:sz w:val="21"/>
          <w:szCs w:val="21"/>
        </w:rPr>
      </w:pPr>
      <w:bookmarkStart w:id="161" w:name="_Toc989050"/>
      <w:r>
        <w:rPr>
          <w:rFonts w:ascii="宋体" w:hAnsi="宋体" w:eastAsia="宋体" w:cs="宋体"/>
          <w:b/>
          <w:bCs/>
          <w:sz w:val="21"/>
          <w:szCs w:val="21"/>
        </w:rPr>
        <w:t>（5） 期末公司因出票人未履约而将其转应收账款的票据</w:t>
      </w:r>
      <w:bookmarkEnd w:id="1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62" w:name="_Toc989051"/>
      <w:r>
        <w:rPr>
          <w:rFonts w:ascii="宋体" w:hAnsi="宋体" w:eastAsia="宋体" w:cs="宋体"/>
          <w:b/>
          <w:bCs/>
          <w:sz w:val="21"/>
          <w:szCs w:val="21"/>
        </w:rPr>
        <w:t>（6） 本期实际核销的应收票据情况</w:t>
      </w:r>
      <w:bookmarkEnd w:id="1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4、应收账款</w:t>
      </w:r>
      <w:bookmarkEnd w:id="163"/>
    </w:p>
    <w:p>
      <w:pPr>
        <w:keepNext/>
        <w:keepLines/>
        <w:spacing w:before="300" w:after="300" w:line="280" w:lineRule="exact"/>
        <w:jc w:val="left"/>
        <w:outlineLvl w:val="3"/>
        <w:rPr>
          <w:rFonts w:ascii="宋体" w:hAnsi="宋体" w:eastAsia="宋体" w:cs="宋体"/>
          <w:b/>
          <w:bCs/>
          <w:sz w:val="21"/>
          <w:szCs w:val="21"/>
        </w:rPr>
      </w:pPr>
      <w:bookmarkStart w:id="164" w:name="_Toc989053"/>
      <w:r>
        <w:rPr>
          <w:rFonts w:ascii="宋体" w:hAnsi="宋体" w:eastAsia="宋体" w:cs="宋体"/>
          <w:b/>
          <w:bCs/>
          <w:sz w:val="21"/>
          <w:szCs w:val="21"/>
        </w:rPr>
        <w:t>（1） 应收账款分类披露</w:t>
      </w:r>
      <w:bookmarkEnd w:id="1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50,310,356.12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50,310,356.12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361,095,641.09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29,345,245.68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331,750,395.41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259,544,280.81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25,882,311.43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411,405,997.21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79,655,601.80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331,750,395.41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309,865,633.43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76,203,664.05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按单项计提坏账准备：50,310,356.12元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单项不重大合计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34,793,764.12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34,793,764.12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50,310,356.12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50,310,356.12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按组合计提坏账准备：29,345,245.68元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293,713,781.55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14,685,689.06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45,401,646.74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4,540,164.68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8,563,119.01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1,712,623.80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4,824,106.25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1,447,231.87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3,266,902.55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1,633,451.28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5,326,084.99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5,326,084.99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361,095,641.09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29,345,245.68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293,713,781.55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45,901,646.74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8,563,119.01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63,227,449.91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4,824,106.25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3,952,245.08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54,451,098.58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411,405,997.21</w:t>
            </w:r>
          </w:p>
        </w:tc>
      </w:tr>
    </w:tbl>
    <w:p>
      <w:pPr>
        <w:keepNext/>
        <w:keepLines/>
        <w:spacing w:before="300" w:after="300" w:line="280" w:lineRule="exact"/>
        <w:jc w:val="left"/>
        <w:outlineLvl w:val="3"/>
        <w:rPr>
          <w:rFonts w:ascii="宋体" w:hAnsi="宋体" w:eastAsia="宋体" w:cs="宋体"/>
          <w:b/>
          <w:bCs/>
          <w:sz w:val="21"/>
          <w:szCs w:val="21"/>
        </w:rPr>
      </w:pPr>
      <w:bookmarkStart w:id="165" w:name="_Toc989054"/>
      <w:r>
        <w:rPr>
          <w:rFonts w:ascii="宋体" w:hAnsi="宋体" w:eastAsia="宋体" w:cs="宋体"/>
          <w:b/>
          <w:bCs/>
          <w:sz w:val="21"/>
          <w:szCs w:val="21"/>
        </w:rPr>
        <w:t>（2） 本期计提、收回或转回的坏账准备情况</w:t>
      </w:r>
      <w:bookmarkEnd w:id="165"/>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50,321,352.62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-10,996.50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50,310,356.12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25,882,311.43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3,462,934.25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29,345,245.68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76,203,664.05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3,451,937.75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79,655,601.80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66" w:name="_Toc989055"/>
      <w:r>
        <w:rPr>
          <w:rFonts w:ascii="宋体" w:hAnsi="宋体" w:eastAsia="宋体" w:cs="宋体"/>
          <w:b/>
          <w:bCs/>
          <w:sz w:val="21"/>
          <w:szCs w:val="21"/>
        </w:rPr>
        <w:t>（3） 本期实际核销的应收账款情况</w:t>
      </w:r>
      <w:bookmarkEnd w:id="1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167" w:name="_Toc989056"/>
      <w:r>
        <w:rPr>
          <w:rFonts w:ascii="宋体" w:hAnsi="宋体" w:eastAsia="宋体" w:cs="宋体"/>
          <w:b/>
          <w:bCs/>
          <w:sz w:val="21"/>
          <w:szCs w:val="21"/>
        </w:rPr>
        <w:t>（4） 按欠款方归集的期末余额前五名的应收账款情况</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bl>
    <w:p>
      <w:pPr>
        <w:keepNext/>
        <w:keepLines/>
        <w:spacing w:before="300" w:after="300" w:line="280" w:lineRule="exact"/>
        <w:jc w:val="left"/>
        <w:outlineLvl w:val="3"/>
        <w:rPr>
          <w:rFonts w:ascii="宋体" w:hAnsi="宋体" w:eastAsia="宋体" w:cs="宋体"/>
          <w:b/>
          <w:bCs/>
          <w:sz w:val="21"/>
          <w:szCs w:val="21"/>
        </w:rPr>
      </w:pPr>
      <w:bookmarkStart w:id="168" w:name="_Toc989057"/>
      <w:r>
        <w:rPr>
          <w:rFonts w:ascii="宋体" w:hAnsi="宋体" w:eastAsia="宋体" w:cs="宋体"/>
          <w:b/>
          <w:bCs/>
          <w:sz w:val="21"/>
          <w:szCs w:val="21"/>
        </w:rPr>
        <w:t>（5） 因金融资产转移而终止确认的应收账款</w:t>
      </w:r>
      <w:bookmarkEnd w:id="168"/>
    </w:p>
    <w:p>
      <w:pPr>
        <w:keepNext/>
        <w:keepLines/>
        <w:spacing w:before="300" w:after="300" w:line="280" w:lineRule="exact"/>
        <w:jc w:val="left"/>
        <w:outlineLvl w:val="3"/>
        <w:rPr>
          <w:rFonts w:ascii="宋体" w:hAnsi="宋体" w:eastAsia="宋体" w:cs="宋体"/>
          <w:b/>
          <w:bCs/>
          <w:sz w:val="21"/>
          <w:szCs w:val="21"/>
        </w:rPr>
      </w:pPr>
      <w:bookmarkStart w:id="169" w:name="_Toc989058"/>
      <w:r>
        <w:rPr>
          <w:rFonts w:ascii="宋体" w:hAnsi="宋体" w:eastAsia="宋体" w:cs="宋体"/>
          <w:b/>
          <w:bCs/>
          <w:sz w:val="21"/>
          <w:szCs w:val="21"/>
        </w:rPr>
        <w:t>（6） 转移应收账款且继续涉入形成的资产、负债金额</w:t>
      </w:r>
      <w:bookmarkEnd w:id="169"/>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期末应收账款余额前五名合计142,640,775.72元，占应收账款余额的比例为34.67%，计提坏账准备金额12,174,904.63元。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0" w:name="_Toc989059"/>
      <w:r>
        <w:rPr>
          <w:rFonts w:ascii="宋体" w:hAnsi="宋体" w:eastAsia="宋体" w:cs="宋体"/>
          <w:b/>
          <w:bCs/>
          <w:sz w:val="21"/>
          <w:szCs w:val="21"/>
        </w:rPr>
        <w:t>5、应收款项融资</w:t>
      </w:r>
      <w:bookmarkEnd w:id="1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977"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8"/>
        <w:gridCol w:w="1499"/>
        <w:gridCol w:w="1413"/>
        <w:gridCol w:w="1635"/>
        <w:gridCol w:w="840"/>
        <w:gridCol w:w="1714"/>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4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499"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c>
          <w:tcPr>
            <w:tcW w:w="1413"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本期新增</w:t>
            </w:r>
          </w:p>
        </w:tc>
        <w:tc>
          <w:tcPr>
            <w:tcW w:w="163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本期终止确认</w:t>
            </w:r>
          </w:p>
        </w:tc>
        <w:tc>
          <w:tcPr>
            <w:tcW w:w="84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其他变动</w:t>
            </w:r>
          </w:p>
        </w:tc>
        <w:tc>
          <w:tcPr>
            <w:tcW w:w="1714"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438"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累计在其他综合收益中确认的损失准备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438"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49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13,211,825.77</w:t>
            </w:r>
          </w:p>
        </w:tc>
        <w:tc>
          <w:tcPr>
            <w:tcW w:w="14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42,320,870.48</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43,352,547.31</w:t>
            </w:r>
          </w:p>
        </w:tc>
        <w:tc>
          <w:tcPr>
            <w:tcW w:w="8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714"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12,180,148.94</w:t>
            </w:r>
          </w:p>
        </w:tc>
        <w:tc>
          <w:tcPr>
            <w:tcW w:w="1438"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438"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9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13,211,825.77</w:t>
            </w:r>
          </w:p>
        </w:tc>
        <w:tc>
          <w:tcPr>
            <w:tcW w:w="14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42,320,870.48</w:t>
            </w:r>
          </w:p>
        </w:tc>
        <w:tc>
          <w:tcPr>
            <w:tcW w:w="1635"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43,352,547.31</w:t>
            </w:r>
          </w:p>
        </w:tc>
        <w:tc>
          <w:tcPr>
            <w:tcW w:w="8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714"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12,180,148.94</w:t>
            </w:r>
          </w:p>
        </w:tc>
        <w:tc>
          <w:tcPr>
            <w:tcW w:w="1438"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bl>
    <w:p>
      <w:pPr>
        <w:pStyle w:val="2"/>
        <w:keepNext w:val="0"/>
        <w:keepLines w:val="0"/>
        <w:widowControl/>
        <w:suppressLineNumbers w:val="0"/>
      </w:pPr>
      <w:r>
        <w:rPr>
          <w:rFonts w:hint="eastAsia" w:ascii="宋体" w:hAnsi="宋体" w:eastAsia="宋体" w:cs="宋体"/>
          <w:sz w:val="18"/>
          <w:szCs w:val="18"/>
        </w:rPr>
        <w:t>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期末公司已背书或贴现且资产负债表日尚未到期的应收款项融资</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42"/>
        <w:gridCol w:w="2774"/>
        <w:gridCol w:w="280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cs="Times New Roman"/>
                <w:sz w:val="21"/>
                <w:szCs w:val="21"/>
              </w:rPr>
              <w:t> </w:t>
            </w:r>
            <w:r>
              <w:rPr>
                <w:rFonts w:hint="eastAsia" w:ascii="宋体" w:hAnsi="宋体" w:eastAsia="宋体" w:cs="宋体"/>
                <w:sz w:val="18"/>
                <w:szCs w:val="18"/>
              </w:rPr>
              <w:t>项目</w:t>
            </w:r>
          </w:p>
        </w:tc>
        <w:tc>
          <w:tcPr>
            <w:tcW w:w="234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b w:val="0"/>
                <w:bCs w:val="0"/>
                <w:sz w:val="18"/>
                <w:szCs w:val="18"/>
              </w:rPr>
              <w:t>期末终止确认金额</w:t>
            </w:r>
          </w:p>
        </w:tc>
        <w:tc>
          <w:tcPr>
            <w:tcW w:w="23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u w:val="single"/>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银行承兑汇票</w:t>
            </w:r>
          </w:p>
        </w:tc>
        <w:tc>
          <w:tcPr>
            <w:tcW w:w="2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sz w:val="21"/>
                <w:szCs w:val="21"/>
              </w:rPr>
              <w:t>28,855,062.24 </w:t>
            </w:r>
            <w:r>
              <w:rPr>
                <w:rFonts w:ascii="Calibri" w:hAnsi="Calibri" w:cs="Calibri"/>
                <w:sz w:val="21"/>
                <w:szCs w:val="21"/>
              </w:rPr>
              <w:t> </w:t>
            </w:r>
          </w:p>
        </w:tc>
        <w:tc>
          <w:tcPr>
            <w:tcW w:w="23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9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合计</w:t>
            </w:r>
          </w:p>
        </w:tc>
        <w:tc>
          <w:tcPr>
            <w:tcW w:w="2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21"/>
                <w:szCs w:val="21"/>
              </w:rPr>
              <w:t>28,855,062.24 </w:t>
            </w:r>
            <w:r>
              <w:rPr>
                <w:rFonts w:hint="default" w:ascii="Calibri" w:hAnsi="Calibri" w:cs="Calibri"/>
                <w:color w:val="000000"/>
                <w:sz w:val="21"/>
                <w:szCs w:val="21"/>
              </w:rPr>
              <w:t>  </w:t>
            </w:r>
          </w:p>
        </w:tc>
        <w:tc>
          <w:tcPr>
            <w:tcW w:w="23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21"/>
                <w:szCs w:val="21"/>
              </w:rPr>
              <w:t> </w:t>
            </w:r>
            <w:r>
              <w:rPr>
                <w:rFonts w:hint="default" w:ascii="Calibri" w:hAnsi="Calibri" w:cs="Calibri"/>
                <w:color w:val="000000"/>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171" w:name="_Toc989060"/>
      <w:r>
        <w:rPr>
          <w:rFonts w:ascii="宋体" w:hAnsi="宋体" w:eastAsia="宋体" w:cs="宋体"/>
          <w:b/>
          <w:bCs/>
          <w:sz w:val="21"/>
          <w:szCs w:val="21"/>
        </w:rPr>
        <w:t>6、预付款项</w:t>
      </w:r>
      <w:bookmarkEnd w:id="171"/>
    </w:p>
    <w:p>
      <w:pPr>
        <w:keepNext/>
        <w:keepLines/>
        <w:spacing w:before="300" w:after="300" w:line="280" w:lineRule="exact"/>
        <w:jc w:val="left"/>
        <w:outlineLvl w:val="3"/>
        <w:rPr>
          <w:rFonts w:ascii="宋体" w:hAnsi="宋体" w:eastAsia="宋体" w:cs="宋体"/>
          <w:b/>
          <w:bCs/>
          <w:sz w:val="21"/>
          <w:szCs w:val="21"/>
        </w:rPr>
      </w:pPr>
      <w:bookmarkStart w:id="172" w:name="_Toc989061"/>
      <w:r>
        <w:rPr>
          <w:rFonts w:ascii="宋体" w:hAnsi="宋体" w:eastAsia="宋体" w:cs="宋体"/>
          <w:b/>
          <w:bCs/>
          <w:sz w:val="21"/>
          <w:szCs w:val="21"/>
        </w:rPr>
        <w:t>（1） 预付款项按账龄列示</w:t>
      </w:r>
      <w:bookmarkEnd w:id="1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15,742,498.11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10,143,554.82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101,696.39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136,644.07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103,950.54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68,279.12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92,524.12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15,912,473.62</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期末余额中无账龄超过</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年且金额重要的预付款项。</w:t>
      </w:r>
    </w:p>
    <w:p>
      <w:pPr>
        <w:keepNext/>
        <w:keepLines/>
        <w:spacing w:before="300" w:after="300" w:line="280" w:lineRule="exact"/>
        <w:jc w:val="left"/>
        <w:outlineLvl w:val="3"/>
        <w:rPr>
          <w:rFonts w:ascii="宋体" w:hAnsi="宋体" w:eastAsia="宋体" w:cs="宋体"/>
          <w:b/>
          <w:bCs/>
          <w:sz w:val="21"/>
          <w:szCs w:val="21"/>
        </w:rPr>
      </w:pPr>
      <w:bookmarkStart w:id="173" w:name="_Toc989062"/>
      <w:r>
        <w:rPr>
          <w:rFonts w:ascii="宋体" w:hAnsi="宋体" w:eastAsia="宋体" w:cs="宋体"/>
          <w:b/>
          <w:bCs/>
          <w:sz w:val="21"/>
          <w:szCs w:val="21"/>
        </w:rPr>
        <w:t>（2） 按预付对象归集的期末余额前五名的预付款情况</w:t>
      </w:r>
      <w:bookmarkEnd w:id="173"/>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期末预付账款余额前五名合计9,759,301.85元，占预付账款余额的比例为61.33%。</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74" w:name="_Toc989063"/>
      <w:r>
        <w:rPr>
          <w:rFonts w:ascii="宋体" w:hAnsi="宋体" w:eastAsia="宋体" w:cs="宋体"/>
          <w:b/>
          <w:bCs/>
          <w:sz w:val="21"/>
          <w:szCs w:val="21"/>
        </w:rPr>
        <w:t>7、其他应收款</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2,058,906.35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2,058,906.35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r>
    </w:tbl>
    <w:p>
      <w:pPr>
        <w:keepNext/>
        <w:keepLines/>
        <w:spacing w:before="300" w:after="300" w:line="280" w:lineRule="exact"/>
        <w:jc w:val="left"/>
        <w:outlineLvl w:val="3"/>
        <w:rPr>
          <w:rFonts w:ascii="宋体" w:hAnsi="宋体" w:eastAsia="宋体" w:cs="宋体"/>
          <w:b/>
          <w:bCs/>
          <w:sz w:val="21"/>
          <w:szCs w:val="21"/>
        </w:rPr>
      </w:pPr>
      <w:bookmarkStart w:id="175" w:name="_Toc989064"/>
      <w:r>
        <w:rPr>
          <w:rFonts w:ascii="宋体" w:hAnsi="宋体" w:eastAsia="宋体" w:cs="宋体"/>
          <w:b/>
          <w:bCs/>
          <w:sz w:val="21"/>
          <w:szCs w:val="21"/>
        </w:rPr>
        <w:t>（1） 其他应收款</w:t>
      </w:r>
      <w:bookmarkEnd w:id="175"/>
    </w:p>
    <w:p>
      <w:pPr>
        <w:keepNext/>
        <w:keepLines/>
        <w:spacing w:before="300" w:after="300" w:line="280" w:lineRule="exact"/>
        <w:jc w:val="left"/>
        <w:outlineLvl w:val="4"/>
        <w:rPr>
          <w:rFonts w:ascii="宋体" w:hAnsi="宋体" w:eastAsia="宋体" w:cs="宋体"/>
          <w:b/>
          <w:bCs/>
          <w:sz w:val="21"/>
          <w:szCs w:val="21"/>
        </w:rPr>
      </w:pPr>
      <w:bookmarkStart w:id="176" w:name="_Toc989065"/>
      <w:r>
        <w:rPr>
          <w:rFonts w:ascii="宋体" w:hAnsi="宋体" w:eastAsia="宋体" w:cs="宋体"/>
          <w:b/>
          <w:bCs/>
          <w:sz w:val="21"/>
          <w:szCs w:val="21"/>
        </w:rPr>
        <w:t>1） 其他应收款按款项性质分类情况</w:t>
      </w:r>
      <w:bookmarkEnd w:id="1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3,876,653.12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1,855,599.30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270,535.00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1,687,038.85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518,518.76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5,563,691.97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2,644,653.06</w:t>
            </w:r>
          </w:p>
        </w:tc>
      </w:tr>
    </w:tbl>
    <w:p>
      <w:pPr>
        <w:keepNext/>
        <w:keepLines/>
        <w:spacing w:before="300" w:after="300" w:line="280" w:lineRule="exact"/>
        <w:jc w:val="left"/>
        <w:outlineLvl w:val="4"/>
        <w:rPr>
          <w:rFonts w:ascii="宋体" w:hAnsi="宋体" w:eastAsia="宋体" w:cs="宋体"/>
          <w:b/>
          <w:bCs/>
          <w:sz w:val="21"/>
          <w:szCs w:val="21"/>
        </w:rPr>
      </w:pPr>
      <w:bookmarkStart w:id="177" w:name="_Toc989066"/>
      <w:r>
        <w:rPr>
          <w:rFonts w:ascii="宋体" w:hAnsi="宋体" w:eastAsia="宋体" w:cs="宋体"/>
          <w:b/>
          <w:bCs/>
          <w:sz w:val="21"/>
          <w:szCs w:val="21"/>
        </w:rPr>
        <w:t>2） 坏账准备计提情况</w:t>
      </w:r>
      <w:bookmarkEnd w:id="1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133,944.45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3,306,325.99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3,440,270.44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114,515.18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64,515.18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248,459.63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3,256,325.99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3,504,785.62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2,795,644.36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81,091.30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77,406.01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2,609,550.30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2,542,205.30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5,563,691.97</w:t>
            </w:r>
          </w:p>
        </w:tc>
      </w:tr>
    </w:tbl>
    <w:p>
      <w:pPr>
        <w:keepNext/>
        <w:keepLines/>
        <w:spacing w:before="300" w:after="300" w:line="280" w:lineRule="exact"/>
        <w:jc w:val="left"/>
        <w:outlineLvl w:val="4"/>
        <w:rPr>
          <w:rFonts w:ascii="宋体" w:hAnsi="宋体" w:eastAsia="宋体" w:cs="宋体"/>
          <w:b/>
          <w:bCs/>
          <w:sz w:val="21"/>
          <w:szCs w:val="21"/>
        </w:rPr>
      </w:pPr>
      <w:bookmarkStart w:id="178" w:name="_Toc989067"/>
      <w:r>
        <w:rPr>
          <w:rFonts w:ascii="宋体" w:hAnsi="宋体" w:eastAsia="宋体" w:cs="宋体"/>
          <w:b/>
          <w:bCs/>
          <w:sz w:val="21"/>
          <w:szCs w:val="21"/>
        </w:rPr>
        <w:t>3） 本期计提、收回或转回的坏账准备情况</w:t>
      </w:r>
      <w:bookmarkEnd w:id="17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1,989,789.59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1,939,789.59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1,450,480.85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114,515.18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1,564,996.03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3,440,270.44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64,515.18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3,504,785.62</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179" w:name="_Toc989068"/>
      <w:r>
        <w:rPr>
          <w:rFonts w:ascii="宋体" w:hAnsi="宋体" w:eastAsia="宋体" w:cs="宋体"/>
          <w:b/>
          <w:bCs/>
          <w:sz w:val="21"/>
          <w:szCs w:val="21"/>
        </w:rPr>
        <w:t>4） 本期实际核销的其他应收款情况</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21"/>
          <w:szCs w:val="21"/>
        </w:rPr>
        <w:t>本期无实际核销的其他应收款项情况</w:t>
      </w:r>
    </w:p>
    <w:p>
      <w:pPr>
        <w:keepNext/>
        <w:keepLines/>
        <w:spacing w:before="300" w:after="300" w:line="280" w:lineRule="exact"/>
        <w:jc w:val="left"/>
        <w:outlineLvl w:val="4"/>
        <w:rPr>
          <w:rFonts w:ascii="宋体" w:hAnsi="宋体" w:eastAsia="宋体" w:cs="宋体"/>
          <w:b/>
          <w:bCs/>
          <w:sz w:val="21"/>
          <w:szCs w:val="21"/>
        </w:rPr>
      </w:pPr>
      <w:bookmarkStart w:id="180" w:name="_Toc989069"/>
      <w:r>
        <w:rPr>
          <w:rFonts w:ascii="宋体" w:hAnsi="宋体" w:eastAsia="宋体" w:cs="宋体"/>
          <w:b/>
          <w:bCs/>
          <w:sz w:val="21"/>
          <w:szCs w:val="21"/>
        </w:rPr>
        <w:t>5） 按欠款方归集的期末余额前五名的其他应收款情况</w:t>
      </w:r>
      <w:bookmarkEnd w:id="1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r>
    </w:tbl>
    <w:p>
      <w:pPr>
        <w:keepNext/>
        <w:keepLines/>
        <w:spacing w:before="300" w:after="300" w:line="280" w:lineRule="exact"/>
        <w:jc w:val="left"/>
        <w:outlineLvl w:val="4"/>
        <w:rPr>
          <w:rFonts w:ascii="宋体" w:hAnsi="宋体" w:eastAsia="宋体" w:cs="宋体"/>
          <w:b/>
          <w:bCs/>
          <w:sz w:val="21"/>
          <w:szCs w:val="21"/>
        </w:rPr>
      </w:pPr>
      <w:bookmarkStart w:id="181" w:name="_Toc989070"/>
      <w:r>
        <w:rPr>
          <w:rFonts w:ascii="宋体" w:hAnsi="宋体" w:eastAsia="宋体" w:cs="宋体"/>
          <w:b/>
          <w:bCs/>
          <w:sz w:val="21"/>
          <w:szCs w:val="21"/>
        </w:rPr>
        <w:t>6） 涉及政府补助的应收款项</w:t>
      </w:r>
      <w:bookmarkEnd w:id="1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21"/>
          <w:szCs w:val="21"/>
        </w:rPr>
      </w:pPr>
      <w:bookmarkStart w:id="182" w:name="_Toc989071"/>
      <w:r>
        <w:rPr>
          <w:rFonts w:ascii="宋体" w:hAnsi="宋体" w:eastAsia="宋体" w:cs="宋体"/>
          <w:b/>
          <w:bCs/>
          <w:sz w:val="21"/>
          <w:szCs w:val="21"/>
        </w:rPr>
        <w:t>7） 因金融资产转移而终止确认的其他应收款</w:t>
      </w:r>
      <w:bookmarkEnd w:id="182"/>
    </w:p>
    <w:p>
      <w:pPr>
        <w:keepNext/>
        <w:keepLines/>
        <w:spacing w:before="300" w:after="300" w:line="280" w:lineRule="exact"/>
        <w:jc w:val="left"/>
        <w:outlineLvl w:val="4"/>
        <w:rPr>
          <w:rFonts w:ascii="宋体" w:hAnsi="宋体" w:eastAsia="宋体" w:cs="宋体"/>
          <w:b/>
          <w:bCs/>
          <w:sz w:val="21"/>
          <w:szCs w:val="21"/>
        </w:rPr>
      </w:pPr>
      <w:bookmarkStart w:id="183" w:name="_Toc989072"/>
      <w:r>
        <w:rPr>
          <w:rFonts w:ascii="宋体" w:hAnsi="宋体" w:eastAsia="宋体" w:cs="宋体"/>
          <w:b/>
          <w:bCs/>
          <w:sz w:val="21"/>
          <w:szCs w:val="21"/>
        </w:rPr>
        <w:t>8） 转移其他应收款且继续涉入形成的资产、负债金额</w:t>
      </w:r>
      <w:bookmarkEnd w:id="18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4" w:name="_Toc989073"/>
      <w:r>
        <w:rPr>
          <w:rFonts w:ascii="宋体" w:hAnsi="宋体" w:eastAsia="宋体" w:cs="宋体"/>
          <w:b/>
          <w:bCs/>
          <w:sz w:val="21"/>
          <w:szCs w:val="21"/>
        </w:rPr>
        <w:t>8、存货</w:t>
      </w:r>
      <w:bookmarkEnd w:id="184"/>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185" w:name="_Toc989074"/>
      <w:r>
        <w:rPr>
          <w:rFonts w:ascii="宋体" w:hAnsi="宋体" w:eastAsia="宋体" w:cs="宋体"/>
          <w:b/>
          <w:bCs/>
          <w:sz w:val="21"/>
          <w:szCs w:val="21"/>
        </w:rPr>
        <w:t>（1） 存货分类</w:t>
      </w:r>
      <w:bookmarkEnd w:id="1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153,778,132.08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139,850,155.95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137,639,593.95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123,711,617.82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186,353,290.88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156,286,969.34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174,551,289.39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144,484,967.85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207,682,401.72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177,094,796.12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187,666,961.94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157,079,356.34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20,990,689.74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20,990,689.74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8,380,539.16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8,380,539.16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34,983,536.70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22,228,644.94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46,241,609.02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33,486,717.26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10,537,235.97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2,759,312.24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7,777,923.73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10,958,492.19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1,873,679.53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9,084,812.66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614,325,287.09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90,096,107.27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524,229,179.82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565,438,485.65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89,210,474.56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r>
    </w:tbl>
    <w:p>
      <w:pPr>
        <w:keepNext/>
        <w:keepLines/>
        <w:spacing w:before="300" w:after="300" w:line="280" w:lineRule="exact"/>
        <w:jc w:val="left"/>
        <w:outlineLvl w:val="3"/>
        <w:rPr>
          <w:rFonts w:ascii="宋体" w:hAnsi="宋体" w:eastAsia="宋体" w:cs="宋体"/>
          <w:b/>
          <w:bCs/>
          <w:sz w:val="21"/>
          <w:szCs w:val="21"/>
        </w:rPr>
      </w:pPr>
      <w:bookmarkStart w:id="186" w:name="_Toc989075"/>
      <w:r>
        <w:rPr>
          <w:rFonts w:ascii="宋体" w:hAnsi="宋体" w:eastAsia="宋体" w:cs="宋体"/>
          <w:b/>
          <w:bCs/>
          <w:sz w:val="21"/>
          <w:szCs w:val="21"/>
        </w:rPr>
        <w:t>（2） 存货跌价准备和合同履约成本减值准备</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32"/>
        <w:gridCol w:w="1222"/>
        <w:gridCol w:w="1377"/>
        <w:gridCol w:w="1377"/>
        <w:gridCol w:w="1184"/>
        <w:gridCol w:w="15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53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59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56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57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3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1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57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13,927,976.13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30,066,321.54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30,587,605.60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12,754,891.76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1,873,679.53</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885,632.71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2,759,312.24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5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89,210,474.56</w:t>
            </w:r>
          </w:p>
        </w:tc>
        <w:tc>
          <w:tcPr>
            <w:tcW w:w="12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885,632.71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90,096,107.27</w:t>
            </w:r>
          </w:p>
        </w:tc>
      </w:tr>
    </w:tbl>
    <w:p>
      <w:pPr>
        <w:spacing w:before="60" w:after="60" w:line="0" w:lineRule="exact"/>
        <w:jc w:val="left"/>
      </w:pP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keepNext/>
        <w:keepLines/>
        <w:spacing w:before="300" w:after="300" w:line="280" w:lineRule="exact"/>
        <w:jc w:val="left"/>
        <w:outlineLvl w:val="3"/>
        <w:rPr>
          <w:rFonts w:ascii="宋体" w:hAnsi="宋体" w:eastAsia="宋体" w:cs="宋体"/>
          <w:b/>
          <w:bCs/>
          <w:sz w:val="21"/>
          <w:szCs w:val="21"/>
        </w:rPr>
      </w:pPr>
      <w:bookmarkStart w:id="187" w:name="_Toc989076"/>
      <w:r>
        <w:rPr>
          <w:rFonts w:ascii="宋体" w:hAnsi="宋体" w:eastAsia="宋体" w:cs="宋体"/>
          <w:b/>
          <w:bCs/>
          <w:sz w:val="21"/>
          <w:szCs w:val="21"/>
        </w:rPr>
        <w:t>（3） 存货期末余额含有借款费用资本化金额的说明</w:t>
      </w:r>
      <w:bookmarkEnd w:id="187"/>
    </w:p>
    <w:p>
      <w:pPr>
        <w:keepNext/>
        <w:keepLines/>
        <w:spacing w:before="300" w:after="300" w:line="280" w:lineRule="exact"/>
        <w:jc w:val="left"/>
        <w:outlineLvl w:val="3"/>
        <w:rPr>
          <w:rFonts w:ascii="宋体" w:hAnsi="宋体" w:eastAsia="宋体" w:cs="宋体"/>
          <w:b/>
          <w:bCs/>
          <w:sz w:val="21"/>
          <w:szCs w:val="21"/>
        </w:rPr>
      </w:pPr>
      <w:bookmarkStart w:id="188" w:name="_Toc989077"/>
      <w:r>
        <w:rPr>
          <w:rFonts w:ascii="宋体" w:hAnsi="宋体" w:eastAsia="宋体" w:cs="宋体"/>
          <w:b/>
          <w:bCs/>
          <w:sz w:val="21"/>
          <w:szCs w:val="21"/>
        </w:rPr>
        <w:t>（4） 合同履约成本本期摊销金额的说明</w:t>
      </w:r>
      <w:bookmarkEnd w:id="188"/>
    </w:p>
    <w:p>
      <w:pPr>
        <w:keepNext/>
        <w:keepLines/>
        <w:spacing w:before="300" w:after="300" w:line="280" w:lineRule="exact"/>
        <w:jc w:val="left"/>
        <w:outlineLvl w:val="2"/>
        <w:rPr>
          <w:rFonts w:ascii="宋体" w:hAnsi="宋体" w:eastAsia="宋体" w:cs="宋体"/>
          <w:b/>
          <w:bCs/>
          <w:sz w:val="21"/>
          <w:szCs w:val="21"/>
        </w:rPr>
      </w:pPr>
      <w:bookmarkStart w:id="189" w:name="_Toc989078"/>
      <w:r>
        <w:rPr>
          <w:rFonts w:ascii="宋体" w:hAnsi="宋体" w:eastAsia="宋体" w:cs="宋体"/>
          <w:b/>
          <w:bCs/>
          <w:sz w:val="21"/>
          <w:szCs w:val="21"/>
        </w:rPr>
        <w:t>9、合同资产</w:t>
      </w:r>
      <w:bookmarkEnd w:id="1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771,589.17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38,579.46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733,009.71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36,491.38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771,589.17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38,579.46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733,009.71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36,491.38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3"/>
        <w:tblW w:w="95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1613"/>
        <w:gridCol w:w="1439"/>
        <w:gridCol w:w="1439"/>
        <w:gridCol w:w="999"/>
        <w:gridCol w:w="136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上年年末余额</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本期计提</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本期转回</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本期转销/核销</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241"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未到期质保金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36,491.38 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3,524.69 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1,436.61 </w:t>
            </w: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38,579.46 </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bl>
    <w:p>
      <w:pPr>
        <w:keepNext/>
        <w:keepLines/>
        <w:spacing w:before="300" w:after="300" w:line="280" w:lineRule="exact"/>
        <w:jc w:val="left"/>
        <w:outlineLvl w:val="2"/>
        <w:rPr>
          <w:rFonts w:ascii="宋体" w:hAnsi="宋体" w:eastAsia="宋体" w:cs="宋体"/>
          <w:b/>
          <w:bCs/>
          <w:sz w:val="21"/>
          <w:szCs w:val="21"/>
        </w:rPr>
      </w:pPr>
      <w:bookmarkStart w:id="190" w:name="_Toc989079"/>
      <w:r>
        <w:rPr>
          <w:rFonts w:ascii="宋体" w:hAnsi="宋体" w:eastAsia="宋体" w:cs="宋体"/>
          <w:b/>
          <w:bCs/>
          <w:sz w:val="21"/>
          <w:szCs w:val="21"/>
        </w:rPr>
        <w:t>10、其他流动资产</w:t>
      </w:r>
      <w:bookmarkEnd w:id="1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9,654,813.64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5,496,170.47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C919项目研发支出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1,528,274.87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1,528,274.87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950,165.54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预缴异地办公房屋租金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12,160,754.05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1" w:name="_Toc989080"/>
      <w:r>
        <w:rPr>
          <w:rFonts w:ascii="宋体" w:hAnsi="宋体" w:eastAsia="宋体" w:cs="宋体"/>
          <w:b/>
          <w:bCs/>
          <w:sz w:val="21"/>
          <w:szCs w:val="21"/>
        </w:rPr>
        <w:t>11、长期股权投资</w:t>
      </w:r>
      <w:bookmarkEnd w:id="1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2" w:name="_Toc989081"/>
      <w:r>
        <w:rPr>
          <w:rFonts w:ascii="宋体" w:hAnsi="宋体" w:eastAsia="宋体" w:cs="宋体"/>
          <w:b/>
          <w:bCs/>
          <w:sz w:val="21"/>
          <w:szCs w:val="21"/>
        </w:rPr>
        <w:t>12、其他权益工具投资</w:t>
      </w:r>
      <w:bookmarkEnd w:id="1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27,884,168.83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27,884,168.83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26,332,800.00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3,380,230.13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3,380,230.13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69"/>
        <w:gridCol w:w="915"/>
        <w:gridCol w:w="1410"/>
        <w:gridCol w:w="1365"/>
        <w:gridCol w:w="1126"/>
        <w:gridCol w:w="1634"/>
        <w:gridCol w:w="11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9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6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1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1,846,740.26</w:t>
            </w:r>
          </w:p>
        </w:tc>
        <w:tc>
          <w:tcPr>
            <w:tcW w:w="11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上海海通创新锦程投资管理中心(有限合伙)</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13,236,468.00</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380,230.13</w:t>
            </w: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9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11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3" w:name="_Toc989082"/>
      <w:r>
        <w:rPr>
          <w:rFonts w:ascii="宋体" w:hAnsi="宋体" w:eastAsia="宋体" w:cs="宋体"/>
          <w:b/>
          <w:bCs/>
          <w:sz w:val="21"/>
          <w:szCs w:val="21"/>
        </w:rPr>
        <w:t>13、固定资产</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575,413,795.58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320,504.41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575,734,299.99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bl>
    <w:p>
      <w:pPr>
        <w:keepNext/>
        <w:keepLines/>
        <w:spacing w:before="300" w:after="300" w:line="280" w:lineRule="exact"/>
        <w:jc w:val="left"/>
        <w:outlineLvl w:val="3"/>
        <w:rPr>
          <w:rFonts w:ascii="宋体" w:hAnsi="宋体" w:eastAsia="宋体" w:cs="宋体"/>
          <w:b/>
          <w:bCs/>
          <w:sz w:val="21"/>
          <w:szCs w:val="21"/>
        </w:rPr>
      </w:pPr>
      <w:bookmarkStart w:id="194" w:name="_Toc989083"/>
      <w:r>
        <w:rPr>
          <w:rFonts w:ascii="宋体" w:hAnsi="宋体" w:eastAsia="宋体" w:cs="宋体"/>
          <w:b/>
          <w:bCs/>
          <w:sz w:val="21"/>
          <w:szCs w:val="21"/>
        </w:rPr>
        <w:t>（1） 固定资产情况</w:t>
      </w:r>
      <w:bookmarkEnd w:id="1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500,752,629.64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443,654,330.06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4,249,598.29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35,727,418.73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984,383,976.72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1,030,233.61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2,453,553.10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295,094.34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3,778,881.05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2,351,783.19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295,094.34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2,646,877.53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1,030,233.61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101,769.91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1,132,003.52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19,552,438.10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239,563.95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755,963.10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20,547,965.15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19,552,438.10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239,563.95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755,963.10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20,547,965.15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501,782,863.25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426,555,445.06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4,010,034.34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35,266,549.97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967,614,892.62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104,472,630.26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251,097,268.33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2,870,683.24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27,609,686.13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386,050,267.96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6,823,829.82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14,994,556.10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149,399.32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2,415,249.14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24,383,034.38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6,823,829.82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14,994,556.10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149,399.32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2,415,249.14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24,383,034.38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18,284,154.44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227,585.75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602,924.36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19,114,664.55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18,284,154.44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227,585.75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602,924.36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19,114,664.55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111,296,460.08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247,807,669.99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2,792,496.81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29,422,010.91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391,318,637.79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389,682,975.06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178,670,692.24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1,216,458.55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5,843,669.73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575,413,795.58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395,476,571.27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192,479,978.90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1,377,836.07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8,116,863.27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bl>
    <w:p>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（2） 未办妥产权证书的固定资产情况</w:t>
      </w:r>
      <w:bookmarkEnd w:id="1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二期综合楼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50,778,642.57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办理产证中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东门卫</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251,098.71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办理产证中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联合厂房（三）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20,491,186.69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办理产证中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成品库房</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1,653,823.71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办理产证中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73,174,751.68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96" w:name="_Toc989085"/>
      <w:r>
        <w:rPr>
          <w:rFonts w:ascii="宋体" w:hAnsi="宋体" w:eastAsia="宋体" w:cs="宋体"/>
          <w:b/>
          <w:bCs/>
          <w:sz w:val="21"/>
          <w:szCs w:val="21"/>
        </w:rPr>
        <w:t>（3） 固定资产清理</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热等静压机和沥青浸渍罐清理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320,504.41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320,504.41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97" w:name="_Toc989086"/>
      <w:r>
        <w:rPr>
          <w:rFonts w:ascii="宋体" w:hAnsi="宋体" w:eastAsia="宋体" w:cs="宋体"/>
          <w:b/>
          <w:bCs/>
          <w:sz w:val="21"/>
          <w:szCs w:val="21"/>
        </w:rPr>
        <w:t>14、在建工程</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bl>
    <w:p>
      <w:pPr>
        <w:keepNext/>
        <w:keepLines/>
        <w:spacing w:before="300" w:after="300" w:line="280" w:lineRule="exact"/>
        <w:jc w:val="left"/>
        <w:outlineLvl w:val="3"/>
        <w:rPr>
          <w:rFonts w:ascii="宋体" w:hAnsi="宋体" w:eastAsia="宋体" w:cs="宋体"/>
          <w:b/>
          <w:bCs/>
          <w:sz w:val="21"/>
          <w:szCs w:val="21"/>
        </w:rPr>
      </w:pPr>
      <w:bookmarkStart w:id="198" w:name="_Toc989087"/>
      <w:r>
        <w:rPr>
          <w:rFonts w:ascii="宋体" w:hAnsi="宋体" w:eastAsia="宋体" w:cs="宋体"/>
          <w:b/>
          <w:bCs/>
          <w:sz w:val="21"/>
          <w:szCs w:val="21"/>
        </w:rPr>
        <w:t>（1） 在建工程情况</w:t>
      </w:r>
      <w:bookmarkEnd w:id="1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博云东方麓谷基地产业化项目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178,935,289.10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178,935,289.10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33,296,135.54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33,296,135.54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17,030,566.10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17,030,566.10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212,231,424.64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bl>
    <w:p>
      <w:pPr>
        <w:keepNext/>
        <w:keepLines/>
        <w:spacing w:before="300" w:after="300" w:line="280" w:lineRule="exact"/>
        <w:jc w:val="left"/>
        <w:outlineLvl w:val="3"/>
        <w:rPr>
          <w:rFonts w:ascii="宋体" w:hAnsi="宋体" w:eastAsia="宋体" w:cs="宋体"/>
          <w:b/>
          <w:bCs/>
          <w:sz w:val="21"/>
          <w:szCs w:val="21"/>
        </w:rPr>
      </w:pPr>
      <w:bookmarkStart w:id="199" w:name="_Toc989088"/>
      <w:r>
        <w:rPr>
          <w:rFonts w:ascii="宋体" w:hAnsi="宋体" w:eastAsia="宋体" w:cs="宋体"/>
          <w:b/>
          <w:bCs/>
          <w:sz w:val="21"/>
          <w:szCs w:val="21"/>
        </w:rPr>
        <w:t>（2） 重要在建工程项目本期变动情况</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麓谷基地产业化项目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31,842,063.55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178,935,289.10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147,093,225.55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31,842,063.55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178,935,289.10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00" w:name="_Toc989089"/>
      <w:r>
        <w:rPr>
          <w:rFonts w:ascii="宋体" w:hAnsi="宋体" w:eastAsia="宋体" w:cs="宋体"/>
          <w:b/>
          <w:bCs/>
          <w:sz w:val="21"/>
          <w:szCs w:val="21"/>
        </w:rPr>
        <w:t>15、无形资产</w:t>
      </w:r>
      <w:bookmarkEnd w:id="200"/>
    </w:p>
    <w:p>
      <w:pPr>
        <w:keepNext/>
        <w:keepLines/>
        <w:spacing w:before="300" w:after="300" w:line="280" w:lineRule="exact"/>
        <w:jc w:val="left"/>
        <w:outlineLvl w:val="3"/>
        <w:rPr>
          <w:rFonts w:ascii="宋体" w:hAnsi="宋体" w:eastAsia="宋体" w:cs="宋体"/>
          <w:b/>
          <w:bCs/>
          <w:sz w:val="21"/>
          <w:szCs w:val="21"/>
        </w:rPr>
      </w:pPr>
      <w:bookmarkStart w:id="201" w:name="_Toc989090"/>
      <w:r>
        <w:rPr>
          <w:rFonts w:ascii="宋体" w:hAnsi="宋体" w:eastAsia="宋体" w:cs="宋体"/>
          <w:b/>
          <w:bCs/>
          <w:sz w:val="21"/>
          <w:szCs w:val="21"/>
        </w:rPr>
        <w:t>（1） 无形资产情况</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专有技术</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7,074,690.57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219,582,879.24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427,569,165.60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7,079,190.57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219,582,879.24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427,573,665.60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27,224,200.77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4,259,629.22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134,972,834.61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166,456,664.60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586,780.68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7,236,118.59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9,845,450.31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586,780.68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7,236,118.59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9,845,450.31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29,246,751.81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4,846,409.90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142,208,953.20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176,302,114.91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1,967,332.94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2,468,016.86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171,164,160.06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2,232,780.67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75,406,593.10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248,803,533.83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173,186,711.10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2,815,061.35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82,642,711.69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本期末通过公司内部研发形成的无形资产占无形资产余额的比例30.31%</w:t>
      </w:r>
    </w:p>
    <w:p>
      <w:pPr>
        <w:keepNext/>
        <w:keepLines/>
        <w:spacing w:before="300" w:after="300" w:line="280" w:lineRule="exact"/>
        <w:jc w:val="left"/>
        <w:outlineLvl w:val="3"/>
        <w:rPr>
          <w:rFonts w:ascii="宋体" w:hAnsi="宋体" w:eastAsia="宋体" w:cs="宋体"/>
          <w:b/>
          <w:bCs/>
          <w:sz w:val="21"/>
          <w:szCs w:val="21"/>
        </w:rPr>
      </w:pPr>
      <w:bookmarkStart w:id="202" w:name="_Toc989091"/>
      <w:r>
        <w:rPr>
          <w:rFonts w:ascii="宋体" w:hAnsi="宋体" w:eastAsia="宋体" w:cs="宋体"/>
          <w:b/>
          <w:bCs/>
          <w:sz w:val="21"/>
          <w:szCs w:val="21"/>
        </w:rPr>
        <w:t>（2） 未办妥产权证书的土地使用权情况</w:t>
      </w:r>
      <w:bookmarkEnd w:id="2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3" w:name="_Toc989092"/>
      <w:r>
        <w:rPr>
          <w:rFonts w:ascii="宋体" w:hAnsi="宋体" w:eastAsia="宋体" w:cs="宋体"/>
          <w:b/>
          <w:bCs/>
          <w:sz w:val="21"/>
          <w:szCs w:val="21"/>
        </w:rPr>
        <w:t>16、开发支出</w:t>
      </w:r>
      <w:bookmarkEnd w:id="2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18,908,354.66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50,646,427.72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37,534,252.40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50,646,427.72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b/>
          <w:bCs/>
          <w:sz w:val="21"/>
          <w:szCs w:val="21"/>
        </w:rPr>
        <w:t>主要开发支出项目的资本化开始时点、资本化的具体依据、截至期末的研发进度</w:t>
      </w:r>
    </w:p>
    <w:tbl>
      <w:tblPr>
        <w:tblStyle w:val="3"/>
        <w:tblW w:w="9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56"/>
        <w:gridCol w:w="270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27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70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期末余额</w:t>
            </w:r>
          </w:p>
        </w:tc>
        <w:tc>
          <w:tcPr>
            <w:tcW w:w="367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截至期末的研发进度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27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军机机轮刹车系统研制（二）</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23,406,961.31 </w:t>
            </w:r>
          </w:p>
        </w:tc>
        <w:tc>
          <w:tcPr>
            <w:tcW w:w="367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已进入试飞鉴定阶段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27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金属碳化物粉末制备技术（一）</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12,252,622.27 </w:t>
            </w:r>
          </w:p>
        </w:tc>
        <w:tc>
          <w:tcPr>
            <w:tcW w:w="367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产业化开发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7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民机机轮刹车系统研制（一）</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5,102,960.68 </w:t>
            </w:r>
          </w:p>
        </w:tc>
        <w:tc>
          <w:tcPr>
            <w:tcW w:w="367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工程研制阶段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27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计</w:t>
            </w:r>
          </w:p>
        </w:tc>
        <w:tc>
          <w:tcPr>
            <w:tcW w:w="270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40,762,544.26 </w:t>
            </w:r>
          </w:p>
        </w:tc>
        <w:tc>
          <w:tcPr>
            <w:tcW w:w="3675" w:type="dxa"/>
            <w:tcBorders>
              <w:top w:val="nil"/>
              <w:left w:val="nil"/>
              <w:bottom w:val="single" w:color="auto" w:sz="8" w:space="0"/>
              <w:right w:val="single" w:color="auto"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bl>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b/>
          <w:bCs/>
          <w:sz w:val="21"/>
          <w:szCs w:val="21"/>
        </w:rPr>
        <w:t>本公司开发支出项目的资本化时点及资本化的依据，详见本附注</w:t>
      </w:r>
      <w:r>
        <w:rPr>
          <w:rFonts w:hint="default" w:ascii="Times New Roman" w:hAnsi="Times New Roman" w:eastAsia="宋体" w:cs="Times New Roman"/>
          <w:b/>
          <w:bCs/>
          <w:sz w:val="21"/>
          <w:szCs w:val="21"/>
        </w:rPr>
        <w:t>“</w:t>
      </w:r>
      <w:r>
        <w:rPr>
          <w:rFonts w:hint="eastAsia" w:ascii="宋体" w:hAnsi="宋体" w:eastAsia="宋体" w:cs="宋体"/>
          <w:b/>
          <w:bCs/>
          <w:sz w:val="21"/>
          <w:szCs w:val="21"/>
        </w:rPr>
        <w:t>五、23 无形资产的核算方法</w:t>
      </w:r>
      <w:r>
        <w:rPr>
          <w:rFonts w:hint="default" w:ascii="Times New Roman" w:hAnsi="Times New Roman" w:eastAsia="宋体" w:cs="Times New Roman"/>
          <w:b/>
          <w:bCs/>
          <w:sz w:val="21"/>
          <w:szCs w:val="21"/>
        </w:rPr>
        <w:t>”</w:t>
      </w:r>
      <w:r>
        <w:rPr>
          <w:rFonts w:hint="eastAsia" w:ascii="宋体" w:hAnsi="宋体" w:eastAsia="宋体" w:cs="宋体"/>
          <w:b/>
          <w:bCs/>
          <w:sz w:val="21"/>
          <w:szCs w:val="21"/>
        </w:rPr>
        <w:t>。</w:t>
      </w:r>
    </w:p>
    <w:p>
      <w:pPr>
        <w:keepNext/>
        <w:keepLines/>
        <w:spacing w:before="300" w:after="300" w:line="280" w:lineRule="exact"/>
        <w:jc w:val="left"/>
        <w:outlineLvl w:val="2"/>
        <w:rPr>
          <w:rFonts w:ascii="宋体" w:hAnsi="宋体" w:eastAsia="宋体" w:cs="宋体"/>
          <w:b/>
          <w:bCs/>
          <w:sz w:val="21"/>
          <w:szCs w:val="21"/>
        </w:rPr>
      </w:pPr>
      <w:bookmarkStart w:id="204" w:name="_Toc989093"/>
      <w:r>
        <w:rPr>
          <w:rFonts w:ascii="宋体" w:hAnsi="宋体" w:eastAsia="宋体" w:cs="宋体"/>
          <w:b/>
          <w:bCs/>
          <w:sz w:val="21"/>
          <w:szCs w:val="21"/>
        </w:rPr>
        <w:t>17、商誉</w:t>
      </w:r>
      <w:bookmarkEnd w:id="204"/>
    </w:p>
    <w:p>
      <w:pPr>
        <w:keepNext/>
        <w:keepLines/>
        <w:spacing w:before="300" w:after="300" w:line="280" w:lineRule="exact"/>
        <w:jc w:val="left"/>
        <w:outlineLvl w:val="3"/>
        <w:rPr>
          <w:rFonts w:ascii="宋体" w:hAnsi="宋体" w:eastAsia="宋体" w:cs="宋体"/>
          <w:b/>
          <w:bCs/>
          <w:sz w:val="21"/>
          <w:szCs w:val="21"/>
        </w:rPr>
      </w:pPr>
      <w:bookmarkStart w:id="205" w:name="_Toc989094"/>
      <w:r>
        <w:rPr>
          <w:rFonts w:ascii="宋体" w:hAnsi="宋体" w:eastAsia="宋体" w:cs="宋体"/>
          <w:b/>
          <w:bCs/>
          <w:sz w:val="21"/>
          <w:szCs w:val="21"/>
        </w:rPr>
        <w:t>（1） 商誉账面原值</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06" w:name="_Toc989095"/>
      <w:r>
        <w:rPr>
          <w:rFonts w:ascii="宋体" w:hAnsi="宋体" w:eastAsia="宋体" w:cs="宋体"/>
          <w:b/>
          <w:bCs/>
          <w:sz w:val="21"/>
          <w:szCs w:val="21"/>
        </w:rPr>
        <w:t>（2） 商誉减值准备</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pStyle w:val="2"/>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期末商誉为公司对外收购时所形成，因该类交易属于非同一控制下的企业合并，合并成本与被合并公司合并日净资产公允价值的差额在合并层面确认为商誉。该资产组与购买日、以前年度商誉减值测试时所确定的资产组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7" w:name="_Toc989096"/>
      <w:r>
        <w:rPr>
          <w:rFonts w:ascii="宋体" w:hAnsi="宋体" w:eastAsia="宋体" w:cs="宋体"/>
          <w:b/>
          <w:bCs/>
          <w:sz w:val="21"/>
          <w:szCs w:val="21"/>
        </w:rPr>
        <w:t>18、长期待摊费用</w:t>
      </w:r>
      <w:bookmarkEnd w:id="2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改造装修费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612,068.59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728,936.05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2,860,553.59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612,068.59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728,936.05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2,860,553.59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8" w:name="_Toc989097"/>
      <w:r>
        <w:rPr>
          <w:rFonts w:ascii="宋体" w:hAnsi="宋体" w:eastAsia="宋体" w:cs="宋体"/>
          <w:b/>
          <w:bCs/>
          <w:sz w:val="21"/>
          <w:szCs w:val="21"/>
        </w:rPr>
        <w:t>19、递延所得税资产/递延所得税负债</w:t>
      </w:r>
      <w:bookmarkEnd w:id="208"/>
    </w:p>
    <w:p>
      <w:pPr>
        <w:keepNext/>
        <w:keepLines/>
        <w:spacing w:before="300" w:after="300" w:line="280" w:lineRule="exact"/>
        <w:jc w:val="left"/>
        <w:outlineLvl w:val="3"/>
        <w:rPr>
          <w:rFonts w:ascii="宋体" w:hAnsi="宋体" w:eastAsia="宋体" w:cs="宋体"/>
          <w:b/>
          <w:bCs/>
          <w:sz w:val="21"/>
          <w:szCs w:val="21"/>
        </w:rPr>
      </w:pPr>
      <w:bookmarkStart w:id="209" w:name="_Toc989098"/>
      <w:r>
        <w:rPr>
          <w:rFonts w:ascii="宋体" w:hAnsi="宋体" w:eastAsia="宋体" w:cs="宋体"/>
          <w:b/>
          <w:bCs/>
          <w:sz w:val="21"/>
          <w:szCs w:val="21"/>
        </w:rPr>
        <w:t>（1） 未经抵销的递延所得税资产</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176,626,870.47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26,494,030.57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172,912,047.75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25,936,807.15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10,379,496.19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1,556,924.43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10,379,496.18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1,556,924.43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187,006,366.66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28,050,955.00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183,291,543.93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r>
    </w:tbl>
    <w:p>
      <w:pPr>
        <w:keepNext/>
        <w:keepLines/>
        <w:spacing w:before="300" w:after="300" w:line="280" w:lineRule="exact"/>
        <w:jc w:val="left"/>
        <w:outlineLvl w:val="3"/>
        <w:rPr>
          <w:rFonts w:ascii="宋体" w:hAnsi="宋体" w:eastAsia="宋体" w:cs="宋体"/>
          <w:b/>
          <w:bCs/>
          <w:sz w:val="21"/>
          <w:szCs w:val="21"/>
        </w:rPr>
      </w:pPr>
      <w:bookmarkStart w:id="210" w:name="_Toc989099"/>
      <w:r>
        <w:rPr>
          <w:rFonts w:ascii="宋体" w:hAnsi="宋体" w:eastAsia="宋体" w:cs="宋体"/>
          <w:b/>
          <w:bCs/>
          <w:sz w:val="21"/>
          <w:szCs w:val="21"/>
        </w:rPr>
        <w:t>（2） 未经抵销的递延所得税负债</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21,811,116.53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3,271,667.48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23,274,143.33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3,491,121.50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11,936,001.07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1,790,400.16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11,936,001.13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1,790,400.16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33,747,117.60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5,062,067.64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35,210,144.46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r>
    </w:tbl>
    <w:p>
      <w:pPr>
        <w:keepNext/>
        <w:keepLines/>
        <w:spacing w:before="300" w:after="300" w:line="280" w:lineRule="exact"/>
        <w:jc w:val="left"/>
        <w:outlineLvl w:val="3"/>
        <w:rPr>
          <w:rFonts w:ascii="宋体" w:hAnsi="宋体" w:eastAsia="宋体" w:cs="宋体"/>
          <w:b/>
          <w:bCs/>
          <w:sz w:val="21"/>
          <w:szCs w:val="21"/>
        </w:rPr>
      </w:pPr>
      <w:bookmarkStart w:id="211" w:name="_Toc989100"/>
      <w:r>
        <w:rPr>
          <w:rFonts w:ascii="宋体" w:hAnsi="宋体" w:eastAsia="宋体" w:cs="宋体"/>
          <w:b/>
          <w:bCs/>
          <w:sz w:val="21"/>
          <w:szCs w:val="21"/>
        </w:rPr>
        <w:t>（3） 以抵销后净额列示的递延所得税资产或负债</w:t>
      </w:r>
      <w:bookmarkEnd w:id="2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28,050,955.00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5,062,067.64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r>
    </w:tbl>
    <w:p>
      <w:pPr>
        <w:keepNext/>
        <w:keepLines/>
        <w:spacing w:before="300" w:after="300" w:line="280" w:lineRule="exact"/>
        <w:jc w:val="left"/>
        <w:outlineLvl w:val="3"/>
        <w:rPr>
          <w:rFonts w:ascii="宋体" w:hAnsi="宋体" w:eastAsia="宋体" w:cs="宋体"/>
          <w:b/>
          <w:bCs/>
          <w:sz w:val="21"/>
          <w:szCs w:val="21"/>
        </w:rPr>
      </w:pPr>
      <w:bookmarkStart w:id="212" w:name="_Toc989101"/>
      <w:r>
        <w:rPr>
          <w:rFonts w:ascii="宋体" w:hAnsi="宋体" w:eastAsia="宋体" w:cs="宋体"/>
          <w:b/>
          <w:bCs/>
          <w:sz w:val="21"/>
          <w:szCs w:val="21"/>
        </w:rPr>
        <w:t>（4） 未确认递延所得税资产明细</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r>
    </w:tbl>
    <w:p>
      <w:pPr>
        <w:keepNext/>
        <w:keepLines/>
        <w:spacing w:before="300" w:after="300" w:line="280" w:lineRule="exact"/>
        <w:jc w:val="left"/>
        <w:outlineLvl w:val="3"/>
        <w:rPr>
          <w:rFonts w:ascii="宋体" w:hAnsi="宋体" w:eastAsia="宋体" w:cs="宋体"/>
          <w:b/>
          <w:bCs/>
          <w:sz w:val="21"/>
          <w:szCs w:val="21"/>
        </w:rPr>
      </w:pPr>
      <w:bookmarkStart w:id="213" w:name="_Toc989102"/>
      <w:r>
        <w:rPr>
          <w:rFonts w:ascii="宋体" w:hAnsi="宋体" w:eastAsia="宋体" w:cs="宋体"/>
          <w:b/>
          <w:bCs/>
          <w:sz w:val="21"/>
          <w:szCs w:val="21"/>
        </w:rPr>
        <w:t>（5） 未确认递延所得税资产的可抵扣亏损将于以下年度到期</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30,867,289.92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30,407,636.86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153,361,579.33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4" w:name="_Toc989103"/>
      <w:r>
        <w:rPr>
          <w:rFonts w:ascii="宋体" w:hAnsi="宋体" w:eastAsia="宋体" w:cs="宋体"/>
          <w:b/>
          <w:bCs/>
          <w:sz w:val="21"/>
          <w:szCs w:val="21"/>
        </w:rPr>
        <w:t>20、其他非流动资产</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92"/>
        <w:gridCol w:w="1125"/>
        <w:gridCol w:w="1414"/>
        <w:gridCol w:w="1571"/>
        <w:gridCol w:w="1035"/>
        <w:gridCol w:w="15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4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5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5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5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64,484,531.79</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64,484,531.79</w:t>
            </w:r>
          </w:p>
        </w:tc>
        <w:tc>
          <w:tcPr>
            <w:tcW w:w="15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5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64,484,531.79</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64,484,531.79</w:t>
            </w:r>
          </w:p>
        </w:tc>
        <w:tc>
          <w:tcPr>
            <w:tcW w:w="15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5" w:name="_Toc989104"/>
      <w:r>
        <w:rPr>
          <w:rFonts w:ascii="宋体" w:hAnsi="宋体" w:eastAsia="宋体" w:cs="宋体"/>
          <w:b/>
          <w:bCs/>
          <w:sz w:val="21"/>
          <w:szCs w:val="21"/>
        </w:rPr>
        <w:t>21、短期借款</w:t>
      </w:r>
      <w:bookmarkEnd w:id="215"/>
    </w:p>
    <w:p>
      <w:pPr>
        <w:keepNext/>
        <w:keepLines/>
        <w:spacing w:before="300" w:after="300" w:line="280" w:lineRule="exact"/>
        <w:jc w:val="left"/>
        <w:outlineLvl w:val="3"/>
        <w:rPr>
          <w:rFonts w:ascii="宋体" w:hAnsi="宋体" w:eastAsia="宋体" w:cs="宋体"/>
          <w:b/>
          <w:bCs/>
          <w:sz w:val="21"/>
          <w:szCs w:val="21"/>
        </w:rPr>
      </w:pPr>
      <w:bookmarkStart w:id="216" w:name="_Toc989105"/>
      <w:r>
        <w:rPr>
          <w:rFonts w:ascii="宋体" w:hAnsi="宋体" w:eastAsia="宋体" w:cs="宋体"/>
          <w:b/>
          <w:bCs/>
          <w:sz w:val="21"/>
          <w:szCs w:val="21"/>
        </w:rPr>
        <w:t>（1） 短期借款分类</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217" w:name="_Toc989106"/>
      <w:r>
        <w:rPr>
          <w:rFonts w:ascii="宋体" w:hAnsi="宋体" w:eastAsia="宋体" w:cs="宋体"/>
          <w:b/>
          <w:bCs/>
          <w:sz w:val="21"/>
          <w:szCs w:val="21"/>
        </w:rPr>
        <w:t>（2） 已逾期未偿还的短期借款情况</w:t>
      </w:r>
      <w:bookmarkEnd w:id="217"/>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本期末已逾期未偿还的短期借款总额为0.00元，其中重要的已逾期未偿还的短期借款情况如下：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8" w:name="_Toc989107"/>
      <w:r>
        <w:rPr>
          <w:rFonts w:ascii="宋体" w:hAnsi="宋体" w:eastAsia="宋体" w:cs="宋体"/>
          <w:b/>
          <w:bCs/>
          <w:sz w:val="21"/>
          <w:szCs w:val="21"/>
        </w:rPr>
        <w:t>22、应付票据</w:t>
      </w:r>
      <w:bookmarkEnd w:id="2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10,760,940.50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75,610,100.00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59,204,500.00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17,124,534.30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69,965,440.50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219" w:name="_Toc989108"/>
      <w:r>
        <w:rPr>
          <w:rFonts w:ascii="宋体" w:hAnsi="宋体" w:eastAsia="宋体" w:cs="宋体"/>
          <w:b/>
          <w:bCs/>
          <w:sz w:val="21"/>
          <w:szCs w:val="21"/>
        </w:rPr>
        <w:t>23、应付账款</w:t>
      </w:r>
      <w:bookmarkEnd w:id="219"/>
    </w:p>
    <w:p>
      <w:pPr>
        <w:keepNext/>
        <w:keepLines/>
        <w:spacing w:before="300" w:after="300" w:line="280" w:lineRule="exact"/>
        <w:jc w:val="left"/>
        <w:outlineLvl w:val="3"/>
        <w:rPr>
          <w:rFonts w:ascii="宋体" w:hAnsi="宋体" w:eastAsia="宋体" w:cs="宋体"/>
          <w:b/>
          <w:bCs/>
          <w:sz w:val="18"/>
          <w:szCs w:val="18"/>
        </w:rPr>
      </w:pPr>
      <w:bookmarkStart w:id="220" w:name="_Toc989109"/>
      <w:r>
        <w:rPr>
          <w:rFonts w:ascii="宋体" w:hAnsi="宋体" w:eastAsia="宋体" w:cs="宋体"/>
          <w:b/>
          <w:bCs/>
          <w:sz w:val="18"/>
          <w:szCs w:val="18"/>
        </w:rPr>
        <w:t>（1） 应付账款列示</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128,128,530.30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86,659,596.05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11,122,234.60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15,870,702.07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3,475,483.45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631,901.02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142,726,248.35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r>
    </w:tbl>
    <w:p>
      <w:pPr>
        <w:keepNext/>
        <w:keepLines/>
        <w:spacing w:before="300" w:after="300" w:line="280" w:lineRule="exact"/>
        <w:jc w:val="left"/>
        <w:outlineLvl w:val="3"/>
        <w:rPr>
          <w:rFonts w:ascii="宋体" w:hAnsi="宋体" w:eastAsia="宋体" w:cs="宋体"/>
          <w:b/>
          <w:bCs/>
          <w:sz w:val="18"/>
          <w:szCs w:val="18"/>
        </w:rPr>
      </w:pPr>
      <w:bookmarkStart w:id="221" w:name="_Toc989110"/>
      <w:r>
        <w:rPr>
          <w:rFonts w:ascii="宋体" w:hAnsi="宋体" w:eastAsia="宋体" w:cs="宋体"/>
          <w:b/>
          <w:bCs/>
          <w:sz w:val="18"/>
          <w:szCs w:val="18"/>
        </w:rPr>
        <w:t>（2） 账龄超过1年的重要应付账款</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00" w:beforeAutospacing="0" w:after="100" w:afterAutospacing="0" w:line="240" w:lineRule="atLeast"/>
        <w:ind w:left="0" w:right="0" w:firstLine="540"/>
        <w:jc w:val="left"/>
        <w:rPr>
          <w:rFonts w:hint="default" w:ascii="Times New Roman" w:hAnsi="Times New Roman" w:cs="Times New Roman"/>
          <w:sz w:val="21"/>
          <w:szCs w:val="21"/>
        </w:rPr>
      </w:pPr>
      <w:r>
        <w:rPr>
          <w:rFonts w:hint="eastAsia" w:ascii="宋体" w:hAnsi="宋体" w:eastAsia="宋体" w:cs="宋体"/>
          <w:sz w:val="18"/>
          <w:szCs w:val="18"/>
        </w:rPr>
        <w:t>期末无账龄超过一年的重要应付账款</w:t>
      </w:r>
    </w:p>
    <w:p>
      <w:pPr>
        <w:keepNext/>
        <w:keepLines/>
        <w:spacing w:before="300" w:after="300" w:line="280" w:lineRule="exact"/>
        <w:jc w:val="left"/>
        <w:outlineLvl w:val="2"/>
        <w:rPr>
          <w:rFonts w:ascii="宋体" w:hAnsi="宋体" w:eastAsia="宋体" w:cs="宋体"/>
          <w:b/>
          <w:bCs/>
          <w:sz w:val="21"/>
          <w:szCs w:val="21"/>
        </w:rPr>
      </w:pPr>
      <w:bookmarkStart w:id="222" w:name="_Toc989111"/>
      <w:r>
        <w:rPr>
          <w:rFonts w:ascii="宋体" w:hAnsi="宋体" w:eastAsia="宋体" w:cs="宋体"/>
          <w:b/>
          <w:bCs/>
          <w:sz w:val="21"/>
          <w:szCs w:val="21"/>
        </w:rPr>
        <w:t>24、预收款项</w:t>
      </w:r>
      <w:bookmarkEnd w:id="222"/>
    </w:p>
    <w:p>
      <w:pPr>
        <w:keepNext/>
        <w:keepLines/>
        <w:spacing w:before="300" w:after="300" w:line="280" w:lineRule="exact"/>
        <w:jc w:val="left"/>
        <w:outlineLvl w:val="3"/>
        <w:rPr>
          <w:rFonts w:ascii="宋体" w:hAnsi="宋体" w:eastAsia="宋体" w:cs="宋体"/>
          <w:b/>
          <w:bCs/>
          <w:sz w:val="18"/>
          <w:szCs w:val="18"/>
        </w:rPr>
      </w:pPr>
      <w:bookmarkStart w:id="223" w:name="_Toc989112"/>
      <w:r>
        <w:rPr>
          <w:rFonts w:ascii="宋体" w:hAnsi="宋体" w:eastAsia="宋体" w:cs="宋体"/>
          <w:b/>
          <w:bCs/>
          <w:sz w:val="18"/>
          <w:szCs w:val="18"/>
        </w:rPr>
        <w:t>（1） 预收款项列示</w:t>
      </w:r>
      <w:bookmarkEnd w:id="2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r>
    </w:tbl>
    <w:p>
      <w:pPr>
        <w:keepNext/>
        <w:keepLines/>
        <w:spacing w:before="300" w:after="300" w:line="280" w:lineRule="exact"/>
        <w:jc w:val="left"/>
        <w:outlineLvl w:val="3"/>
        <w:rPr>
          <w:rFonts w:ascii="宋体" w:hAnsi="宋体" w:eastAsia="宋体" w:cs="宋体"/>
          <w:b/>
          <w:bCs/>
          <w:sz w:val="18"/>
          <w:szCs w:val="18"/>
        </w:rPr>
      </w:pPr>
      <w:bookmarkStart w:id="224" w:name="_Toc989113"/>
      <w:r>
        <w:rPr>
          <w:rFonts w:ascii="宋体" w:hAnsi="宋体" w:eastAsia="宋体" w:cs="宋体"/>
          <w:b/>
          <w:bCs/>
          <w:sz w:val="18"/>
          <w:szCs w:val="18"/>
        </w:rPr>
        <w:t>（2） 账龄超过1年的重要预收款项</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5" w:name="_Toc989114"/>
      <w:r>
        <w:rPr>
          <w:rFonts w:ascii="宋体" w:hAnsi="宋体" w:eastAsia="宋体" w:cs="宋体"/>
          <w:b/>
          <w:bCs/>
          <w:sz w:val="21"/>
          <w:szCs w:val="21"/>
        </w:rPr>
        <w:t>25、合同负债</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15,713,535.74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15,713,535.74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226" w:name="_Toc989115"/>
      <w:r>
        <w:rPr>
          <w:rFonts w:ascii="宋体" w:hAnsi="宋体" w:eastAsia="宋体" w:cs="宋体"/>
          <w:b/>
          <w:bCs/>
          <w:sz w:val="21"/>
          <w:szCs w:val="21"/>
        </w:rPr>
        <w:t>26、应付职工薪酬</w:t>
      </w:r>
      <w:bookmarkEnd w:id="226"/>
    </w:p>
    <w:p>
      <w:pPr>
        <w:keepNext/>
        <w:keepLines/>
        <w:spacing w:before="300" w:after="300" w:line="280" w:lineRule="exact"/>
        <w:jc w:val="left"/>
        <w:outlineLvl w:val="3"/>
        <w:rPr>
          <w:rFonts w:ascii="宋体" w:hAnsi="宋体" w:eastAsia="宋体" w:cs="宋体"/>
          <w:b/>
          <w:bCs/>
          <w:sz w:val="21"/>
          <w:szCs w:val="21"/>
        </w:rPr>
      </w:pPr>
      <w:bookmarkStart w:id="227" w:name="_Toc989116"/>
      <w:r>
        <w:rPr>
          <w:rFonts w:ascii="宋体" w:hAnsi="宋体" w:eastAsia="宋体" w:cs="宋体"/>
          <w:b/>
          <w:bCs/>
          <w:sz w:val="21"/>
          <w:szCs w:val="21"/>
        </w:rPr>
        <w:t>（1） 应付职工薪酬列示</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57,591,234.91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85,619,024.67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8,598,660.46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3,040,511.69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3,040,511.69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60,631,746.60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88,659,536.36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8,598,660.46</w:t>
            </w:r>
          </w:p>
        </w:tc>
      </w:tr>
    </w:tbl>
    <w:p>
      <w:pPr>
        <w:keepNext/>
        <w:keepLines/>
        <w:spacing w:before="300" w:after="300" w:line="280" w:lineRule="exact"/>
        <w:jc w:val="left"/>
        <w:outlineLvl w:val="3"/>
        <w:rPr>
          <w:rFonts w:ascii="宋体" w:hAnsi="宋体" w:eastAsia="宋体" w:cs="宋体"/>
          <w:b/>
          <w:bCs/>
          <w:sz w:val="21"/>
          <w:szCs w:val="21"/>
        </w:rPr>
      </w:pPr>
      <w:bookmarkStart w:id="228" w:name="_Toc989117"/>
      <w:r>
        <w:rPr>
          <w:rFonts w:ascii="宋体" w:hAnsi="宋体" w:eastAsia="宋体" w:cs="宋体"/>
          <w:b/>
          <w:bCs/>
          <w:sz w:val="21"/>
          <w:szCs w:val="21"/>
        </w:rPr>
        <w:t>（2） 短期薪酬列示</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34,438,972.78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50,694,030.13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78,021,930.38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7,111,072.53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2,080,789.48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2,080,269.48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1,755,434.83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1,755,434.83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1,578,805.98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1,578,805.98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176,628.85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176,628.85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2,002,896.00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2,002,896.00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2,187,477.44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1,058,084.47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1,758,493.98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1,487,067.93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57,591,234.91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85,619,024.67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8,598,660.46</w:t>
            </w:r>
          </w:p>
        </w:tc>
      </w:tr>
    </w:tbl>
    <w:p>
      <w:pPr>
        <w:keepNext/>
        <w:keepLines/>
        <w:spacing w:before="300" w:after="300" w:line="280" w:lineRule="exact"/>
        <w:jc w:val="left"/>
        <w:outlineLvl w:val="3"/>
        <w:rPr>
          <w:rFonts w:ascii="宋体" w:hAnsi="宋体" w:eastAsia="宋体" w:cs="宋体"/>
          <w:b/>
          <w:bCs/>
          <w:sz w:val="21"/>
          <w:szCs w:val="21"/>
        </w:rPr>
      </w:pPr>
      <w:bookmarkStart w:id="229" w:name="_Toc989118"/>
      <w:r>
        <w:rPr>
          <w:rFonts w:ascii="宋体" w:hAnsi="宋体" w:eastAsia="宋体" w:cs="宋体"/>
          <w:b/>
          <w:bCs/>
          <w:sz w:val="21"/>
          <w:szCs w:val="21"/>
        </w:rPr>
        <w:t>（3） 设定提存计划列示</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2,913,156.40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2,913,156.40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127,355.29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127,355.29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3,040,511.69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3,040,511.69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0" w:name="_Toc989119"/>
      <w:r>
        <w:rPr>
          <w:rFonts w:ascii="宋体" w:hAnsi="宋体" w:eastAsia="宋体" w:cs="宋体"/>
          <w:b/>
          <w:bCs/>
          <w:sz w:val="21"/>
          <w:szCs w:val="21"/>
        </w:rPr>
        <w:t>27、应交税费</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2,615,246.39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5,949,351.13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4,951,838.00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148,847.81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231,413.33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316,004.99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496,794.59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36,479.72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42,844.37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20,359.35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250,691.53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379,826.97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3,627,120.19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1" w:name="_Toc989120"/>
      <w:r>
        <w:rPr>
          <w:rFonts w:ascii="宋体" w:hAnsi="宋体" w:eastAsia="宋体" w:cs="宋体"/>
          <w:b/>
          <w:bCs/>
          <w:sz w:val="21"/>
          <w:szCs w:val="21"/>
        </w:rPr>
        <w:t>28、其他应付款</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39,840,429.16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39,840,429.16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bl>
    <w:p>
      <w:pPr>
        <w:keepNext/>
        <w:keepLines/>
        <w:spacing w:before="300" w:after="300" w:line="280" w:lineRule="exact"/>
        <w:jc w:val="left"/>
        <w:outlineLvl w:val="3"/>
        <w:rPr>
          <w:rFonts w:ascii="宋体" w:hAnsi="宋体" w:eastAsia="宋体" w:cs="宋体"/>
          <w:b/>
          <w:bCs/>
          <w:sz w:val="18"/>
          <w:szCs w:val="18"/>
        </w:rPr>
      </w:pPr>
      <w:bookmarkStart w:id="232" w:name="_Toc989121"/>
      <w:r>
        <w:rPr>
          <w:rFonts w:ascii="宋体" w:hAnsi="宋体" w:eastAsia="宋体" w:cs="宋体"/>
          <w:b/>
          <w:bCs/>
          <w:sz w:val="18"/>
          <w:szCs w:val="18"/>
        </w:rPr>
        <w:t>（1） 其他应付款</w:t>
      </w:r>
      <w:bookmarkEnd w:id="232"/>
    </w:p>
    <w:p>
      <w:pPr>
        <w:keepNext/>
        <w:keepLines/>
        <w:spacing w:before="300" w:after="300" w:line="280" w:lineRule="exact"/>
        <w:jc w:val="left"/>
        <w:outlineLvl w:val="4"/>
        <w:rPr>
          <w:rFonts w:ascii="宋体" w:hAnsi="宋体" w:eastAsia="宋体" w:cs="宋体"/>
          <w:b/>
          <w:bCs/>
          <w:sz w:val="18"/>
          <w:szCs w:val="18"/>
        </w:rPr>
      </w:pPr>
      <w:bookmarkStart w:id="233" w:name="_Toc989122"/>
      <w:r>
        <w:rPr>
          <w:rFonts w:ascii="宋体" w:hAnsi="宋体" w:eastAsia="宋体" w:cs="宋体"/>
          <w:b/>
          <w:bCs/>
          <w:sz w:val="18"/>
          <w:szCs w:val="18"/>
        </w:rPr>
        <w:t>1） 按款项性质列示其他应付款</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4,980,429.16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3,595,700.23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39,840,429.16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bl>
    <w:p>
      <w:pPr>
        <w:keepNext/>
        <w:keepLines/>
        <w:spacing w:before="300" w:after="300" w:line="280" w:lineRule="exact"/>
        <w:jc w:val="left"/>
        <w:outlineLvl w:val="4"/>
        <w:rPr>
          <w:rFonts w:ascii="宋体" w:hAnsi="宋体" w:eastAsia="宋体" w:cs="宋体"/>
          <w:b/>
          <w:bCs/>
          <w:sz w:val="18"/>
          <w:szCs w:val="18"/>
        </w:rPr>
      </w:pPr>
      <w:bookmarkStart w:id="234" w:name="_Toc989123"/>
      <w:r>
        <w:rPr>
          <w:rFonts w:ascii="宋体" w:hAnsi="宋体" w:eastAsia="宋体" w:cs="宋体"/>
          <w:b/>
          <w:bCs/>
          <w:sz w:val="18"/>
          <w:szCs w:val="18"/>
        </w:rPr>
        <w:t>2） 账龄超过1年的重要其他应付款</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尚未完成工商变更登记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34,860,000.00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5" w:name="_Toc989124"/>
      <w:r>
        <w:rPr>
          <w:rFonts w:ascii="宋体" w:hAnsi="宋体" w:eastAsia="宋体" w:cs="宋体"/>
          <w:b/>
          <w:bCs/>
          <w:sz w:val="21"/>
          <w:szCs w:val="21"/>
        </w:rPr>
        <w:t>29、一年内到期的非流动负债</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77,068,444.44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77,068,444.44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6" w:name="_Toc989125"/>
      <w:r>
        <w:rPr>
          <w:rFonts w:ascii="宋体" w:hAnsi="宋体" w:eastAsia="宋体" w:cs="宋体"/>
          <w:b/>
          <w:bCs/>
          <w:sz w:val="21"/>
          <w:szCs w:val="21"/>
        </w:rPr>
        <w:t>30、其他流动负债</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58,078,536.58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59,364,903.60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1,719,786.34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577,947.40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59,798,322.92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7" w:name="_Toc989126"/>
      <w:r>
        <w:rPr>
          <w:rFonts w:ascii="宋体" w:hAnsi="宋体" w:eastAsia="宋体" w:cs="宋体"/>
          <w:b/>
          <w:bCs/>
          <w:sz w:val="21"/>
          <w:szCs w:val="21"/>
        </w:rPr>
        <w:t>31、长期借款</w:t>
      </w:r>
      <w:bookmarkEnd w:id="237"/>
    </w:p>
    <w:p>
      <w:pPr>
        <w:keepNext/>
        <w:keepLines/>
        <w:spacing w:before="300" w:after="300" w:line="280" w:lineRule="exact"/>
        <w:jc w:val="left"/>
        <w:outlineLvl w:val="3"/>
        <w:rPr>
          <w:rFonts w:ascii="宋体" w:hAnsi="宋体" w:eastAsia="宋体" w:cs="宋体"/>
          <w:b/>
          <w:bCs/>
          <w:sz w:val="18"/>
          <w:szCs w:val="18"/>
        </w:rPr>
      </w:pPr>
      <w:bookmarkStart w:id="238" w:name="_Toc989127"/>
      <w:r>
        <w:rPr>
          <w:rFonts w:ascii="宋体" w:hAnsi="宋体" w:eastAsia="宋体" w:cs="宋体"/>
          <w:b/>
          <w:bCs/>
          <w:sz w:val="18"/>
          <w:szCs w:val="18"/>
        </w:rPr>
        <w:t>（1） 长期借款分类</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239" w:name="_Toc989128"/>
      <w:r>
        <w:rPr>
          <w:rFonts w:ascii="宋体" w:hAnsi="宋体" w:eastAsia="宋体" w:cs="宋体"/>
          <w:b/>
          <w:bCs/>
          <w:sz w:val="21"/>
          <w:szCs w:val="21"/>
        </w:rPr>
        <w:t>32、递延收益</w:t>
      </w:r>
      <w:bookmarkEnd w:id="2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34,982,700.00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4,369,047.56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118,996,709.07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34,982,700.00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4,369,047.56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118,996,709.07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9,649,016.25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9,492,952.69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8,443,978.87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7,635,403.09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274,413.60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191,018.79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83,394.81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7,755,115.34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466,919.46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7,288,195.88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C919研制保障条件建设项目政府补助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42,469,753.33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1,752,076.52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40,717,676.81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2021智能化技改项目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2,240,079.24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307,798.56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1,932,280.68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收湖南省重大科技专项资金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收2021智能化技改项目资金第二批</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2,938,200.00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2,938,200.00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134,594.89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2,302,905.11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2022年高强韧性超粗硬质合金项目（TC220H06R）</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大飞机产业发展专项</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  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37,972,700.00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4,369,047.56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118,996,709.07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0" w:name="_Toc989129"/>
      <w:r>
        <w:rPr>
          <w:rFonts w:ascii="宋体" w:hAnsi="宋体" w:eastAsia="宋体" w:cs="宋体"/>
          <w:b/>
          <w:bCs/>
          <w:sz w:val="21"/>
          <w:szCs w:val="21"/>
        </w:rPr>
        <w:t>33、股本</w:t>
      </w:r>
      <w:bookmarkEnd w:id="2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3"/>
        <w:tblW w:w="100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689"/>
        <w:gridCol w:w="1391"/>
        <w:gridCol w:w="956"/>
        <w:gridCol w:w="956"/>
        <w:gridCol w:w="1062"/>
        <w:gridCol w:w="1489"/>
        <w:gridCol w:w="1489"/>
        <w:gridCol w:w="9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3" w:hRule="atLeast"/>
        </w:trPr>
        <w:tc>
          <w:tcPr>
            <w:tcW w:w="168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项目</w:t>
            </w:r>
          </w:p>
        </w:tc>
        <w:tc>
          <w:tcPr>
            <w:tcW w:w="139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上年年末余额</w:t>
            </w:r>
          </w:p>
        </w:tc>
        <w:tc>
          <w:tcPr>
            <w:tcW w:w="595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本期变动增（</w:t>
            </w:r>
            <w:r>
              <w:rPr>
                <w:rFonts w:hint="default" w:ascii="Times New Roman" w:hAnsi="Times New Roman" w:cs="Times New Roman"/>
                <w:i w:val="0"/>
                <w:iCs w:val="0"/>
                <w:caps w:val="0"/>
                <w:color w:val="000000"/>
                <w:spacing w:val="0"/>
                <w:sz w:val="18"/>
                <w:szCs w:val="18"/>
              </w:rPr>
              <w:t>+</w:t>
            </w:r>
            <w:r>
              <w:rPr>
                <w:rFonts w:hint="eastAsia" w:ascii="宋体" w:hAnsi="宋体" w:eastAsia="宋体" w:cs="宋体"/>
                <w:i w:val="0"/>
                <w:iCs w:val="0"/>
                <w:caps w:val="0"/>
                <w:color w:val="000000"/>
                <w:spacing w:val="0"/>
                <w:sz w:val="18"/>
                <w:szCs w:val="18"/>
              </w:rPr>
              <w:t>）减（－）</w:t>
            </w:r>
          </w:p>
        </w:tc>
        <w:tc>
          <w:tcPr>
            <w:tcW w:w="98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期末余额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39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发行新股</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送股</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公积金转股</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其他</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小计</w:t>
            </w:r>
          </w:p>
        </w:tc>
        <w:tc>
          <w:tcPr>
            <w:tcW w:w="98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3"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一、有限售条件股份</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24,193,548.00</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-24,193,548</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1.</w:t>
            </w:r>
            <w:r>
              <w:rPr>
                <w:rFonts w:hint="eastAsia" w:ascii="宋体" w:hAnsi="宋体" w:eastAsia="宋体" w:cs="宋体"/>
                <w:i w:val="0"/>
                <w:iCs w:val="0"/>
                <w:caps w:val="0"/>
                <w:color w:val="000000"/>
                <w:spacing w:val="0"/>
                <w:sz w:val="18"/>
                <w:szCs w:val="18"/>
              </w:rPr>
              <w:t>国家持股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4"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w:t>
            </w:r>
            <w:r>
              <w:rPr>
                <w:rFonts w:hint="eastAsia" w:ascii="宋体" w:hAnsi="宋体" w:eastAsia="宋体" w:cs="宋体"/>
                <w:i w:val="0"/>
                <w:iCs w:val="0"/>
                <w:caps w:val="0"/>
                <w:color w:val="000000"/>
                <w:spacing w:val="0"/>
                <w:sz w:val="18"/>
                <w:szCs w:val="18"/>
              </w:rPr>
              <w:t>国有法人持股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24,193,548.00</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3.</w:t>
            </w:r>
            <w:r>
              <w:rPr>
                <w:rFonts w:hint="eastAsia" w:ascii="宋体" w:hAnsi="宋体" w:eastAsia="宋体" w:cs="宋体"/>
                <w:i w:val="0"/>
                <w:iCs w:val="0"/>
                <w:caps w:val="0"/>
                <w:color w:val="000000"/>
                <w:spacing w:val="0"/>
                <w:sz w:val="18"/>
                <w:szCs w:val="18"/>
              </w:rPr>
              <w:t>其他内资持股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8"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其中：境内法人持股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基金、理财产品等持股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境内自然人持股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4.</w:t>
            </w:r>
            <w:r>
              <w:rPr>
                <w:rFonts w:hint="eastAsia" w:ascii="宋体" w:hAnsi="宋体" w:eastAsia="宋体" w:cs="宋体"/>
                <w:i w:val="0"/>
                <w:iCs w:val="0"/>
                <w:caps w:val="0"/>
                <w:color w:val="000000"/>
                <w:spacing w:val="0"/>
                <w:sz w:val="18"/>
                <w:szCs w:val="18"/>
              </w:rPr>
              <w:t>境外持股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其中：境外法人持股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境外自然人持股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28"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二、无限售条件流通股份</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548,911,271.00</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eastAsia="宋体" w:cs="Times New Roman"/>
                <w:i w:val="0"/>
                <w:iCs w:val="0"/>
                <w:caps w:val="0"/>
                <w:color w:val="000000"/>
                <w:spacing w:val="0"/>
                <w:sz w:val="18"/>
                <w:szCs w:val="18"/>
              </w:rPr>
              <w:t>573,104,819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1.</w:t>
            </w:r>
            <w:r>
              <w:rPr>
                <w:rFonts w:hint="eastAsia" w:ascii="宋体" w:hAnsi="宋体" w:eastAsia="宋体" w:cs="宋体"/>
                <w:i w:val="0"/>
                <w:iCs w:val="0"/>
                <w:caps w:val="0"/>
                <w:color w:val="000000"/>
                <w:spacing w:val="0"/>
                <w:sz w:val="18"/>
                <w:szCs w:val="18"/>
              </w:rPr>
              <w:t>人民币普通股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548,911,271.00</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24,193,548 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eastAsia="宋体" w:cs="Times New Roman"/>
                <w:i w:val="0"/>
                <w:iCs w:val="0"/>
                <w:caps w:val="0"/>
                <w:color w:val="000000"/>
                <w:spacing w:val="0"/>
                <w:sz w:val="18"/>
                <w:szCs w:val="18"/>
              </w:rPr>
              <w:t>573,104,819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w:t>
            </w:r>
            <w:r>
              <w:rPr>
                <w:rFonts w:hint="eastAsia" w:ascii="宋体" w:hAnsi="宋体" w:eastAsia="宋体" w:cs="宋体"/>
                <w:i w:val="0"/>
                <w:iCs w:val="0"/>
                <w:caps w:val="0"/>
                <w:color w:val="000000"/>
                <w:spacing w:val="0"/>
                <w:sz w:val="18"/>
                <w:szCs w:val="18"/>
              </w:rPr>
              <w:t>境内上市外资股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9"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3.</w:t>
            </w:r>
            <w:r>
              <w:rPr>
                <w:rFonts w:hint="eastAsia" w:ascii="宋体" w:hAnsi="宋体" w:eastAsia="宋体" w:cs="宋体"/>
                <w:i w:val="0"/>
                <w:iCs w:val="0"/>
                <w:caps w:val="0"/>
                <w:color w:val="000000"/>
                <w:spacing w:val="0"/>
                <w:sz w:val="18"/>
                <w:szCs w:val="18"/>
              </w:rPr>
              <w:t>境外上市外资股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4.</w:t>
            </w:r>
            <w:r>
              <w:rPr>
                <w:rFonts w:hint="eastAsia" w:ascii="宋体" w:hAnsi="宋体" w:eastAsia="宋体" w:cs="宋体"/>
                <w:i w:val="0"/>
                <w:iCs w:val="0"/>
                <w:caps w:val="0"/>
                <w:color w:val="000000"/>
                <w:spacing w:val="0"/>
                <w:sz w:val="18"/>
                <w:szCs w:val="18"/>
              </w:rPr>
              <w:t>其他</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 w:hRule="atLeast"/>
        </w:trPr>
        <w:tc>
          <w:tcPr>
            <w:tcW w:w="16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股份合计</w:t>
            </w:r>
          </w:p>
        </w:tc>
        <w:tc>
          <w:tcPr>
            <w:tcW w:w="13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162"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573,104,819.00</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0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Calibri" w:hAnsi="Calibri" w:cs="Calibri"/>
                <w:i w:val="0"/>
                <w:iCs w:val="0"/>
                <w:caps w:val="0"/>
                <w:color w:val="000000"/>
                <w:spacing w:val="0"/>
                <w:sz w:val="21"/>
                <w:szCs w:val="21"/>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14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 </w:t>
            </w:r>
          </w:p>
        </w:tc>
        <w:tc>
          <w:tcPr>
            <w:tcW w:w="9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573,104,819.00</w:t>
            </w:r>
          </w:p>
        </w:tc>
      </w:tr>
    </w:tbl>
    <w:p>
      <w:pPr>
        <w:keepNext/>
        <w:keepLines/>
        <w:spacing w:before="300" w:after="300" w:line="280" w:lineRule="exact"/>
        <w:jc w:val="left"/>
        <w:outlineLvl w:val="2"/>
        <w:rPr>
          <w:rFonts w:ascii="宋体" w:hAnsi="宋体" w:eastAsia="宋体" w:cs="宋体"/>
          <w:b/>
          <w:bCs/>
          <w:sz w:val="21"/>
          <w:szCs w:val="21"/>
        </w:rPr>
      </w:pPr>
      <w:bookmarkStart w:id="241" w:name="_Toc989130"/>
      <w:r>
        <w:rPr>
          <w:rFonts w:ascii="宋体" w:hAnsi="宋体" w:eastAsia="宋体" w:cs="宋体"/>
          <w:b/>
          <w:bCs/>
          <w:sz w:val="21"/>
          <w:szCs w:val="21"/>
        </w:rPr>
        <w:t>34、资本公积</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42" w:name="_Toc989131"/>
      <w:r>
        <w:rPr>
          <w:rFonts w:ascii="宋体" w:hAnsi="宋体" w:eastAsia="宋体" w:cs="宋体"/>
          <w:b/>
          <w:bCs/>
          <w:sz w:val="21"/>
          <w:szCs w:val="21"/>
        </w:rPr>
        <w:t>35、其他综合收益</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权益法下不能转损益的其他综合收益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243" w:name="_Toc989132"/>
      <w:r>
        <w:rPr>
          <w:rFonts w:ascii="宋体" w:hAnsi="宋体" w:eastAsia="宋体" w:cs="宋体"/>
          <w:b/>
          <w:bCs/>
          <w:sz w:val="21"/>
          <w:szCs w:val="21"/>
        </w:rPr>
        <w:t>36、盈余公积</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244" w:name="_Toc989133"/>
      <w:r>
        <w:rPr>
          <w:rFonts w:ascii="宋体" w:hAnsi="宋体" w:eastAsia="宋体" w:cs="宋体"/>
          <w:b/>
          <w:bCs/>
          <w:sz w:val="21"/>
          <w:szCs w:val="21"/>
        </w:rPr>
        <w:t>37、未分配利润</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-217,240,496.67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10,127,965.20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23,949,127.10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-183,163,404.37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38、营业收入和营业成本</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215,463,107.23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278,665,695.11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215,025,678.24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12,463,366.20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5,571,057.39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14,615,310.36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4,144,507.55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221,034,164.62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293,281,005.47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219,170,185.79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cs="宋体"/>
                <w:sz w:val="18"/>
                <w:szCs w:val="18"/>
                <w:lang w:eastAsia="zh-CN"/>
              </w:rPr>
              <w:t>碳</w:t>
            </w:r>
            <w:r>
              <w:rPr>
                <w:rFonts w:hint="eastAsia" w:ascii="宋体" w:hAnsi="宋体" w:cs="宋体"/>
                <w:sz w:val="18"/>
                <w:szCs w:val="18"/>
                <w:lang w:val="en-US" w:eastAsia="zh-CN"/>
              </w:rPr>
              <w:t>/碳</w:t>
            </w:r>
            <w:r>
              <w:rPr>
                <w:rFonts w:ascii="宋体" w:hAnsi="宋体" w:eastAsia="宋体" w:cs="宋体"/>
                <w:sz w:val="18"/>
                <w:szCs w:val="18"/>
              </w:rPr>
              <w:t>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260,920,921.72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19,208,983.55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cs="宋体"/>
                <w:sz w:val="18"/>
                <w:szCs w:val="18"/>
                <w:lang w:eastAsia="zh-CN"/>
              </w:rPr>
              <w:t>碳</w:t>
            </w:r>
            <w:r>
              <w:rPr>
                <w:rFonts w:hint="eastAsia" w:ascii="宋体" w:hAnsi="宋体" w:cs="宋体"/>
                <w:sz w:val="18"/>
                <w:szCs w:val="18"/>
                <w:lang w:val="en-US" w:eastAsia="zh-CN"/>
              </w:rPr>
              <w:t>/碳</w:t>
            </w:r>
            <w:r>
              <w:rPr>
                <w:rFonts w:ascii="宋体" w:hAnsi="宋体" w:eastAsia="宋体" w:cs="宋体"/>
                <w:sz w:val="18"/>
                <w:szCs w:val="18"/>
              </w:rPr>
              <w:t>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108,488,277.04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171,641,628.23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280,129,905.27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206,100,453.71元，其中，203,340,890.71元预计将于2023年度确认收入，2,759,563.00元预计将于2024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6" w:name="_Toc989135"/>
      <w:r>
        <w:rPr>
          <w:rFonts w:ascii="宋体" w:hAnsi="宋体" w:eastAsia="宋体" w:cs="宋体"/>
          <w:b/>
          <w:bCs/>
          <w:sz w:val="21"/>
          <w:szCs w:val="21"/>
        </w:rPr>
        <w:t>39、税金及附加</w:t>
      </w:r>
      <w:bookmarkEnd w:id="2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516,550.79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405,049.81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368,964.91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289,319.13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1,946,206.34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1,823,835.22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140,849.05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272,556.10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100,858.76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384,003.23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4,292,594.83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4,393,928.47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7" w:name="_Toc989136"/>
      <w:r>
        <w:rPr>
          <w:rFonts w:ascii="宋体" w:hAnsi="宋体" w:eastAsia="宋体" w:cs="宋体"/>
          <w:b/>
          <w:bCs/>
          <w:sz w:val="21"/>
          <w:szCs w:val="21"/>
        </w:rPr>
        <w:t>40、销售费用</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4,502,559.48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4,482,372.80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2,345,488.95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907,707.78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1,156,616.61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156,398.21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1,164,032.25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1,049,495.80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693,054.75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257,823.94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3,846,694.33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1,146,315.88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13,708,446.37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8,000,114.41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8" w:name="_Toc989137"/>
      <w:r>
        <w:rPr>
          <w:rFonts w:ascii="宋体" w:hAnsi="宋体" w:eastAsia="宋体" w:cs="宋体"/>
          <w:b/>
          <w:bCs/>
          <w:sz w:val="21"/>
          <w:szCs w:val="21"/>
        </w:rPr>
        <w:t>41、管理费用</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9,724,171.13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13,544,635.60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5,128,357.26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5,259,215.71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2,447,786.64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1,284,105.34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1,999,487.72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1,507,445.65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453,990.53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325,091.16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955,927.16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934,293.49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678,578.51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450,620.69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21,388,298.95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23,305,407.64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9" w:name="_Toc989138"/>
      <w:r>
        <w:rPr>
          <w:rFonts w:ascii="宋体" w:hAnsi="宋体" w:eastAsia="宋体" w:cs="宋体"/>
          <w:b/>
          <w:bCs/>
          <w:sz w:val="21"/>
          <w:szCs w:val="21"/>
        </w:rPr>
        <w:t>42、研发费用</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7,143,657.23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6,392,550.85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1,809,778.68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776,474.47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7,456,463.49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4,560,091.76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563,167.20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519,419.12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173,824.34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343,449.55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1,479,006.80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1,685,451.21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18,625,897.74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14,277,436.96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0" w:name="_Toc989139"/>
      <w:r>
        <w:rPr>
          <w:rFonts w:ascii="宋体" w:hAnsi="宋体" w:eastAsia="宋体" w:cs="宋体"/>
          <w:b/>
          <w:bCs/>
          <w:sz w:val="21"/>
          <w:szCs w:val="21"/>
        </w:rPr>
        <w:t>43、财务费用</w:t>
      </w:r>
      <w:bookmarkEnd w:id="2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1,731,805.57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1,082,947.81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减：利息收入（以正数表示）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4,722,192.12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-39,263.10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-460,663.53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114,782.85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105,285.30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1" w:name="_Toc989140"/>
      <w:r>
        <w:rPr>
          <w:rFonts w:ascii="宋体" w:hAnsi="宋体" w:eastAsia="宋体" w:cs="宋体"/>
          <w:b/>
          <w:bCs/>
          <w:sz w:val="21"/>
          <w:szCs w:val="21"/>
        </w:rPr>
        <w:t>44、其他收益</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115,744.84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航天航空用炭/炭复合材料高技术产业化项目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191,018.79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268,273.07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财务局305吨高性能碳/碳复合材料研发与产业化项目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958,575.78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C919大型客机机轮及刹车系统研制保障条件建设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1,752,076.52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2,394,752.16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常州市政府奖励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稳岗补贴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25,379.61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141,893.36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军民融合产业专项发展资金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466,919.46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467,720.16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2018年制造强省专项资金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98,102.52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2021年个人所得税代扣代缴手续费返还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44,510.20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36,541.48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一次性吸纳就业补贴款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2021年政策兑现推动中小企业向专精特新发展补贴款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2021年政策兑现鼓励企业扩大发展规模亿元企业补贴款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2021年政策兑现技术改造项目补贴款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长财教指（2022）14号2022年度第一批创新型省份建设专项资金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长财教指（2021）79号2021年企业、高校及科研院所研发奖补资金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智能化改造项目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307,798.56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高新区财务局其他技术研究与开发支出补贴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XX领域重点项目补助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湖南湘江新区科技创新和产业促进局拨付原长沙高新区20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2021年度湖南湘江新区先进制造业政策奖励资金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湖南湘江新区科技创新和产业促进局2020年第二批认定高新技术企业补贴资金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西夏墅政府企业表彰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402,000.00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7,941,964.26</w:t>
            </w:r>
          </w:p>
        </w:tc>
      </w:tr>
    </w:tbl>
    <w:p>
      <w:pPr>
        <w:keepNext/>
        <w:keepLines/>
        <w:spacing w:before="300" w:after="300" w:line="280" w:lineRule="exact"/>
        <w:jc w:val="left"/>
        <w:outlineLvl w:val="2"/>
        <w:rPr>
          <w:rFonts w:ascii="宋体" w:hAnsi="宋体" w:eastAsia="宋体" w:cs="宋体"/>
          <w:b/>
          <w:bCs/>
          <w:sz w:val="21"/>
          <w:szCs w:val="21"/>
        </w:rPr>
      </w:pPr>
      <w:bookmarkStart w:id="252" w:name="_Toc989141"/>
      <w:r>
        <w:rPr>
          <w:rFonts w:ascii="宋体" w:hAnsi="宋体" w:eastAsia="宋体" w:cs="宋体"/>
          <w:b/>
          <w:bCs/>
          <w:sz w:val="21"/>
          <w:szCs w:val="21"/>
        </w:rPr>
        <w:t>45、投资收益</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1,537,255.57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3" w:name="_Toc989142"/>
      <w:r>
        <w:rPr>
          <w:rFonts w:ascii="宋体" w:hAnsi="宋体" w:eastAsia="宋体" w:cs="宋体"/>
          <w:b/>
          <w:bCs/>
          <w:sz w:val="21"/>
          <w:szCs w:val="21"/>
        </w:rPr>
        <w:t>46、公允价值变动收益</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4" w:name="_Toc989143"/>
      <w:r>
        <w:rPr>
          <w:rFonts w:ascii="宋体" w:hAnsi="宋体" w:eastAsia="宋体" w:cs="宋体"/>
          <w:b/>
          <w:bCs/>
          <w:sz w:val="21"/>
          <w:szCs w:val="21"/>
        </w:rPr>
        <w:t>47、信用减值损失</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-64,515.18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-68,650.12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-3,451,937.75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-4,817,581.40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689,351.00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2,081,293.60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5" w:name="_Toc989144"/>
      <w:r>
        <w:rPr>
          <w:rFonts w:ascii="宋体" w:hAnsi="宋体" w:eastAsia="宋体" w:cs="宋体"/>
          <w:b/>
          <w:bCs/>
          <w:sz w:val="21"/>
          <w:szCs w:val="21"/>
        </w:rPr>
        <w:t>48、资产减值损失</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-885,632.71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-1,450,188.83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十二、合同资产减值损失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145"/>
      <w:r>
        <w:rPr>
          <w:rFonts w:ascii="宋体" w:hAnsi="宋体" w:eastAsia="宋体" w:cs="宋体"/>
          <w:b/>
          <w:bCs/>
          <w:sz w:val="21"/>
          <w:szCs w:val="21"/>
        </w:rPr>
        <w:t>49、资产处置收益</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r>
    </w:tbl>
    <w:p>
      <w:pPr>
        <w:keepNext/>
        <w:keepLines/>
        <w:spacing w:before="300" w:after="300" w:line="280" w:lineRule="exact"/>
        <w:jc w:val="left"/>
        <w:outlineLvl w:val="2"/>
        <w:rPr>
          <w:rFonts w:ascii="宋体" w:hAnsi="宋体" w:eastAsia="宋体" w:cs="宋体"/>
          <w:b/>
          <w:bCs/>
          <w:sz w:val="21"/>
          <w:szCs w:val="21"/>
        </w:rPr>
      </w:pPr>
      <w:bookmarkStart w:id="257" w:name="_Toc989146"/>
      <w:r>
        <w:rPr>
          <w:rFonts w:ascii="宋体" w:hAnsi="宋体" w:eastAsia="宋体" w:cs="宋体"/>
          <w:b/>
          <w:bCs/>
          <w:sz w:val="21"/>
          <w:szCs w:val="21"/>
        </w:rPr>
        <w:t>50、营业外收入</w:t>
      </w:r>
      <w:bookmarkEnd w:id="2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205,300.66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206,900.66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8" w:name="_Toc989147"/>
      <w:r>
        <w:rPr>
          <w:rFonts w:ascii="宋体" w:hAnsi="宋体" w:eastAsia="宋体" w:cs="宋体"/>
          <w:b/>
          <w:bCs/>
          <w:sz w:val="21"/>
          <w:szCs w:val="21"/>
        </w:rPr>
        <w:t>51、营业外支出</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20,817.96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10,817.70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51,444.58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72,262.54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9" w:name="_Toc989148"/>
      <w:r>
        <w:rPr>
          <w:rFonts w:ascii="宋体" w:hAnsi="宋体" w:eastAsia="宋体" w:cs="宋体"/>
          <w:b/>
          <w:bCs/>
          <w:sz w:val="21"/>
          <w:szCs w:val="21"/>
        </w:rPr>
        <w:t>52、所得税费用</w:t>
      </w:r>
      <w:bookmarkEnd w:id="259"/>
    </w:p>
    <w:p>
      <w:pPr>
        <w:keepNext/>
        <w:keepLines/>
        <w:spacing w:before="300" w:after="300" w:line="280" w:lineRule="exact"/>
        <w:jc w:val="left"/>
        <w:outlineLvl w:val="3"/>
        <w:rPr>
          <w:rFonts w:ascii="宋体" w:hAnsi="宋体" w:eastAsia="宋体" w:cs="宋体"/>
          <w:b/>
          <w:bCs/>
          <w:sz w:val="21"/>
          <w:szCs w:val="21"/>
        </w:rPr>
      </w:pPr>
      <w:bookmarkStart w:id="260" w:name="_Toc989149"/>
      <w:r>
        <w:rPr>
          <w:rFonts w:ascii="宋体" w:hAnsi="宋体" w:eastAsia="宋体" w:cs="宋体"/>
          <w:b/>
          <w:bCs/>
          <w:sz w:val="21"/>
          <w:szCs w:val="21"/>
        </w:rPr>
        <w:t>（1） 所得税费用表</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1,979,786.30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4,847,182.92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-337,769.40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-595,073.18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4,252,109.74</w:t>
            </w:r>
          </w:p>
        </w:tc>
      </w:tr>
    </w:tbl>
    <w:p>
      <w:pPr>
        <w:keepNext/>
        <w:keepLines/>
        <w:spacing w:before="300" w:after="300" w:line="280" w:lineRule="exact"/>
        <w:jc w:val="left"/>
        <w:outlineLvl w:val="3"/>
        <w:rPr>
          <w:rFonts w:ascii="宋体" w:hAnsi="宋体" w:eastAsia="宋体" w:cs="宋体"/>
          <w:b/>
          <w:bCs/>
          <w:sz w:val="21"/>
          <w:szCs w:val="21"/>
        </w:rPr>
      </w:pPr>
      <w:bookmarkStart w:id="261" w:name="_Toc989150"/>
      <w:r>
        <w:rPr>
          <w:rFonts w:ascii="宋体" w:hAnsi="宋体" w:eastAsia="宋体" w:cs="宋体"/>
          <w:b/>
          <w:bCs/>
          <w:sz w:val="21"/>
          <w:szCs w:val="21"/>
        </w:rPr>
        <w:t>（2） 会计利润与所得税费用调整过程</w:t>
      </w:r>
      <w:bookmarkEnd w:id="2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11,716,780.74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1,757,517.11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-115,500.21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2" w:name="_Toc989151"/>
      <w:r>
        <w:rPr>
          <w:rFonts w:ascii="宋体" w:hAnsi="宋体" w:eastAsia="宋体" w:cs="宋体"/>
          <w:b/>
          <w:bCs/>
          <w:sz w:val="21"/>
          <w:szCs w:val="21"/>
        </w:rPr>
        <w:t>53、其他综合收益</w:t>
      </w:r>
      <w:bookmarkEnd w:id="262"/>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详见附注详见附注“第十节、七、35、其他综合收益”。</w:t>
      </w:r>
    </w:p>
    <w:p>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54、现金流量表项目</w:t>
      </w:r>
      <w:bookmarkEnd w:id="263"/>
    </w:p>
    <w:p>
      <w:pPr>
        <w:keepNext/>
        <w:keepLines/>
        <w:spacing w:before="300" w:after="300" w:line="280" w:lineRule="exact"/>
        <w:jc w:val="left"/>
        <w:outlineLvl w:val="3"/>
        <w:rPr>
          <w:rFonts w:ascii="宋体" w:hAnsi="宋体" w:eastAsia="宋体" w:cs="宋体"/>
          <w:b/>
          <w:bCs/>
          <w:sz w:val="21"/>
          <w:szCs w:val="21"/>
        </w:rPr>
      </w:pPr>
      <w:bookmarkStart w:id="264" w:name="_Toc989153"/>
      <w:r>
        <w:rPr>
          <w:rFonts w:ascii="宋体" w:hAnsi="宋体" w:eastAsia="宋体" w:cs="宋体"/>
          <w:b/>
          <w:bCs/>
          <w:sz w:val="21"/>
          <w:szCs w:val="21"/>
        </w:rPr>
        <w:t>（1） 收到的其他与经营活动有关的现金</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4,086,890.20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4,949,886.68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收回往来款及其他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6,840,006.77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5,552,679.91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42,269,489.81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15,456,671.60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53,196,386.78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25,959,238.19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65" w:name="_Toc989154"/>
      <w:r>
        <w:rPr>
          <w:rFonts w:ascii="宋体" w:hAnsi="宋体" w:eastAsia="宋体" w:cs="宋体"/>
          <w:b/>
          <w:bCs/>
          <w:sz w:val="21"/>
          <w:szCs w:val="21"/>
        </w:rPr>
        <w:t>（2） 支付的其他与经营活动有关的现金</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381,132.08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387,215.09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支付往来款及其他付现费用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12,479,122.40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14,490,888.44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11,046,870.00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222,313.50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45,159.01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2,314,165.79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1,637,805.91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2,590,072.36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768,136.68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2,004,610.36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1,459,367.82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669,569.06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189,899.41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951,057.84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467,114.90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32,436,599.89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19,667,900.76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266" w:name="_Toc989155"/>
      <w:r>
        <w:rPr>
          <w:rFonts w:ascii="宋体" w:hAnsi="宋体" w:eastAsia="宋体" w:cs="宋体"/>
          <w:b/>
          <w:bCs/>
          <w:sz w:val="21"/>
          <w:szCs w:val="21"/>
        </w:rPr>
        <w:t>（3） 收到的其他与投资活动有关的现金</w:t>
      </w:r>
      <w:bookmarkEnd w:id="2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67" w:name="_Toc989156"/>
      <w:r>
        <w:rPr>
          <w:rFonts w:ascii="宋体" w:hAnsi="宋体" w:eastAsia="宋体" w:cs="宋体"/>
          <w:b/>
          <w:bCs/>
          <w:sz w:val="21"/>
          <w:szCs w:val="21"/>
        </w:rPr>
        <w:t>（4） 支付的其他与投资活动有关的现金</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268" w:name="_Toc989157"/>
      <w:r>
        <w:rPr>
          <w:rFonts w:ascii="宋体" w:hAnsi="宋体" w:eastAsia="宋体" w:cs="宋体"/>
          <w:b/>
          <w:bCs/>
          <w:sz w:val="21"/>
          <w:szCs w:val="21"/>
        </w:rPr>
        <w:t>（5） 收到的其他与筹资活动有关的现金</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269" w:name="_Toc989158"/>
      <w:r>
        <w:rPr>
          <w:rFonts w:ascii="宋体" w:hAnsi="宋体" w:eastAsia="宋体" w:cs="宋体"/>
          <w:b/>
          <w:bCs/>
          <w:sz w:val="21"/>
          <w:szCs w:val="21"/>
        </w:rPr>
        <w:t>（6） 支付的其他与筹资活动有关的现金</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270" w:name="_Toc989159"/>
      <w:r>
        <w:rPr>
          <w:rFonts w:ascii="宋体" w:hAnsi="宋体" w:eastAsia="宋体" w:cs="宋体"/>
          <w:b/>
          <w:bCs/>
          <w:sz w:val="21"/>
          <w:szCs w:val="21"/>
        </w:rPr>
        <w:t>55、现金流量表补充资料</w:t>
      </w:r>
      <w:bookmarkEnd w:id="270"/>
    </w:p>
    <w:p>
      <w:pPr>
        <w:keepNext/>
        <w:keepLines/>
        <w:spacing w:before="300" w:after="300" w:line="280" w:lineRule="exact"/>
        <w:jc w:val="left"/>
        <w:outlineLvl w:val="3"/>
        <w:rPr>
          <w:rFonts w:ascii="宋体" w:hAnsi="宋体" w:eastAsia="宋体" w:cs="宋体"/>
          <w:b/>
          <w:bCs/>
          <w:sz w:val="21"/>
          <w:szCs w:val="21"/>
        </w:rPr>
      </w:pPr>
      <w:bookmarkStart w:id="271" w:name="_Toc989160"/>
      <w:r>
        <w:rPr>
          <w:rFonts w:ascii="宋体" w:hAnsi="宋体" w:eastAsia="宋体" w:cs="宋体"/>
          <w:b/>
          <w:bCs/>
          <w:sz w:val="21"/>
          <w:szCs w:val="21"/>
        </w:rPr>
        <w:t>（1） 现金流量表补充资料</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17,215,887.35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ind w:firstLine="210" w:firstLineChars="100"/>
              <w:jc w:val="left"/>
              <w:rPr>
                <w:rFonts w:ascii="仿宋" w:hAnsi="仿宋" w:eastAsia="仿宋" w:cs="仿宋"/>
                <w:sz w:val="21"/>
                <w:szCs w:val="21"/>
              </w:rPr>
            </w:pPr>
            <w:r>
              <w:rPr>
                <w:rFonts w:ascii="仿宋" w:hAnsi="仿宋" w:eastAsia="仿宋" w:cs="仿宋"/>
                <w:sz w:val="21"/>
                <w:szCs w:val="21"/>
              </w:rPr>
              <w:t>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2,804,937.92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1,421,708.49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24,383,034.38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23,453,838.56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9,845,450.31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9,324,921.61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728,936.05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776,025.89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-2,279,564.88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-3,994,622.54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10,319,519.44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-687,761.30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-633,996.96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-219,454.02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-242,556.54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-47,878,917.87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-32,133,499.05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-81,842,638.39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-85,471,390.04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35,610,060.07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27,598,233.72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-25,784,064.22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4,616,906.82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-67,784,762.58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-24,924,453.85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560,498,566.04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-38,773,261.80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30,005,650.06</w:t>
            </w:r>
          </w:p>
        </w:tc>
      </w:tr>
    </w:tbl>
    <w:p>
      <w:pPr>
        <w:keepNext/>
        <w:keepLines/>
        <w:spacing w:before="300" w:after="300" w:line="280" w:lineRule="exact"/>
        <w:jc w:val="left"/>
        <w:outlineLvl w:val="3"/>
        <w:rPr>
          <w:rFonts w:ascii="宋体" w:hAnsi="宋体" w:eastAsia="宋体" w:cs="宋体"/>
          <w:b/>
          <w:bCs/>
          <w:sz w:val="21"/>
          <w:szCs w:val="21"/>
        </w:rPr>
      </w:pPr>
      <w:bookmarkStart w:id="272" w:name="_Toc989161"/>
      <w:r>
        <w:rPr>
          <w:rFonts w:ascii="宋体" w:hAnsi="宋体" w:eastAsia="宋体" w:cs="宋体"/>
          <w:b/>
          <w:bCs/>
          <w:sz w:val="21"/>
          <w:szCs w:val="21"/>
        </w:rPr>
        <w:t>（2） 本期支付的取得子公司的现金净额</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73" w:name="_Toc989162"/>
      <w:r>
        <w:rPr>
          <w:rFonts w:ascii="宋体" w:hAnsi="宋体" w:eastAsia="宋体" w:cs="宋体"/>
          <w:b/>
          <w:bCs/>
          <w:sz w:val="21"/>
          <w:szCs w:val="21"/>
        </w:rPr>
        <w:t>（3） 本期收到的处置子公司的现金净额</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74" w:name="_Toc989163"/>
      <w:r>
        <w:rPr>
          <w:rFonts w:ascii="宋体" w:hAnsi="宋体" w:eastAsia="宋体" w:cs="宋体"/>
          <w:b/>
          <w:bCs/>
          <w:sz w:val="21"/>
          <w:szCs w:val="21"/>
        </w:rPr>
        <w:t>（4） 现金和现金等价物的构成</w:t>
      </w:r>
      <w:bookmarkEnd w:id="2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5,706.04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508,888,954.27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547,553,294.98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508,894,660.31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5" w:name="_Toc989164"/>
      <w:r>
        <w:rPr>
          <w:rFonts w:ascii="宋体" w:hAnsi="宋体" w:eastAsia="宋体" w:cs="宋体"/>
          <w:b/>
          <w:bCs/>
          <w:sz w:val="21"/>
          <w:szCs w:val="21"/>
        </w:rPr>
        <w:t>56、所有者权益变动表项目注释</w:t>
      </w:r>
      <w:bookmarkEnd w:id="275"/>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276" w:name="_Toc989165"/>
      <w:r>
        <w:rPr>
          <w:rFonts w:ascii="宋体" w:hAnsi="宋体" w:eastAsia="宋体" w:cs="宋体"/>
          <w:b/>
          <w:bCs/>
          <w:sz w:val="21"/>
          <w:szCs w:val="21"/>
        </w:rPr>
        <w:t>57、所有权或使用权受到限制的资产</w:t>
      </w:r>
      <w:bookmarkEnd w:id="2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11,046,870.00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58,078,536.58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期末已背书转让尚未到期的票据金额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39,717,148.52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108,842,555.10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7" w:name="_Toc989166"/>
      <w:r>
        <w:rPr>
          <w:rFonts w:ascii="宋体" w:hAnsi="宋体" w:eastAsia="宋体" w:cs="宋体"/>
          <w:b/>
          <w:bCs/>
          <w:sz w:val="21"/>
          <w:szCs w:val="21"/>
        </w:rPr>
        <w:t>58、外币货币性项目</w:t>
      </w:r>
      <w:bookmarkEnd w:id="277"/>
    </w:p>
    <w:p>
      <w:pPr>
        <w:keepNext/>
        <w:keepLines/>
        <w:spacing w:before="300" w:after="300" w:line="280" w:lineRule="exact"/>
        <w:jc w:val="left"/>
        <w:outlineLvl w:val="3"/>
        <w:rPr>
          <w:rFonts w:ascii="宋体" w:hAnsi="宋体" w:eastAsia="宋体" w:cs="宋体"/>
          <w:b/>
          <w:bCs/>
          <w:sz w:val="21"/>
          <w:szCs w:val="21"/>
        </w:rPr>
      </w:pPr>
      <w:bookmarkStart w:id="278" w:name="_Toc989167"/>
      <w:r>
        <w:rPr>
          <w:rFonts w:ascii="宋体" w:hAnsi="宋体" w:eastAsia="宋体" w:cs="宋体"/>
          <w:b/>
          <w:bCs/>
          <w:sz w:val="21"/>
          <w:szCs w:val="21"/>
        </w:rPr>
        <w:t>（1） 外币货币性项目</w:t>
      </w:r>
      <w:bookmarkEnd w:id="2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524,729.36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72,618.86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7.2258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524,729.36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79" w:name="_Toc989168"/>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27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0" w:name="_Toc989169"/>
      <w:r>
        <w:rPr>
          <w:rFonts w:ascii="宋体" w:hAnsi="宋体" w:eastAsia="宋体" w:cs="宋体"/>
          <w:b/>
          <w:bCs/>
          <w:sz w:val="21"/>
          <w:szCs w:val="21"/>
        </w:rPr>
        <w:t>59、政府补助</w:t>
      </w:r>
      <w:bookmarkEnd w:id="280"/>
    </w:p>
    <w:p>
      <w:pPr>
        <w:keepNext/>
        <w:keepLines/>
        <w:spacing w:before="300" w:after="300" w:line="280" w:lineRule="exact"/>
        <w:jc w:val="left"/>
        <w:outlineLvl w:val="3"/>
        <w:rPr>
          <w:rFonts w:ascii="宋体" w:hAnsi="宋体" w:eastAsia="宋体" w:cs="宋体"/>
          <w:b/>
          <w:bCs/>
          <w:sz w:val="21"/>
          <w:szCs w:val="21"/>
        </w:rPr>
      </w:pPr>
      <w:bookmarkStart w:id="281" w:name="_Toc989170"/>
      <w:r>
        <w:rPr>
          <w:rFonts w:ascii="宋体" w:hAnsi="宋体" w:eastAsia="宋体" w:cs="宋体"/>
          <w:b/>
          <w:bCs/>
          <w:sz w:val="21"/>
          <w:szCs w:val="21"/>
        </w:rPr>
        <w:t>（1） 政府补助基本情况</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74"/>
        <w:gridCol w:w="2205"/>
        <w:gridCol w:w="1651"/>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2022年高强韧性超粗硬质合金项目（TC220H06R）</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35,035,000.00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大飞机产业发展专项</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2,937,700.00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稳岗补贴</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10,387.24</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研发奖补资金</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983,800.00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2021年个人所得税代扣代缴手续费返还</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44,510.20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湖南湘江新区科技创新和产业促进局拨付原长沙高新区20</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2021年度湖南湘江新区先进制造业政策奖励资金</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湖南湘江新区科技创新和产业促进局2020年第二批认定高新技术企业补贴资金</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西夏墅政府企业表彰</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收湘江新区管委会产业政策兑现款</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469,050.00</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财务费用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7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40,035,447.44</w:t>
            </w:r>
          </w:p>
        </w:tc>
        <w:tc>
          <w:tcPr>
            <w:tcW w:w="16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82" w:name="_Toc989171"/>
      <w:r>
        <w:rPr>
          <w:rFonts w:ascii="宋体" w:hAnsi="宋体" w:eastAsia="宋体" w:cs="宋体"/>
          <w:b/>
          <w:bCs/>
          <w:sz w:val="21"/>
          <w:szCs w:val="21"/>
        </w:rPr>
        <w:t>（2） 政府补助退回情况</w:t>
      </w:r>
      <w:bookmarkEnd w:id="28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00" w:beforeAutospacing="0" w:after="100" w:afterAutospacing="0"/>
        <w:ind w:left="0" w:right="0" w:firstLine="360"/>
        <w:jc w:val="left"/>
        <w:rPr>
          <w:rFonts w:hint="default" w:ascii="Times New Roman" w:hAnsi="Times New Roman" w:cs="Times New Roman"/>
          <w:sz w:val="24"/>
          <w:szCs w:val="24"/>
        </w:rPr>
      </w:pPr>
      <w:r>
        <w:rPr>
          <w:rFonts w:hint="eastAsia" w:ascii="宋体" w:hAnsi="宋体" w:eastAsia="宋体" w:cs="宋体"/>
          <w:sz w:val="18"/>
          <w:szCs w:val="18"/>
        </w:rPr>
        <w:t>本期无退回的政府补助</w:t>
      </w:r>
    </w:p>
    <w:p>
      <w:pPr>
        <w:keepNext/>
        <w:keepLines/>
        <w:spacing w:before="300" w:after="300" w:line="280" w:lineRule="exact"/>
        <w:jc w:val="left"/>
        <w:outlineLvl w:val="2"/>
        <w:rPr>
          <w:rFonts w:ascii="宋体" w:hAnsi="宋体" w:eastAsia="宋体" w:cs="宋体"/>
          <w:b/>
          <w:bCs/>
          <w:sz w:val="21"/>
          <w:szCs w:val="21"/>
        </w:rPr>
      </w:pPr>
      <w:bookmarkStart w:id="283" w:name="_Toc989172"/>
      <w:r>
        <w:rPr>
          <w:rFonts w:ascii="宋体" w:hAnsi="宋体" w:eastAsia="宋体" w:cs="宋体"/>
          <w:b/>
          <w:bCs/>
          <w:sz w:val="21"/>
          <w:szCs w:val="21"/>
        </w:rPr>
        <w:t>60、其他</w:t>
      </w:r>
      <w:bookmarkEnd w:id="283"/>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1"/>
          <w:szCs w:val="21"/>
        </w:rPr>
        <w:t xml:space="preserve">租赁 </w:t>
      </w:r>
    </w:p>
    <w:p>
      <w:pPr>
        <w:pStyle w:val="2"/>
        <w:keepNext w:val="0"/>
        <w:keepLines w:val="0"/>
        <w:widowControl/>
        <w:suppressLineNumbers w:val="0"/>
        <w:spacing w:before="0" w:beforeAutospacing="0" w:after="0" w:afterAutospacing="0" w:line="360" w:lineRule="atLeast"/>
        <w:ind w:left="0" w:right="0" w:firstLine="840"/>
        <w:jc w:val="both"/>
        <w:rPr>
          <w:rFonts w:hint="default" w:ascii="Times New Roman" w:hAnsi="Times New Roman" w:cs="Times New Roman"/>
          <w:sz w:val="21"/>
          <w:szCs w:val="21"/>
        </w:rPr>
      </w:pPr>
      <w:r>
        <w:rPr>
          <w:rFonts w:hint="eastAsia" w:ascii="宋体" w:hAnsi="宋体" w:eastAsia="宋体" w:cs="宋体"/>
          <w:color w:val="000000"/>
          <w:sz w:val="21"/>
          <w:szCs w:val="21"/>
        </w:rPr>
        <w:t>1）作为出租人</w:t>
      </w:r>
    </w:p>
    <w:p>
      <w:pPr>
        <w:pStyle w:val="2"/>
        <w:keepNext w:val="0"/>
        <w:keepLines w:val="0"/>
        <w:widowControl/>
        <w:suppressLineNumbers w:val="0"/>
        <w:spacing w:before="0" w:beforeAutospacing="0" w:after="0" w:afterAutospacing="0" w:line="360" w:lineRule="atLeast"/>
        <w:ind w:left="0" w:right="0" w:firstLine="840"/>
        <w:jc w:val="both"/>
        <w:rPr>
          <w:rFonts w:hint="default" w:ascii="Times New Roman" w:hAnsi="Times New Roman" w:cs="Times New Roman"/>
          <w:sz w:val="24"/>
          <w:szCs w:val="24"/>
        </w:rPr>
      </w:pPr>
      <w:r>
        <w:rPr>
          <w:rFonts w:ascii="Calibri" w:hAnsi="Calibri" w:eastAsia="宋体" w:cs="Calibri"/>
          <w:color w:val="000000"/>
          <w:sz w:val="21"/>
          <w:szCs w:val="21"/>
        </w:rPr>
        <w:t>①</w:t>
      </w:r>
      <w:r>
        <w:rPr>
          <w:rFonts w:hint="eastAsia" w:ascii="宋体" w:hAnsi="宋体" w:eastAsia="宋体" w:cs="宋体"/>
          <w:color w:val="000000"/>
          <w:sz w:val="21"/>
          <w:szCs w:val="21"/>
        </w:rPr>
        <w:t>经营租赁</w:t>
      </w:r>
    </w:p>
    <w:tbl>
      <w:tblPr>
        <w:tblStyle w:val="3"/>
        <w:tblW w:w="8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56"/>
        <w:gridCol w:w="3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1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Fonts w:hint="default" w:ascii="Times New Roman" w:hAnsi="Times New Roman" w:eastAsia="宋体" w:cs="Times New Roman"/>
                <w:i w:val="0"/>
                <w:iCs w:val="0"/>
                <w:color w:val="000000"/>
                <w:kern w:val="0"/>
                <w:sz w:val="18"/>
                <w:szCs w:val="18"/>
                <w:u w:val="single"/>
                <w:lang w:val="en-US" w:eastAsia="zh-CN" w:bidi="ar"/>
              </w:rPr>
              <w:t> </w:t>
            </w:r>
          </w:p>
        </w:tc>
        <w:tc>
          <w:tcPr>
            <w:tcW w:w="3371"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本期金额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经营租赁收入</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3,380,100.48 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5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其中：与未计入租赁收款额的可变租赁付款额相关的收入</w:t>
            </w:r>
          </w:p>
        </w:tc>
        <w:tc>
          <w:tcPr>
            <w:tcW w:w="337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w:t>
            </w:r>
          </w:p>
        </w:tc>
      </w:tr>
    </w:tbl>
    <w:p>
      <w:pPr>
        <w:pStyle w:val="2"/>
        <w:keepNext w:val="0"/>
        <w:keepLines w:val="0"/>
        <w:widowControl/>
        <w:suppressLineNumbers w:val="0"/>
        <w:spacing w:before="0" w:beforeAutospacing="0" w:after="0" w:afterAutospacing="0" w:line="360" w:lineRule="atLeast"/>
        <w:ind w:left="0" w:right="0" w:firstLine="840"/>
        <w:jc w:val="both"/>
        <w:rPr>
          <w:rFonts w:hint="default" w:ascii="Times New Roman" w:hAnsi="Times New Roman" w:cs="Times New Roman"/>
          <w:sz w:val="24"/>
          <w:szCs w:val="24"/>
        </w:rPr>
      </w:pPr>
      <w:r>
        <w:rPr>
          <w:rFonts w:hint="eastAsia" w:ascii="宋体" w:hAnsi="宋体" w:eastAsia="宋体" w:cs="宋体"/>
          <w:color w:val="000000"/>
          <w:sz w:val="21"/>
          <w:szCs w:val="21"/>
        </w:rPr>
        <w:t>于资产负债表日后连续五个会计年度每年将收到的未折现的租赁收款额如下：</w:t>
      </w:r>
    </w:p>
    <w:tbl>
      <w:tblPr>
        <w:tblStyle w:val="3"/>
        <w:tblW w:w="86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6"/>
        <w:gridCol w:w="3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剩余租赁期</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本期金额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第</w:t>
            </w:r>
            <w:r>
              <w:rPr>
                <w:rFonts w:hint="default" w:ascii="Times New Roman" w:hAnsi="Times New Roman" w:eastAsia="宋体" w:cs="Times New Roman"/>
                <w:i w:val="0"/>
                <w:iCs w:val="0"/>
                <w:color w:val="000000"/>
                <w:kern w:val="0"/>
                <w:sz w:val="18"/>
                <w:szCs w:val="18"/>
                <w:u w:val="single"/>
                <w:lang w:val="en-US" w:eastAsia="zh-CN" w:bidi="ar"/>
              </w:rPr>
              <w:t>1</w:t>
            </w:r>
            <w:r>
              <w:rPr>
                <w:rFonts w:hint="eastAsia" w:ascii="宋体" w:hAnsi="宋体" w:eastAsia="宋体" w:cs="宋体"/>
                <w:i w:val="0"/>
                <w:iCs w:val="0"/>
                <w:color w:val="000000"/>
                <w:kern w:val="0"/>
                <w:sz w:val="18"/>
                <w:szCs w:val="18"/>
                <w:u w:val="single"/>
                <w:lang w:val="en-US" w:eastAsia="zh-CN" w:bidi="ar"/>
              </w:rPr>
              <w:t>年</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7,771,213.36 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第</w:t>
            </w:r>
            <w:r>
              <w:rPr>
                <w:rFonts w:hint="default" w:ascii="Times New Roman" w:hAnsi="Times New Roman" w:eastAsia="宋体" w:cs="Times New Roman"/>
                <w:i w:val="0"/>
                <w:iCs w:val="0"/>
                <w:color w:val="000000"/>
                <w:kern w:val="0"/>
                <w:sz w:val="18"/>
                <w:szCs w:val="18"/>
                <w:u w:val="single"/>
                <w:lang w:val="en-US" w:eastAsia="zh-CN" w:bidi="ar"/>
              </w:rPr>
              <w:t>2</w:t>
            </w:r>
            <w:r>
              <w:rPr>
                <w:rFonts w:hint="eastAsia" w:ascii="宋体" w:hAnsi="宋体" w:eastAsia="宋体" w:cs="宋体"/>
                <w:i w:val="0"/>
                <w:iCs w:val="0"/>
                <w:color w:val="000000"/>
                <w:kern w:val="0"/>
                <w:sz w:val="18"/>
                <w:szCs w:val="18"/>
                <w:u w:val="single"/>
                <w:lang w:val="en-US" w:eastAsia="zh-CN" w:bidi="ar"/>
              </w:rPr>
              <w:t>年</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8,285,437.64 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第</w:t>
            </w:r>
            <w:r>
              <w:rPr>
                <w:rFonts w:hint="default" w:ascii="Times New Roman" w:hAnsi="Times New Roman" w:eastAsia="宋体" w:cs="Times New Roman"/>
                <w:i w:val="0"/>
                <w:iCs w:val="0"/>
                <w:color w:val="000000"/>
                <w:kern w:val="0"/>
                <w:sz w:val="18"/>
                <w:szCs w:val="18"/>
                <w:u w:val="single"/>
                <w:lang w:val="en-US" w:eastAsia="zh-CN" w:bidi="ar"/>
              </w:rPr>
              <w:t>3</w:t>
            </w:r>
            <w:r>
              <w:rPr>
                <w:rFonts w:hint="eastAsia" w:ascii="宋体" w:hAnsi="宋体" w:eastAsia="宋体" w:cs="宋体"/>
                <w:i w:val="0"/>
                <w:iCs w:val="0"/>
                <w:color w:val="000000"/>
                <w:kern w:val="0"/>
                <w:sz w:val="18"/>
                <w:szCs w:val="18"/>
                <w:u w:val="single"/>
                <w:lang w:val="en-US" w:eastAsia="zh-CN" w:bidi="ar"/>
              </w:rPr>
              <w:t>年</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8,440,100.63 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第</w:t>
            </w:r>
            <w:r>
              <w:rPr>
                <w:rFonts w:hint="default" w:ascii="Times New Roman" w:hAnsi="Times New Roman" w:eastAsia="宋体" w:cs="Times New Roman"/>
                <w:i w:val="0"/>
                <w:iCs w:val="0"/>
                <w:color w:val="000000"/>
                <w:kern w:val="0"/>
                <w:sz w:val="18"/>
                <w:szCs w:val="18"/>
                <w:u w:val="single"/>
                <w:lang w:val="en-US" w:eastAsia="zh-CN" w:bidi="ar"/>
              </w:rPr>
              <w:t>4</w:t>
            </w:r>
            <w:r>
              <w:rPr>
                <w:rFonts w:hint="eastAsia" w:ascii="宋体" w:hAnsi="宋体" w:eastAsia="宋体" w:cs="宋体"/>
                <w:i w:val="0"/>
                <w:iCs w:val="0"/>
                <w:color w:val="000000"/>
                <w:kern w:val="0"/>
                <w:sz w:val="18"/>
                <w:szCs w:val="18"/>
                <w:u w:val="single"/>
                <w:lang w:val="en-US" w:eastAsia="zh-CN" w:bidi="ar"/>
              </w:rPr>
              <w:t>年</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4,944,302.56 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第</w:t>
            </w:r>
            <w:r>
              <w:rPr>
                <w:rFonts w:hint="default" w:ascii="Times New Roman" w:hAnsi="Times New Roman" w:eastAsia="宋体" w:cs="Times New Roman"/>
                <w:i w:val="0"/>
                <w:iCs w:val="0"/>
                <w:color w:val="000000"/>
                <w:kern w:val="0"/>
                <w:sz w:val="18"/>
                <w:szCs w:val="18"/>
                <w:u w:val="single"/>
                <w:lang w:val="en-US" w:eastAsia="zh-CN" w:bidi="ar"/>
              </w:rPr>
              <w:t>5</w:t>
            </w:r>
            <w:r>
              <w:rPr>
                <w:rFonts w:hint="eastAsia" w:ascii="宋体" w:hAnsi="宋体" w:eastAsia="宋体" w:cs="宋体"/>
                <w:i w:val="0"/>
                <w:iCs w:val="0"/>
                <w:color w:val="000000"/>
                <w:kern w:val="0"/>
                <w:sz w:val="18"/>
                <w:szCs w:val="18"/>
                <w:u w:val="single"/>
                <w:lang w:val="en-US" w:eastAsia="zh-CN" w:bidi="ar"/>
              </w:rPr>
              <w:t>年</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4,944,302.56 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合计</w:t>
            </w:r>
          </w:p>
        </w:tc>
        <w:tc>
          <w:tcPr>
            <w:tcW w:w="3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34,385,356.73 </w:t>
            </w:r>
          </w:p>
        </w:tc>
      </w:tr>
    </w:tbl>
    <w:p>
      <w:pPr>
        <w:pStyle w:val="2"/>
        <w:keepNext w:val="0"/>
        <w:keepLines w:val="0"/>
        <w:widowControl/>
        <w:suppressLineNumbers w:val="0"/>
        <w:spacing w:before="0" w:beforeAutospacing="0" w:after="0" w:afterAutospacing="0" w:line="360" w:lineRule="atLeast"/>
        <w:ind w:left="0" w:right="0" w:firstLine="84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keepNext/>
        <w:keepLines/>
        <w:spacing w:before="300" w:after="300" w:line="320" w:lineRule="exact"/>
        <w:jc w:val="left"/>
        <w:outlineLvl w:val="1"/>
        <w:rPr>
          <w:rFonts w:ascii="宋体" w:hAnsi="宋体" w:eastAsia="宋体" w:cs="宋体"/>
          <w:b/>
          <w:bCs/>
          <w:sz w:val="24"/>
          <w:szCs w:val="24"/>
        </w:rPr>
      </w:pPr>
      <w:bookmarkStart w:id="284" w:name="_Toc989173"/>
      <w:r>
        <w:rPr>
          <w:rFonts w:ascii="宋体" w:hAnsi="宋体" w:eastAsia="宋体" w:cs="宋体"/>
          <w:b/>
          <w:bCs/>
          <w:sz w:val="24"/>
          <w:szCs w:val="24"/>
        </w:rPr>
        <w:t>八、合并范围的变更</w:t>
      </w:r>
      <w:bookmarkEnd w:id="284"/>
    </w:p>
    <w:p>
      <w:pPr>
        <w:keepNext/>
        <w:keepLines/>
        <w:spacing w:before="300" w:after="300" w:line="280" w:lineRule="exact"/>
        <w:jc w:val="left"/>
        <w:outlineLvl w:val="2"/>
        <w:rPr>
          <w:rFonts w:ascii="宋体" w:hAnsi="宋体" w:eastAsia="宋体" w:cs="宋体"/>
          <w:b/>
          <w:bCs/>
          <w:sz w:val="21"/>
          <w:szCs w:val="21"/>
        </w:rPr>
      </w:pPr>
      <w:bookmarkStart w:id="285" w:name="_Toc989174"/>
      <w:r>
        <w:rPr>
          <w:rFonts w:ascii="宋体" w:hAnsi="宋体" w:eastAsia="宋体" w:cs="宋体"/>
          <w:b/>
          <w:bCs/>
          <w:sz w:val="21"/>
          <w:szCs w:val="21"/>
        </w:rPr>
        <w:t>1、其他</w:t>
      </w:r>
      <w:bookmarkEnd w:id="285"/>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本公司无合并范围发生变化的情况。</w:t>
      </w:r>
    </w:p>
    <w:p>
      <w:pPr>
        <w:keepNext/>
        <w:keepLines/>
        <w:spacing w:before="300" w:after="300" w:line="320" w:lineRule="exact"/>
        <w:jc w:val="left"/>
        <w:outlineLvl w:val="1"/>
        <w:rPr>
          <w:rFonts w:ascii="宋体" w:hAnsi="宋体" w:eastAsia="宋体" w:cs="宋体"/>
          <w:b/>
          <w:bCs/>
          <w:sz w:val="24"/>
          <w:szCs w:val="24"/>
        </w:rPr>
      </w:pPr>
      <w:bookmarkStart w:id="286" w:name="_Toc989175"/>
      <w:r>
        <w:rPr>
          <w:rFonts w:ascii="宋体" w:hAnsi="宋体" w:eastAsia="宋体" w:cs="宋体"/>
          <w:b/>
          <w:bCs/>
          <w:sz w:val="24"/>
          <w:szCs w:val="24"/>
        </w:rPr>
        <w:t>九、在其他主体中的权益</w:t>
      </w:r>
      <w:bookmarkEnd w:id="286"/>
    </w:p>
    <w:p>
      <w:pPr>
        <w:keepNext/>
        <w:keepLines/>
        <w:spacing w:before="300" w:after="300" w:line="280" w:lineRule="exact"/>
        <w:jc w:val="left"/>
        <w:outlineLvl w:val="2"/>
        <w:rPr>
          <w:rFonts w:ascii="宋体" w:hAnsi="宋体" w:eastAsia="宋体" w:cs="宋体"/>
          <w:b/>
          <w:bCs/>
          <w:sz w:val="21"/>
          <w:szCs w:val="21"/>
        </w:rPr>
      </w:pPr>
      <w:bookmarkStart w:id="287" w:name="_Toc989176"/>
      <w:r>
        <w:rPr>
          <w:rFonts w:ascii="宋体" w:hAnsi="宋体" w:eastAsia="宋体" w:cs="宋体"/>
          <w:b/>
          <w:bCs/>
          <w:sz w:val="21"/>
          <w:szCs w:val="21"/>
        </w:rPr>
        <w:t>1、在子公司中的权益</w:t>
      </w:r>
      <w:bookmarkEnd w:id="287"/>
    </w:p>
    <w:p>
      <w:pPr>
        <w:keepNext/>
        <w:keepLines/>
        <w:spacing w:before="300" w:after="300" w:line="280" w:lineRule="exact"/>
        <w:jc w:val="left"/>
        <w:outlineLvl w:val="3"/>
        <w:rPr>
          <w:rFonts w:ascii="宋体" w:hAnsi="宋体" w:eastAsia="宋体" w:cs="宋体"/>
          <w:b/>
          <w:bCs/>
          <w:sz w:val="18"/>
          <w:szCs w:val="18"/>
        </w:rPr>
      </w:pPr>
      <w:bookmarkStart w:id="288" w:name="_Toc989177"/>
      <w:r>
        <w:rPr>
          <w:rFonts w:ascii="宋体" w:hAnsi="宋体" w:eastAsia="宋体" w:cs="宋体"/>
          <w:b/>
          <w:bCs/>
          <w:sz w:val="18"/>
          <w:szCs w:val="18"/>
        </w:rPr>
        <w:t>（1） 企业集团的构成</w:t>
      </w:r>
      <w:bookmarkEnd w:id="288"/>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79"/>
        <w:gridCol w:w="1440"/>
        <w:gridCol w:w="1012"/>
        <w:gridCol w:w="1377"/>
        <w:gridCol w:w="1377"/>
        <w:gridCol w:w="1064"/>
        <w:gridCol w:w="16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7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44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01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4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69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7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4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1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0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69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0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89" w:name="_Toc989178"/>
      <w:r>
        <w:rPr>
          <w:rFonts w:ascii="宋体" w:hAnsi="宋体" w:eastAsia="宋体" w:cs="宋体"/>
          <w:b/>
          <w:bCs/>
          <w:sz w:val="18"/>
          <w:szCs w:val="18"/>
        </w:rPr>
        <w:t>（2） 重要的非全资子公司</w:t>
      </w:r>
      <w:bookmarkEnd w:id="2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-53,201.36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22,942,047.58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90" w:name="_Toc989179"/>
      <w:r>
        <w:rPr>
          <w:rFonts w:ascii="宋体" w:hAnsi="宋体" w:eastAsia="宋体" w:cs="宋体"/>
          <w:b/>
          <w:bCs/>
          <w:sz w:val="18"/>
          <w:szCs w:val="18"/>
        </w:rPr>
        <w:t>（3） 重要非全资子公司的主要财务信息</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584,687,658.20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517,398,996.51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1,102,086,654.71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283,641,214.90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35,092,034.52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318,733,249.42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508,276,458.81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449,015,180.91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957,291,639.72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172,065,453.98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57,034.52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172,122,488.50</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129,925,634.04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-1,815,745.93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-1,815,745.93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-20,055,177.52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136,595,351.58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11,295,682.17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11,295,682.17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-21,589,220.40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1" w:name="_Toc989180"/>
      <w:r>
        <w:rPr>
          <w:rFonts w:ascii="宋体" w:hAnsi="宋体" w:eastAsia="宋体" w:cs="宋体"/>
          <w:b/>
          <w:bCs/>
          <w:sz w:val="21"/>
          <w:szCs w:val="21"/>
        </w:rPr>
        <w:t>2、在合营安排或联营企业中的权益</w:t>
      </w:r>
      <w:bookmarkEnd w:id="291"/>
    </w:p>
    <w:p>
      <w:pPr>
        <w:keepNext/>
        <w:keepLines/>
        <w:spacing w:before="300" w:after="300" w:line="280" w:lineRule="exact"/>
        <w:jc w:val="left"/>
        <w:outlineLvl w:val="3"/>
        <w:rPr>
          <w:rFonts w:ascii="宋体" w:hAnsi="宋体" w:eastAsia="宋体" w:cs="宋体"/>
          <w:b/>
          <w:bCs/>
          <w:sz w:val="21"/>
          <w:szCs w:val="21"/>
        </w:rPr>
      </w:pPr>
      <w:bookmarkStart w:id="292" w:name="_Toc989181"/>
      <w:r>
        <w:rPr>
          <w:rFonts w:ascii="宋体" w:hAnsi="宋体" w:eastAsia="宋体" w:cs="宋体"/>
          <w:b/>
          <w:bCs/>
          <w:sz w:val="21"/>
          <w:szCs w:val="21"/>
        </w:rPr>
        <w:t>（1） 重要的合营企业或联营企业</w:t>
      </w:r>
      <w:bookmarkEnd w:id="29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293" w:name="_Toc989182"/>
      <w:r>
        <w:rPr>
          <w:rFonts w:ascii="宋体" w:hAnsi="宋体" w:eastAsia="宋体" w:cs="宋体"/>
          <w:b/>
          <w:bCs/>
          <w:sz w:val="21"/>
          <w:szCs w:val="21"/>
        </w:rPr>
        <w:t>（2） 重要联营企业的主要财务信息</w:t>
      </w:r>
      <w:bookmarkEnd w:id="2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124,774,978.89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133,756,719.57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161,454,617.14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161,001,751.43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286,229,596.03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294,758,471.00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65,134,831.37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59,853,202.82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172,755,955.42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166,942,165.50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237,890,786.79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226,795,368.32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48,338,809.24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67,963,102.67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23,686,016.53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33,301,920.31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-98,095.10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3,102,023.20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285,279.12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-19,624,293.44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-13,825,977.22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-19,624,293.44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-13,825,977.22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320" w:lineRule="exact"/>
        <w:jc w:val="left"/>
        <w:outlineLvl w:val="1"/>
        <w:rPr>
          <w:rFonts w:ascii="宋体" w:hAnsi="宋体" w:eastAsia="宋体" w:cs="宋体"/>
          <w:b/>
          <w:bCs/>
          <w:sz w:val="24"/>
          <w:szCs w:val="24"/>
        </w:rPr>
      </w:pPr>
      <w:bookmarkStart w:id="294" w:name="_Toc989183"/>
      <w:r>
        <w:rPr>
          <w:rFonts w:ascii="宋体" w:hAnsi="宋体" w:eastAsia="宋体" w:cs="宋体"/>
          <w:b/>
          <w:bCs/>
          <w:sz w:val="24"/>
          <w:szCs w:val="24"/>
        </w:rPr>
        <w:t>十、与金融工具相关的风险</w:t>
      </w:r>
      <w:bookmarkEnd w:id="294"/>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本公司的金融工具导致的主要风险主要包括信用风险、流动风险及市场风险。</w:t>
      </w:r>
    </w:p>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1、信用风险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A</w:t>
      </w:r>
      <w:r>
        <w:rPr>
          <w:rFonts w:hint="eastAsia" w:ascii="宋体" w:hAnsi="宋体" w:eastAsia="宋体" w:cs="宋体"/>
          <w:sz w:val="21"/>
          <w:szCs w:val="21"/>
        </w:rPr>
        <w:t>、信用风险显著增加判断标准：</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本公司在每个资产负债表日评估相关金融工具的信用风险自初始确认后是否已显著增加。</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当触发以下一个或多个定量、定性标准时，本公司认为金融工具的信用风险已发生显著增加：</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a</w:t>
      </w:r>
      <w:r>
        <w:rPr>
          <w:rFonts w:hint="eastAsia" w:ascii="宋体" w:hAnsi="宋体" w:eastAsia="宋体" w:cs="宋体"/>
          <w:sz w:val="21"/>
          <w:szCs w:val="21"/>
        </w:rPr>
        <w:t>、定量标准主要为报告日剩余存续期违约概率较初始确认时上升超过</w:t>
      </w:r>
      <w:r>
        <w:rPr>
          <w:rFonts w:hint="default" w:ascii="Times New Roman" w:hAnsi="Times New Roman" w:eastAsia="宋体" w:cs="Times New Roman"/>
          <w:sz w:val="21"/>
          <w:szCs w:val="21"/>
        </w:rPr>
        <w:t>100%</w:t>
      </w:r>
      <w:r>
        <w:rPr>
          <w:rFonts w:hint="eastAsia" w:ascii="宋体" w:hAnsi="宋体" w:eastAsia="宋体" w:cs="宋体"/>
          <w:sz w:val="21"/>
          <w:szCs w:val="21"/>
        </w:rPr>
        <w:t>。</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b</w:t>
      </w:r>
      <w:r>
        <w:rPr>
          <w:rFonts w:hint="eastAsia" w:ascii="宋体" w:hAnsi="宋体" w:eastAsia="宋体" w:cs="宋体"/>
          <w:sz w:val="21"/>
          <w:szCs w:val="21"/>
        </w:rPr>
        <w:t>、定性标准主要债务人经营或财务情况出现重大不利变化、预警客户清单等。</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B</w:t>
      </w:r>
      <w:r>
        <w:rPr>
          <w:rFonts w:hint="eastAsia" w:ascii="宋体" w:hAnsi="宋体" w:eastAsia="宋体" w:cs="宋体"/>
          <w:sz w:val="21"/>
          <w:szCs w:val="21"/>
        </w:rPr>
        <w:t>、已发生信用减值资产的定义：</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a</w:t>
      </w:r>
      <w:r>
        <w:rPr>
          <w:rFonts w:hint="eastAsia" w:ascii="宋体" w:hAnsi="宋体" w:eastAsia="宋体" w:cs="宋体"/>
          <w:sz w:val="21"/>
          <w:szCs w:val="21"/>
        </w:rPr>
        <w:t>、发行方或债务人发生重大财务困难；</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b</w:t>
      </w:r>
      <w:r>
        <w:rPr>
          <w:rFonts w:hint="eastAsia" w:ascii="宋体" w:hAnsi="宋体" w:eastAsia="宋体" w:cs="宋体"/>
          <w:sz w:val="21"/>
          <w:szCs w:val="21"/>
        </w:rPr>
        <w:t>、债务人违反合同，如偿付利息或本金违约或逾期等；</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c</w:t>
      </w:r>
      <w:r>
        <w:rPr>
          <w:rFonts w:hint="eastAsia" w:ascii="宋体" w:hAnsi="宋体" w:eastAsia="宋体" w:cs="宋体"/>
          <w:sz w:val="21"/>
          <w:szCs w:val="21"/>
        </w:rPr>
        <w:t>、债权人出于与债务人财务困难有关的经济或合同考虑，给予债务人在任何其他情况下都不会做出的让步；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d</w:t>
      </w:r>
      <w:r>
        <w:rPr>
          <w:rFonts w:hint="eastAsia" w:ascii="宋体" w:hAnsi="宋体" w:eastAsia="宋体" w:cs="宋体"/>
          <w:sz w:val="21"/>
          <w:szCs w:val="21"/>
        </w:rPr>
        <w:t>、债务人很可能破产或进行其他财务重组；</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e</w:t>
      </w:r>
      <w:r>
        <w:rPr>
          <w:rFonts w:hint="eastAsia" w:ascii="宋体" w:hAnsi="宋体" w:eastAsia="宋体" w:cs="宋体"/>
          <w:sz w:val="21"/>
          <w:szCs w:val="21"/>
        </w:rPr>
        <w:t>、发行方或债务人财务困难导致该金融资产的活跃市场消失；</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f</w:t>
      </w:r>
      <w:r>
        <w:rPr>
          <w:rFonts w:hint="eastAsia" w:ascii="宋体" w:hAnsi="宋体" w:eastAsia="宋体" w:cs="宋体"/>
          <w:sz w:val="21"/>
          <w:szCs w:val="21"/>
        </w:rPr>
        <w:t>、以大幅折扣购买或源生一项金融资产，该折扣反映了发生信用损失的事实；</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金融资产发生信用减值，有可能是多个事件的共同作用所致，未必是可单独识别的事件所致。</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C</w:t>
      </w:r>
      <w:r>
        <w:rPr>
          <w:rFonts w:hint="eastAsia" w:ascii="宋体" w:hAnsi="宋体" w:eastAsia="宋体" w:cs="宋体"/>
          <w:sz w:val="21"/>
          <w:szCs w:val="21"/>
        </w:rPr>
        <w:t>、预期信用损失计量的参数</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根据信用风险是否发生显著增加以及是否已发生信用减值，本公司对不同的资产分别以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个月或整个存续期的预期信用损失计量减值准备。预期信用损失计量的关键参数包括违约损失率和违约风险敞口。本公司考虑历史统计数据</w:t>
      </w:r>
      <w:r>
        <w:rPr>
          <w:rFonts w:hint="default" w:ascii="Times New Roman" w:hAnsi="Times New Roman" w:eastAsia="宋体" w:cs="Times New Roman"/>
          <w:sz w:val="21"/>
          <w:szCs w:val="21"/>
        </w:rPr>
        <w:t>(</w:t>
      </w:r>
      <w:r>
        <w:rPr>
          <w:rFonts w:hint="eastAsia" w:ascii="宋体" w:hAnsi="宋体" w:eastAsia="宋体" w:cs="宋体"/>
          <w:sz w:val="21"/>
          <w:szCs w:val="21"/>
        </w:rPr>
        <w:t>回款期限以及还款方式等</w:t>
      </w:r>
      <w:r>
        <w:rPr>
          <w:rFonts w:hint="default" w:ascii="Times New Roman" w:hAnsi="Times New Roman" w:eastAsia="宋体" w:cs="Times New Roman"/>
          <w:sz w:val="21"/>
          <w:szCs w:val="21"/>
        </w:rPr>
        <w:t>)</w:t>
      </w:r>
      <w:r>
        <w:rPr>
          <w:rFonts w:hint="eastAsia" w:ascii="宋体" w:hAnsi="宋体" w:eastAsia="宋体" w:cs="宋体"/>
          <w:sz w:val="21"/>
          <w:szCs w:val="21"/>
        </w:rPr>
        <w:t>的定量分析及前瞻性信息，建立违约概率、违约损失率及违约风险敞口的违约损失率模型。</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相关定义如下：</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a</w:t>
      </w:r>
      <w:r>
        <w:rPr>
          <w:rFonts w:hint="eastAsia" w:ascii="宋体" w:hAnsi="宋体" w:eastAsia="宋体" w:cs="宋体"/>
          <w:sz w:val="21"/>
          <w:szCs w:val="21"/>
        </w:rPr>
        <w:t>、违约概率是指债务人在未来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b</w:t>
      </w:r>
      <w:r>
        <w:rPr>
          <w:rFonts w:hint="eastAsia" w:ascii="宋体" w:hAnsi="宋体" w:eastAsia="宋体" w:cs="宋体"/>
          <w:sz w:val="21"/>
          <w:szCs w:val="21"/>
        </w:rPr>
        <w:t>、违约损失率是指本公司对违约风险暴露发生损失程度作出的预期。违约损失率为违约发生时风险敞口损失的百分比，以未来</w:t>
      </w:r>
      <w:r>
        <w:rPr>
          <w:rFonts w:hint="default" w:ascii="Times New Roman" w:hAnsi="Times New Roman" w:eastAsia="宋体" w:cs="Times New Roman"/>
          <w:sz w:val="21"/>
          <w:szCs w:val="21"/>
        </w:rPr>
        <w:t>12</w:t>
      </w:r>
      <w:r>
        <w:rPr>
          <w:rFonts w:hint="eastAsia" w:ascii="宋体" w:hAnsi="宋体" w:eastAsia="宋体" w:cs="宋体"/>
          <w:sz w:val="21"/>
          <w:szCs w:val="21"/>
        </w:rPr>
        <w:t>个月内或整个存续期为基准进行计算；</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c</w:t>
      </w:r>
      <w:r>
        <w:rPr>
          <w:rFonts w:hint="eastAsia" w:ascii="宋体" w:hAnsi="宋体" w:eastAsia="宋体" w:cs="宋体"/>
          <w:sz w:val="21"/>
          <w:szCs w:val="21"/>
        </w:rPr>
        <w:t>、违约风险敞口是指，在未来</w:t>
      </w:r>
      <w:r>
        <w:rPr>
          <w:rFonts w:hint="default" w:ascii="Times New Roman" w:hAnsi="Times New Roman" w:eastAsia="宋体" w:cs="Times New Roman"/>
          <w:sz w:val="21"/>
          <w:szCs w:val="21"/>
        </w:rPr>
        <w:t>12</w:t>
      </w:r>
      <w:r>
        <w:rPr>
          <w:rFonts w:hint="eastAsia" w:ascii="宋体" w:hAnsi="宋体" w:eastAsia="宋体" w:cs="宋体"/>
          <w:sz w:val="21"/>
          <w:szCs w:val="21"/>
        </w:rPr>
        <w:t>个月或在整个剩余存续期中，在违约发生时，本公司应被偿付的金额。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前瞻性信息</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信用风险显著增加的评估及预期信用损失的计算均涉及前瞻性信息。本公司通过进行历史数据分析，识别出影响各业务类型信用风险及预期信用损失的关键经济指标。</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本公司的货币资金主要为银行存款、保证金性质的其他货币资金，主要存放于在国内</w:t>
      </w:r>
      <w:r>
        <w:rPr>
          <w:rFonts w:hint="default" w:ascii="Times New Roman" w:hAnsi="Times New Roman" w:eastAsia="宋体" w:cs="Times New Roman"/>
          <w:sz w:val="21"/>
          <w:szCs w:val="21"/>
        </w:rPr>
        <w:t>A</w:t>
      </w:r>
      <w:r>
        <w:rPr>
          <w:rFonts w:hint="eastAsia" w:ascii="宋体" w:hAnsi="宋体" w:eastAsia="宋体" w:cs="宋体"/>
          <w:sz w:val="21"/>
          <w:szCs w:val="21"/>
        </w:rPr>
        <w:t>股上市的部分商业银行；应收票据主要为银行承兑汇票；交易性金融资产为购买银行的理财产品。本公司管理层认为上述金融资产不存在重大的信用风险。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本公司应收账款主要为飞机刹车材料、军用及民用</w:t>
      </w:r>
      <w:r>
        <w:rPr>
          <w:rFonts w:hint="default" w:ascii="Times New Roman" w:hAnsi="Times New Roman" w:eastAsia="宋体" w:cs="Times New Roman"/>
          <w:sz w:val="21"/>
          <w:szCs w:val="21"/>
        </w:rPr>
        <w:t>CC</w:t>
      </w:r>
      <w:r>
        <w:rPr>
          <w:rFonts w:hint="eastAsia" w:ascii="宋体" w:hAnsi="宋体" w:eastAsia="宋体" w:cs="宋体"/>
          <w:sz w:val="21"/>
          <w:szCs w:val="21"/>
        </w:rPr>
        <w:t>复合材料和粉末冶金材料销售形成的应收账款，其中：飞机刹车材料和军用</w:t>
      </w:r>
      <w:r>
        <w:rPr>
          <w:rFonts w:hint="default" w:ascii="Times New Roman" w:hAnsi="Times New Roman" w:eastAsia="宋体" w:cs="Times New Roman"/>
          <w:sz w:val="21"/>
          <w:szCs w:val="21"/>
        </w:rPr>
        <w:t>CC</w:t>
      </w:r>
      <w:r>
        <w:rPr>
          <w:rFonts w:hint="eastAsia" w:ascii="宋体" w:hAnsi="宋体" w:eastAsia="宋体" w:cs="宋体"/>
          <w:sz w:val="21"/>
          <w:szCs w:val="21"/>
        </w:rPr>
        <w:t xml:space="preserve">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本公司其他应收款，主要为企业往来款、备用金等，已根据公司相应坏账准备计提政策，合理的计提了减值准备，本公司管理层认为，其他应收款所产生的信用风险是可控的。</w:t>
      </w:r>
    </w:p>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rPr>
        <w:t>2、流动性风险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 xml:space="preserve">本公司采用循环流动性计划工具管理资金短缺风险。该工具既考虑其金融工具的到期日，也考虑本公司运营产生的预计现金流量。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金融负债按未折现的合同现金流量所作的到期期限分析：</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tbl>
      <w:tblPr>
        <w:tblStyle w:val="3"/>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76"/>
        <w:gridCol w:w="1931"/>
        <w:gridCol w:w="2051"/>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347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421" w:type="dxa"/>
            <w:gridSpan w:val="3"/>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7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931"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年以内</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年以上</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短期借款</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169,500,000.00</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应付票据</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69,965,440.50</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69,965,440.50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应付账款</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142,726,248.35</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142,726,248.35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其他应付款</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4,980,429.16</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34,860,000.00</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39,840,429.16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其他流动负债</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59,798,322.92</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59,798,322.92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一年内到期的非流动负债</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77,068,444.44</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77,068,444.44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长期借款</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3476"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3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524,038,885.37</w:t>
            </w:r>
          </w:p>
        </w:tc>
        <w:tc>
          <w:tcPr>
            <w:tcW w:w="2051"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34,860,000.00</w:t>
            </w:r>
          </w:p>
        </w:tc>
        <w:tc>
          <w:tcPr>
            <w:tcW w:w="14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558,898,885.37</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18"/>
          <w:szCs w:val="18"/>
        </w:rPr>
        <w:t> </w:t>
      </w:r>
    </w:p>
    <w:tbl>
      <w:tblPr>
        <w:tblStyle w:val="3"/>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38"/>
        <w:gridCol w:w="1976"/>
        <w:gridCol w:w="1844"/>
        <w:gridCol w:w="19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项目</w:t>
            </w:r>
          </w:p>
        </w:tc>
        <w:tc>
          <w:tcPr>
            <w:tcW w:w="5010"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期初金额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1</w:t>
            </w:r>
            <w:r>
              <w:rPr>
                <w:rFonts w:hint="eastAsia" w:ascii="宋体" w:hAnsi="宋体" w:eastAsia="宋体" w:cs="宋体"/>
                <w:sz w:val="18"/>
                <w:szCs w:val="18"/>
              </w:rPr>
              <w:t>年以内</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default" w:ascii="Times New Roman" w:hAnsi="Times New Roman" w:cs="Times New Roman"/>
                <w:sz w:val="18"/>
                <w:szCs w:val="18"/>
              </w:rPr>
              <w:t>1</w:t>
            </w:r>
            <w:r>
              <w:rPr>
                <w:rFonts w:hint="eastAsia" w:ascii="宋体" w:hAnsi="宋体" w:eastAsia="宋体" w:cs="宋体"/>
                <w:sz w:val="18"/>
                <w:szCs w:val="18"/>
              </w:rPr>
              <w:t>年以上</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短期借款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50,047,222.21</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50,047,222.21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应付票据</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92,734,634.30</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92,734,634.30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应付账款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103,162,199.14</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103,162,199.14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其他应付款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3,595,700.23</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34,860,000.00</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38,455,700.23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其他流动负债</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59,942,851.00</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59,942,851.00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一年内到期的非流动负债</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2,069,333.33</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2,069,333.33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rPr>
              <w:t>长期借款</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 </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76,000,000.00</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76,000,000.00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0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rPr>
              <w:t>合计</w:t>
            </w:r>
          </w:p>
        </w:tc>
        <w:tc>
          <w:tcPr>
            <w:tcW w:w="1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311,551,940.21</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110,860,000.00</w:t>
            </w:r>
          </w:p>
        </w:tc>
        <w:tc>
          <w:tcPr>
            <w:tcW w:w="170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380" w:lineRule="atLeast"/>
              <w:ind w:left="0" w:right="0"/>
              <w:jc w:val="right"/>
              <w:rPr>
                <w:rFonts w:hint="default" w:ascii="Times New Roman" w:hAnsi="Times New Roman" w:cs="Times New Roman"/>
                <w:sz w:val="24"/>
                <w:szCs w:val="24"/>
              </w:rPr>
            </w:pPr>
            <w:r>
              <w:rPr>
                <w:rFonts w:hint="default" w:ascii="Times New Roman" w:hAnsi="Times New Roman" w:cs="Times New Roman"/>
                <w:sz w:val="18"/>
                <w:szCs w:val="18"/>
              </w:rPr>
              <w:t>422,411,940.21</w:t>
            </w:r>
          </w:p>
        </w:tc>
      </w:tr>
    </w:tbl>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sz w:val="21"/>
          <w:szCs w:val="21"/>
        </w:rPr>
        <w:t> 3</w:t>
      </w:r>
      <w:r>
        <w:rPr>
          <w:rFonts w:hint="eastAsia" w:ascii="宋体" w:hAnsi="宋体" w:eastAsia="宋体" w:cs="宋体"/>
          <w:sz w:val="21"/>
          <w:szCs w:val="21"/>
        </w:rPr>
        <w:t>、市场风险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金融工具的市场风险是指金融工具的公允价值或未来现金流量因市场价格变动而发生波动的风险，包括汇率风险、利率风险和其他价格风险。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4、利率风险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本公司借款均为银行借款，借款合同对借款利率均进行了明确约定，故本公司金融负债不存在市场利率变动的重大风险。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5、汇率风险</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外汇风险，是指金融工具的公允价值或未来现金流量因外汇汇率变动而发生波动的风险。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w:t>
      </w:r>
    </w:p>
    <w:p>
      <w:pPr>
        <w:keepNext/>
        <w:keepLines/>
        <w:spacing w:before="300" w:after="300" w:line="320" w:lineRule="exact"/>
        <w:jc w:val="left"/>
        <w:outlineLvl w:val="1"/>
        <w:rPr>
          <w:rFonts w:ascii="宋体" w:hAnsi="宋体" w:eastAsia="宋体" w:cs="宋体"/>
          <w:b/>
          <w:bCs/>
          <w:sz w:val="24"/>
          <w:szCs w:val="24"/>
        </w:rPr>
      </w:pPr>
      <w:bookmarkStart w:id="295" w:name="_Toc989184"/>
      <w:r>
        <w:rPr>
          <w:rFonts w:ascii="宋体" w:hAnsi="宋体" w:eastAsia="宋体" w:cs="宋体"/>
          <w:b/>
          <w:bCs/>
          <w:sz w:val="24"/>
          <w:szCs w:val="24"/>
        </w:rPr>
        <w:t>十一、公允价值的披露</w:t>
      </w:r>
      <w:bookmarkEnd w:id="295"/>
    </w:p>
    <w:p>
      <w:pPr>
        <w:keepNext/>
        <w:keepLines/>
        <w:spacing w:before="300" w:after="300" w:line="280" w:lineRule="exact"/>
        <w:jc w:val="left"/>
        <w:outlineLvl w:val="2"/>
        <w:rPr>
          <w:rFonts w:ascii="宋体" w:hAnsi="宋体" w:eastAsia="宋体" w:cs="宋体"/>
          <w:b/>
          <w:bCs/>
          <w:sz w:val="21"/>
          <w:szCs w:val="21"/>
        </w:rPr>
      </w:pPr>
      <w:bookmarkStart w:id="296" w:name="_Toc989185"/>
      <w:r>
        <w:rPr>
          <w:rFonts w:ascii="宋体" w:hAnsi="宋体" w:eastAsia="宋体" w:cs="宋体"/>
          <w:b/>
          <w:bCs/>
          <w:sz w:val="21"/>
          <w:szCs w:val="21"/>
        </w:rPr>
        <w:t>1、以公允价值计量的资产和负债的期末公允价值</w:t>
      </w:r>
      <w:bookmarkEnd w:id="2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12,180,148.94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99,777,347.90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99,777,347.90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297" w:name="_Toc989186"/>
      <w:r>
        <w:rPr>
          <w:rFonts w:ascii="宋体" w:hAnsi="宋体" w:eastAsia="宋体" w:cs="宋体"/>
          <w:b/>
          <w:bCs/>
          <w:sz w:val="21"/>
          <w:szCs w:val="21"/>
        </w:rPr>
        <w:t>2、持续和非持续第一层次公允价值计量项目市价的确定依据</w:t>
      </w:r>
      <w:bookmarkEnd w:id="297"/>
    </w:p>
    <w:p>
      <w:pPr>
        <w:keepNext/>
        <w:keepLines/>
        <w:spacing w:before="300" w:after="300" w:line="280" w:lineRule="exact"/>
        <w:jc w:val="left"/>
        <w:outlineLvl w:val="2"/>
        <w:rPr>
          <w:rFonts w:ascii="宋体" w:hAnsi="宋体" w:eastAsia="宋体" w:cs="宋体"/>
          <w:b/>
          <w:bCs/>
          <w:sz w:val="21"/>
          <w:szCs w:val="21"/>
        </w:rPr>
      </w:pPr>
      <w:bookmarkStart w:id="298" w:name="_Toc989187"/>
      <w:r>
        <w:rPr>
          <w:rFonts w:ascii="宋体" w:hAnsi="宋体" w:eastAsia="宋体" w:cs="宋体"/>
          <w:b/>
          <w:bCs/>
          <w:sz w:val="21"/>
          <w:szCs w:val="21"/>
        </w:rPr>
        <w:t>3、持续和非持续第二层次公允价值计量项目，采用的估值技术和重要参数的定性及定量信息</w:t>
      </w:r>
      <w:bookmarkEnd w:id="298"/>
    </w:p>
    <w:p>
      <w:pPr>
        <w:keepNext/>
        <w:keepLines/>
        <w:spacing w:before="300" w:after="300" w:line="280" w:lineRule="exact"/>
        <w:jc w:val="left"/>
        <w:outlineLvl w:val="2"/>
        <w:rPr>
          <w:rFonts w:ascii="宋体" w:hAnsi="宋体" w:eastAsia="宋体" w:cs="宋体"/>
          <w:b/>
          <w:bCs/>
          <w:sz w:val="21"/>
          <w:szCs w:val="21"/>
        </w:rPr>
      </w:pPr>
      <w:bookmarkStart w:id="299" w:name="_Toc989188"/>
      <w:r>
        <w:rPr>
          <w:rFonts w:ascii="宋体" w:hAnsi="宋体" w:eastAsia="宋体" w:cs="宋体"/>
          <w:b/>
          <w:bCs/>
          <w:sz w:val="21"/>
          <w:szCs w:val="21"/>
        </w:rPr>
        <w:t>4、持续和非持续第三层次公允价值计量项目，采用的估值技术和重要参数的定性及定量信息</w:t>
      </w:r>
      <w:bookmarkEnd w:id="299"/>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1）本公司持有的在市场上无可用的观察输入值及估值技术的其他权益工具投资，以第三层级估值作为公允价值的计量依据。其中，湖南沃尔博精密工具有限公司（曾用名：上海钨夫投资管理有限公司）采用现金流量折现法对其估值，上海海通创新锦程投资管理中心(有限合伙)采用上市公司比较法对其估值。</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24"/>
          <w:szCs w:val="24"/>
        </w:rPr>
        <w:t> </w:t>
      </w:r>
    </w:p>
    <w:tbl>
      <w:tblPr>
        <w:tblStyle w:val="3"/>
        <w:tblW w:w="459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2"/>
        <w:gridCol w:w="2563"/>
        <w:gridCol w:w="1520"/>
        <w:gridCol w:w="23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rPr>
        <w:tc>
          <w:tcPr>
            <w:tcW w:w="247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u w:val="single"/>
              </w:rPr>
              <w:t>项目</w:t>
            </w:r>
          </w:p>
        </w:tc>
        <w:tc>
          <w:tcPr>
            <w:tcW w:w="15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u w:val="single"/>
              </w:rPr>
              <w:t>期末公允价值</w:t>
            </w:r>
          </w:p>
        </w:tc>
        <w:tc>
          <w:tcPr>
            <w:tcW w:w="14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u w:val="single"/>
              </w:rPr>
              <w:t>估值技术</w:t>
            </w:r>
          </w:p>
        </w:tc>
        <w:tc>
          <w:tcPr>
            <w:tcW w:w="21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sz w:val="18"/>
                <w:szCs w:val="18"/>
                <w:u w:val="single"/>
              </w:rPr>
              <w:t>不可观察输入值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3"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上海海通创新锦程投资管理中心</w:t>
            </w:r>
            <w:r>
              <w:rPr>
                <w:rFonts w:hint="default" w:ascii="Times New Roman" w:hAnsi="Times New Roman" w:cs="Times New Roman"/>
                <w:sz w:val="18"/>
                <w:szCs w:val="18"/>
                <w:u w:val="single"/>
              </w:rPr>
              <w:t>(</w:t>
            </w:r>
            <w:r>
              <w:rPr>
                <w:rFonts w:hint="eastAsia" w:ascii="宋体" w:hAnsi="宋体" w:eastAsia="宋体" w:cs="宋体"/>
                <w:sz w:val="18"/>
                <w:szCs w:val="18"/>
                <w:u w:val="single"/>
              </w:rPr>
              <w:t>有限合伙</w:t>
            </w:r>
            <w:r>
              <w:rPr>
                <w:rFonts w:hint="default" w:ascii="Times New Roman" w:hAnsi="Times New Roman" w:cs="Times New Roman"/>
                <w:sz w:val="18"/>
                <w:szCs w:val="18"/>
                <w:u w:val="single"/>
              </w:rPr>
              <w:t>)</w:t>
            </w:r>
            <w:r>
              <w:rPr>
                <w:rFonts w:hint="eastAsia" w:ascii="宋体" w:hAnsi="宋体" w:eastAsia="宋体" w:cs="宋体"/>
                <w:sz w:val="18"/>
                <w:szCs w:val="18"/>
                <w:u w:val="single"/>
              </w:rPr>
              <w:t>（权益工具投资）</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ascii="Calibri" w:hAnsi="Calibri" w:cs="Calibri"/>
                <w:sz w:val="21"/>
                <w:szCs w:val="21"/>
              </w:rPr>
              <w:t>26,332,800.00 </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上市公司比较法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流动性折价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1" w:hRule="atLeast"/>
        </w:trPr>
        <w:tc>
          <w:tcPr>
            <w:tcW w:w="247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湖南沃尔博精密工具有限公司（权益工具投资）</w:t>
            </w:r>
          </w:p>
        </w:tc>
        <w:tc>
          <w:tcPr>
            <w:tcW w:w="159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Calibri" w:hAnsi="Calibri" w:cs="Calibri"/>
                <w:sz w:val="21"/>
                <w:szCs w:val="21"/>
              </w:rPr>
              <w:t>27,884,168.83 </w:t>
            </w:r>
          </w:p>
        </w:tc>
        <w:tc>
          <w:tcPr>
            <w:tcW w:w="14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现金流量折现法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加权平均资本成本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trPr>
        <w:tc>
          <w:tcPr>
            <w:tcW w:w="247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59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14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21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sz w:val="18"/>
                <w:szCs w:val="18"/>
                <w:u w:val="single"/>
              </w:rPr>
              <w:t>长期收入增长率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深圳富联智能制造产业创新中心有限公司</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Calibri" w:hAnsi="Calibri" w:cs="Calibri"/>
                <w:sz w:val="21"/>
                <w:szCs w:val="21"/>
              </w:rPr>
              <w:t>                      3,380,230.13</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净资产价值</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期末净资产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5" w:hRule="atLeast"/>
        </w:trPr>
        <w:tc>
          <w:tcPr>
            <w:tcW w:w="247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湖南飞机起降系统技术研发有限公司</w:t>
            </w:r>
          </w:p>
        </w:tc>
        <w:tc>
          <w:tcPr>
            <w:tcW w:w="15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Calibri" w:hAnsi="Calibri" w:cs="Calibri"/>
                <w:sz w:val="21"/>
                <w:szCs w:val="21"/>
              </w:rPr>
              <w:t>                    30,000,000.00</w:t>
            </w:r>
          </w:p>
        </w:tc>
        <w:tc>
          <w:tcPr>
            <w:tcW w:w="14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交易价格法</w:t>
            </w:r>
          </w:p>
        </w:tc>
        <w:tc>
          <w:tcPr>
            <w:tcW w:w="21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u w:val="single"/>
              </w:rPr>
              <w:t>近期交易价格</w:t>
            </w:r>
          </w:p>
        </w:tc>
      </w:tr>
    </w:tbl>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（2）应收款项融资为应收银行承兑汇票，其管理模式实质为既收取合同现金流量又背书转让或贴现，故公司将银行承兑汇票根据票面金额作为公允价值进行计量。</w:t>
      </w:r>
    </w:p>
    <w:p>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5、持续的第三层次公允价值计量项目，期初与期末账面价值间的调节信息及不可观察参数敏感性分析</w:t>
      </w:r>
      <w:bookmarkEnd w:id="300"/>
    </w:p>
    <w:p>
      <w:pPr>
        <w:keepNext/>
        <w:keepLines/>
        <w:spacing w:before="300" w:after="300" w:line="280" w:lineRule="exact"/>
        <w:jc w:val="left"/>
        <w:outlineLvl w:val="2"/>
        <w:rPr>
          <w:rFonts w:ascii="宋体" w:hAnsi="宋体" w:eastAsia="宋体" w:cs="宋体"/>
          <w:b/>
          <w:bCs/>
          <w:sz w:val="21"/>
          <w:szCs w:val="21"/>
        </w:rPr>
      </w:pPr>
      <w:bookmarkStart w:id="301" w:name="_Toc989190"/>
      <w:r>
        <w:rPr>
          <w:rFonts w:ascii="宋体" w:hAnsi="宋体" w:eastAsia="宋体" w:cs="宋体"/>
          <w:b/>
          <w:bCs/>
          <w:sz w:val="21"/>
          <w:szCs w:val="21"/>
        </w:rPr>
        <w:t>6、持续的公允价值计量项目，本期内发生各层级之间转换的，转换的原因及确定转换时点的政策</w:t>
      </w:r>
      <w:bookmarkEnd w:id="301"/>
    </w:p>
    <w:p>
      <w:pPr>
        <w:keepNext/>
        <w:keepLines/>
        <w:spacing w:before="300" w:after="300" w:line="280" w:lineRule="exact"/>
        <w:jc w:val="left"/>
        <w:outlineLvl w:val="2"/>
        <w:rPr>
          <w:rFonts w:ascii="宋体" w:hAnsi="宋体" w:eastAsia="宋体" w:cs="宋体"/>
          <w:b/>
          <w:bCs/>
          <w:sz w:val="21"/>
          <w:szCs w:val="21"/>
        </w:rPr>
      </w:pPr>
      <w:bookmarkStart w:id="302" w:name="_Toc989191"/>
      <w:r>
        <w:rPr>
          <w:rFonts w:ascii="宋体" w:hAnsi="宋体" w:eastAsia="宋体" w:cs="宋体"/>
          <w:b/>
          <w:bCs/>
          <w:sz w:val="21"/>
          <w:szCs w:val="21"/>
        </w:rPr>
        <w:t>7、本期内发生的估值技术变更及变更原因</w:t>
      </w:r>
      <w:bookmarkEnd w:id="302"/>
    </w:p>
    <w:p>
      <w:pPr>
        <w:keepNext/>
        <w:keepLines/>
        <w:spacing w:before="300" w:after="300" w:line="280" w:lineRule="exact"/>
        <w:jc w:val="left"/>
        <w:outlineLvl w:val="2"/>
        <w:rPr>
          <w:rFonts w:ascii="宋体" w:hAnsi="宋体" w:eastAsia="宋体" w:cs="宋体"/>
          <w:b/>
          <w:bCs/>
          <w:sz w:val="21"/>
          <w:szCs w:val="21"/>
        </w:rPr>
      </w:pPr>
      <w:bookmarkStart w:id="303" w:name="_Toc989192"/>
      <w:r>
        <w:rPr>
          <w:rFonts w:ascii="宋体" w:hAnsi="宋体" w:eastAsia="宋体" w:cs="宋体"/>
          <w:b/>
          <w:bCs/>
          <w:sz w:val="21"/>
          <w:szCs w:val="21"/>
        </w:rPr>
        <w:t>8、不以公允价值计量的金融资产和金融负债的公允价值情况</w:t>
      </w:r>
      <w:bookmarkEnd w:id="303"/>
    </w:p>
    <w:p>
      <w:pPr>
        <w:keepNext/>
        <w:keepLines/>
        <w:spacing w:before="300" w:after="300" w:line="280" w:lineRule="exact"/>
        <w:jc w:val="left"/>
        <w:outlineLvl w:val="2"/>
        <w:rPr>
          <w:rFonts w:ascii="宋体" w:hAnsi="宋体" w:eastAsia="宋体" w:cs="宋体"/>
          <w:b/>
          <w:bCs/>
          <w:sz w:val="21"/>
          <w:szCs w:val="21"/>
        </w:rPr>
      </w:pPr>
      <w:bookmarkStart w:id="304" w:name="_Toc989193"/>
      <w:r>
        <w:rPr>
          <w:rFonts w:ascii="宋体" w:hAnsi="宋体" w:eastAsia="宋体" w:cs="宋体"/>
          <w:b/>
          <w:bCs/>
          <w:sz w:val="21"/>
          <w:szCs w:val="21"/>
        </w:rPr>
        <w:t>9、其他</w:t>
      </w:r>
      <w:bookmarkEnd w:id="304"/>
    </w:p>
    <w:p>
      <w:pPr>
        <w:keepNext/>
        <w:keepLines/>
        <w:spacing w:before="300" w:after="300" w:line="320" w:lineRule="exact"/>
        <w:jc w:val="left"/>
        <w:outlineLvl w:val="1"/>
        <w:rPr>
          <w:rFonts w:ascii="宋体" w:hAnsi="宋体" w:eastAsia="宋体" w:cs="宋体"/>
          <w:b/>
          <w:bCs/>
          <w:sz w:val="24"/>
          <w:szCs w:val="24"/>
        </w:rPr>
      </w:pPr>
      <w:bookmarkStart w:id="305" w:name="_Toc989194"/>
      <w:r>
        <w:rPr>
          <w:rFonts w:ascii="宋体" w:hAnsi="宋体" w:eastAsia="宋体" w:cs="宋体"/>
          <w:b/>
          <w:bCs/>
          <w:sz w:val="24"/>
          <w:szCs w:val="24"/>
        </w:rPr>
        <w:t>十二、关联方及关联交易</w:t>
      </w:r>
      <w:bookmarkEnd w:id="305"/>
    </w:p>
    <w:p>
      <w:pPr>
        <w:keepNext/>
        <w:keepLines/>
        <w:spacing w:before="300" w:after="300" w:line="280" w:lineRule="exact"/>
        <w:jc w:val="left"/>
        <w:outlineLvl w:val="2"/>
        <w:rPr>
          <w:rFonts w:ascii="宋体" w:hAnsi="宋体" w:eastAsia="宋体" w:cs="宋体"/>
          <w:b/>
          <w:bCs/>
          <w:sz w:val="21"/>
          <w:szCs w:val="21"/>
        </w:rPr>
      </w:pPr>
      <w:bookmarkStart w:id="306" w:name="_Toc989195"/>
      <w:r>
        <w:rPr>
          <w:rFonts w:ascii="宋体" w:hAnsi="宋体" w:eastAsia="宋体" w:cs="宋体"/>
          <w:b/>
          <w:bCs/>
          <w:sz w:val="21"/>
          <w:szCs w:val="21"/>
        </w:rPr>
        <w:t>1、本企业的母公司情况</w:t>
      </w:r>
      <w:bookmarkEnd w:id="306"/>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7" w:name="_Toc989196"/>
      <w:r>
        <w:rPr>
          <w:rFonts w:ascii="宋体" w:hAnsi="宋体" w:eastAsia="宋体" w:cs="宋体"/>
          <w:b/>
          <w:bCs/>
          <w:sz w:val="21"/>
          <w:szCs w:val="21"/>
        </w:rPr>
        <w:t>2、本企业的子公司情况</w:t>
      </w:r>
      <w:bookmarkEnd w:id="307"/>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3、本企业合营和联营企业情况</w:t>
      </w:r>
      <w:bookmarkEnd w:id="308"/>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本企业重要的合营或联营企业详见附注“九、在其他主体中的权益”。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9" w:name="_Toc989198"/>
      <w:r>
        <w:rPr>
          <w:rFonts w:ascii="宋体" w:hAnsi="宋体" w:eastAsia="宋体" w:cs="宋体"/>
          <w:b/>
          <w:bCs/>
          <w:sz w:val="21"/>
          <w:szCs w:val="21"/>
        </w:rPr>
        <w:t>4、其他关联方情况</w:t>
      </w:r>
      <w:bookmarkEnd w:id="30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同一控制人</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0" w:name="_Toc989199"/>
      <w:r>
        <w:rPr>
          <w:rFonts w:ascii="宋体" w:hAnsi="宋体" w:eastAsia="宋体" w:cs="宋体"/>
          <w:b/>
          <w:bCs/>
          <w:sz w:val="21"/>
          <w:szCs w:val="21"/>
        </w:rPr>
        <w:t>5、关联交易情况</w:t>
      </w:r>
      <w:bookmarkEnd w:id="310"/>
    </w:p>
    <w:p>
      <w:pPr>
        <w:keepNext/>
        <w:keepLines/>
        <w:spacing w:before="300" w:after="300" w:line="280" w:lineRule="exact"/>
        <w:jc w:val="left"/>
        <w:outlineLvl w:val="3"/>
        <w:rPr>
          <w:rFonts w:ascii="宋体" w:hAnsi="宋体" w:eastAsia="宋体" w:cs="宋体"/>
          <w:b/>
          <w:bCs/>
          <w:sz w:val="21"/>
          <w:szCs w:val="21"/>
        </w:rPr>
      </w:pPr>
      <w:bookmarkStart w:id="311" w:name="_Toc989200"/>
      <w:r>
        <w:rPr>
          <w:rFonts w:ascii="宋体" w:hAnsi="宋体" w:eastAsia="宋体" w:cs="宋体"/>
          <w:b/>
          <w:bCs/>
          <w:sz w:val="21"/>
          <w:szCs w:val="21"/>
        </w:rPr>
        <w:t>（1） 购销商品、提供和接受劳务的关联交易</w:t>
      </w:r>
      <w:bookmarkEnd w:id="311"/>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89"/>
        <w:gridCol w:w="2025"/>
        <w:gridCol w:w="1470"/>
        <w:gridCol w:w="1040"/>
        <w:gridCol w:w="1360"/>
        <w:gridCol w:w="18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0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4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3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8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2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644,930.39</w:t>
            </w:r>
          </w:p>
        </w:tc>
        <w:tc>
          <w:tcPr>
            <w:tcW w:w="10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8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493,127.36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湖南第一工业设计研究院有限公司</w:t>
            </w:r>
          </w:p>
        </w:tc>
        <w:tc>
          <w:tcPr>
            <w:tcW w:w="2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监理费</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243,396.23</w:t>
            </w:r>
          </w:p>
        </w:tc>
        <w:tc>
          <w:tcPr>
            <w:tcW w:w="10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8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301,886.79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湖南省中南建设装饰有限公司</w:t>
            </w:r>
          </w:p>
        </w:tc>
        <w:tc>
          <w:tcPr>
            <w:tcW w:w="2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建筑装饰装修设计、施工、维修服务</w:t>
            </w: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2,490,005.42</w:t>
            </w:r>
          </w:p>
        </w:tc>
        <w:tc>
          <w:tcPr>
            <w:tcW w:w="10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8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0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4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3,378,332.04</w:t>
            </w:r>
          </w:p>
        </w:tc>
        <w:tc>
          <w:tcPr>
            <w:tcW w:w="10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795,014.15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04"/>
        <w:gridCol w:w="2610"/>
        <w:gridCol w:w="2116"/>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6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1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销售产品和劳务</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975,063.46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1,791,033.37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餐费</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9,902.85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7,652.91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966.84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材料销售</w:t>
            </w: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326,653.11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6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1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1,327,595.00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1,804,005.22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312" w:name="_Toc989201"/>
      <w:r>
        <w:rPr>
          <w:rFonts w:ascii="宋体" w:hAnsi="宋体" w:eastAsia="宋体" w:cs="宋体"/>
          <w:b/>
          <w:bCs/>
          <w:sz w:val="21"/>
          <w:szCs w:val="21"/>
        </w:rPr>
        <w:t>（2） 关联租赁情况</w:t>
      </w:r>
      <w:bookmarkEnd w:id="312"/>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宿舍租赁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7,706.42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113,905.77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129,574.24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21,170.20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142,782.39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139,332.88</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313" w:name="_Toc989202"/>
      <w:r>
        <w:rPr>
          <w:rFonts w:ascii="宋体" w:hAnsi="宋体" w:eastAsia="宋体" w:cs="宋体"/>
          <w:b/>
          <w:bCs/>
          <w:sz w:val="21"/>
          <w:szCs w:val="21"/>
        </w:rPr>
        <w:t>（3） 关键管理人员报酬</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949,429.94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1,110,437.00</w:t>
            </w:r>
          </w:p>
        </w:tc>
      </w:tr>
    </w:tbl>
    <w:p>
      <w:pPr>
        <w:keepNext/>
        <w:keepLines/>
        <w:spacing w:before="300" w:after="300" w:line="280" w:lineRule="exact"/>
        <w:jc w:val="left"/>
        <w:outlineLvl w:val="2"/>
        <w:rPr>
          <w:rFonts w:ascii="宋体" w:hAnsi="宋体" w:eastAsia="宋体" w:cs="宋体"/>
          <w:b/>
          <w:bCs/>
          <w:sz w:val="21"/>
          <w:szCs w:val="21"/>
        </w:rPr>
      </w:pPr>
      <w:bookmarkStart w:id="314" w:name="_Toc989203"/>
      <w:r>
        <w:rPr>
          <w:rFonts w:ascii="宋体" w:hAnsi="宋体" w:eastAsia="宋体" w:cs="宋体"/>
          <w:b/>
          <w:bCs/>
          <w:sz w:val="21"/>
          <w:szCs w:val="21"/>
        </w:rPr>
        <w:t>6、关联方应收应付款项</w:t>
      </w:r>
      <w:bookmarkEnd w:id="314"/>
    </w:p>
    <w:p>
      <w:pPr>
        <w:keepNext/>
        <w:keepLines/>
        <w:spacing w:before="300" w:after="300" w:line="280" w:lineRule="exact"/>
        <w:jc w:val="left"/>
        <w:outlineLvl w:val="3"/>
        <w:rPr>
          <w:rFonts w:ascii="宋体" w:hAnsi="宋体" w:eastAsia="宋体" w:cs="宋体"/>
          <w:b/>
          <w:bCs/>
          <w:sz w:val="21"/>
          <w:szCs w:val="21"/>
        </w:rPr>
      </w:pPr>
      <w:bookmarkStart w:id="315" w:name="_Toc989204"/>
      <w:r>
        <w:rPr>
          <w:rFonts w:ascii="宋体" w:hAnsi="宋体" w:eastAsia="宋体" w:cs="宋体"/>
          <w:b/>
          <w:bCs/>
          <w:sz w:val="21"/>
          <w:szCs w:val="21"/>
        </w:rPr>
        <w:t>（1） 应收项目</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13,571,209.82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4,529,571.68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16,749,030.25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7,639,624.65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124,884.08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6,244.20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53,545.00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9,289.48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307,286.76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85.70</w:t>
            </w:r>
          </w:p>
        </w:tc>
      </w:tr>
    </w:tbl>
    <w:p>
      <w:pPr>
        <w:keepNext/>
        <w:keepLines/>
        <w:spacing w:before="300" w:after="300" w:line="280" w:lineRule="exact"/>
        <w:jc w:val="left"/>
        <w:outlineLvl w:val="3"/>
        <w:rPr>
          <w:rFonts w:ascii="宋体" w:hAnsi="宋体" w:eastAsia="宋体" w:cs="宋体"/>
          <w:b/>
          <w:bCs/>
          <w:sz w:val="21"/>
          <w:szCs w:val="21"/>
        </w:rPr>
      </w:pPr>
      <w:bookmarkStart w:id="316" w:name="_Toc989205"/>
      <w:r>
        <w:rPr>
          <w:rFonts w:ascii="宋体" w:hAnsi="宋体" w:eastAsia="宋体" w:cs="宋体"/>
          <w:b/>
          <w:bCs/>
          <w:sz w:val="21"/>
          <w:szCs w:val="21"/>
        </w:rPr>
        <w:t>（2） 应付项目</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69,634.05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34,873,300.00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34,863,300.00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bl>
    <w:p>
      <w:pPr>
        <w:keepNext/>
        <w:keepLines/>
        <w:spacing w:before="300" w:after="300" w:line="320" w:lineRule="exact"/>
        <w:jc w:val="left"/>
        <w:outlineLvl w:val="1"/>
        <w:rPr>
          <w:rFonts w:ascii="宋体" w:hAnsi="宋体" w:eastAsia="宋体" w:cs="宋体"/>
          <w:b/>
          <w:bCs/>
          <w:sz w:val="24"/>
          <w:szCs w:val="24"/>
        </w:rPr>
      </w:pPr>
      <w:bookmarkStart w:id="317" w:name="_Toc989206"/>
      <w:r>
        <w:rPr>
          <w:rFonts w:ascii="宋体" w:hAnsi="宋体" w:eastAsia="宋体" w:cs="宋体"/>
          <w:b/>
          <w:bCs/>
          <w:sz w:val="24"/>
          <w:szCs w:val="24"/>
        </w:rPr>
        <w:t>十三、承诺及或有事项</w:t>
      </w:r>
      <w:bookmarkEnd w:id="317"/>
    </w:p>
    <w:p>
      <w:pPr>
        <w:keepNext/>
        <w:keepLines/>
        <w:spacing w:before="300" w:after="300" w:line="280" w:lineRule="exact"/>
        <w:jc w:val="left"/>
        <w:outlineLvl w:val="2"/>
        <w:rPr>
          <w:rFonts w:ascii="宋体" w:hAnsi="宋体" w:eastAsia="宋体" w:cs="宋体"/>
          <w:b/>
          <w:bCs/>
          <w:sz w:val="21"/>
          <w:szCs w:val="21"/>
        </w:rPr>
      </w:pPr>
      <w:bookmarkStart w:id="318" w:name="_Toc989207"/>
      <w:r>
        <w:rPr>
          <w:rFonts w:ascii="宋体" w:hAnsi="宋体" w:eastAsia="宋体" w:cs="宋体"/>
          <w:b/>
          <w:bCs/>
          <w:sz w:val="21"/>
          <w:szCs w:val="21"/>
        </w:rPr>
        <w:t>1、重要承诺事项</w:t>
      </w:r>
      <w:bookmarkEnd w:id="318"/>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截至资产负债表日，公司已开立未到期的信用证为39,717,148.52元（其中信用证保证金39,717,148.52元），其中31,987,428.74元信用证到期日为2024年6月19日，7729719.78元信用证到期日为2025年7月3日。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除上述事项外，公司没有需要披露的其他承诺事项.</w:t>
      </w:r>
    </w:p>
    <w:p>
      <w:pPr>
        <w:keepNext/>
        <w:keepLines/>
        <w:spacing w:before="300" w:after="300" w:line="280" w:lineRule="exact"/>
        <w:jc w:val="left"/>
        <w:outlineLvl w:val="2"/>
        <w:rPr>
          <w:rFonts w:ascii="宋体" w:hAnsi="宋体" w:eastAsia="宋体" w:cs="宋体"/>
          <w:b/>
          <w:bCs/>
          <w:sz w:val="21"/>
          <w:szCs w:val="21"/>
        </w:rPr>
      </w:pPr>
      <w:bookmarkStart w:id="319" w:name="_Toc989208"/>
      <w:r>
        <w:rPr>
          <w:rFonts w:ascii="宋体" w:hAnsi="宋体" w:eastAsia="宋体" w:cs="宋体"/>
          <w:b/>
          <w:bCs/>
          <w:sz w:val="21"/>
          <w:szCs w:val="21"/>
        </w:rPr>
        <w:t>2、或有事项</w:t>
      </w:r>
      <w:bookmarkEnd w:id="319"/>
    </w:p>
    <w:p>
      <w:pPr>
        <w:keepNext/>
        <w:keepLines/>
        <w:spacing w:before="300" w:after="300" w:line="280" w:lineRule="exact"/>
        <w:jc w:val="left"/>
        <w:outlineLvl w:val="3"/>
        <w:rPr>
          <w:rFonts w:ascii="宋体" w:hAnsi="宋体" w:eastAsia="宋体" w:cs="宋体"/>
          <w:b/>
          <w:bCs/>
          <w:sz w:val="21"/>
          <w:szCs w:val="21"/>
        </w:rPr>
      </w:pPr>
      <w:bookmarkStart w:id="320" w:name="_Toc989209"/>
      <w:r>
        <w:rPr>
          <w:rFonts w:ascii="宋体" w:hAnsi="宋体" w:eastAsia="宋体" w:cs="宋体"/>
          <w:b/>
          <w:bCs/>
          <w:sz w:val="21"/>
          <w:szCs w:val="21"/>
        </w:rPr>
        <w:t>（1） 资产负债表日存在的重要或有事项</w:t>
      </w:r>
      <w:bookmarkEnd w:id="320"/>
    </w:p>
    <w:p>
      <w:pPr>
        <w:keepNext/>
        <w:keepLines/>
        <w:spacing w:before="300" w:after="300" w:line="280" w:lineRule="exact"/>
        <w:jc w:val="left"/>
        <w:outlineLvl w:val="3"/>
        <w:rPr>
          <w:rFonts w:ascii="宋体" w:hAnsi="宋体" w:eastAsia="宋体" w:cs="宋体"/>
          <w:b/>
          <w:bCs/>
          <w:sz w:val="21"/>
          <w:szCs w:val="21"/>
        </w:rPr>
      </w:pPr>
      <w:bookmarkStart w:id="321" w:name="_Toc989210"/>
      <w:r>
        <w:rPr>
          <w:rFonts w:ascii="宋体" w:hAnsi="宋体" w:eastAsia="宋体" w:cs="宋体"/>
          <w:b/>
          <w:bCs/>
          <w:sz w:val="21"/>
          <w:szCs w:val="21"/>
        </w:rPr>
        <w:t>（2） 公司没有需要披露的重要或有事项，也应予以说明</w:t>
      </w:r>
      <w:bookmarkEnd w:id="321"/>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322" w:name="_Toc989211"/>
      <w:r>
        <w:rPr>
          <w:rFonts w:ascii="宋体" w:hAnsi="宋体" w:eastAsia="宋体" w:cs="宋体"/>
          <w:b/>
          <w:bCs/>
          <w:sz w:val="21"/>
          <w:szCs w:val="21"/>
        </w:rPr>
        <w:t>3、其他</w:t>
      </w:r>
      <w:bookmarkEnd w:id="322"/>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截至资产负债表日，本公司无需要披露的承诺及或有事项。</w:t>
      </w:r>
    </w:p>
    <w:p>
      <w:pPr>
        <w:keepNext/>
        <w:keepLines/>
        <w:spacing w:before="300" w:after="300" w:line="320" w:lineRule="exact"/>
        <w:jc w:val="left"/>
        <w:outlineLvl w:val="1"/>
        <w:rPr>
          <w:rFonts w:ascii="宋体" w:hAnsi="宋体" w:eastAsia="宋体" w:cs="宋体"/>
          <w:b/>
          <w:bCs/>
          <w:sz w:val="24"/>
          <w:szCs w:val="24"/>
        </w:rPr>
      </w:pPr>
      <w:bookmarkStart w:id="323" w:name="_Toc989212"/>
      <w:r>
        <w:rPr>
          <w:rFonts w:ascii="宋体" w:hAnsi="宋体" w:eastAsia="宋体" w:cs="宋体"/>
          <w:b/>
          <w:bCs/>
          <w:sz w:val="24"/>
          <w:szCs w:val="24"/>
        </w:rPr>
        <w:t>十四、资产负债表日后事项</w:t>
      </w:r>
      <w:bookmarkEnd w:id="323"/>
    </w:p>
    <w:p>
      <w:pPr>
        <w:keepNext/>
        <w:keepLines/>
        <w:spacing w:before="300" w:after="300" w:line="280" w:lineRule="exact"/>
        <w:jc w:val="left"/>
        <w:outlineLvl w:val="2"/>
        <w:rPr>
          <w:rFonts w:ascii="宋体" w:hAnsi="宋体" w:eastAsia="宋体" w:cs="宋体"/>
          <w:b/>
          <w:bCs/>
          <w:sz w:val="21"/>
          <w:szCs w:val="21"/>
        </w:rPr>
      </w:pPr>
      <w:bookmarkStart w:id="324" w:name="_Toc989213"/>
      <w:r>
        <w:rPr>
          <w:rFonts w:ascii="宋体" w:hAnsi="宋体" w:eastAsia="宋体" w:cs="宋体"/>
          <w:b/>
          <w:bCs/>
          <w:sz w:val="21"/>
          <w:szCs w:val="21"/>
        </w:rPr>
        <w:t>1、其他资产负债表日后事项说明</w:t>
      </w:r>
      <w:bookmarkEnd w:id="324"/>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截至本财务报表批准报出日，本公司无需要披露的资产负债表日后非调整事项。</w:t>
      </w:r>
    </w:p>
    <w:p>
      <w:pPr>
        <w:keepNext/>
        <w:keepLines/>
        <w:spacing w:before="300" w:after="300" w:line="320" w:lineRule="exact"/>
        <w:jc w:val="left"/>
        <w:outlineLvl w:val="1"/>
        <w:rPr>
          <w:rFonts w:ascii="宋体" w:hAnsi="宋体" w:eastAsia="宋体" w:cs="宋体"/>
          <w:b/>
          <w:bCs/>
          <w:sz w:val="24"/>
          <w:szCs w:val="24"/>
        </w:rPr>
      </w:pPr>
      <w:bookmarkStart w:id="325" w:name="_Toc989214"/>
      <w:r>
        <w:rPr>
          <w:rFonts w:ascii="宋体" w:hAnsi="宋体" w:eastAsia="宋体" w:cs="宋体"/>
          <w:b/>
          <w:bCs/>
          <w:sz w:val="24"/>
          <w:szCs w:val="24"/>
        </w:rPr>
        <w:t>十五、资本管理</w:t>
      </w:r>
      <w:bookmarkEnd w:id="325"/>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本公司资本管理的主要目标是确保本公司持续经营的能力，并保持健康的资本比率，以支持业务发展并使股东价值最大化。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本公司管理资本结构并根据经济形势以及相关资产的风险特征的变化对其进行调整。为维持或调整资本结构，本公司可以调整对股东的利润分配、向股东归还资本或发行新股。</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本公司不受外部强制性资本要求约束。与上期相比，公司资本管理目标、政策或程序未发生变化。</w:t>
      </w:r>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3"/>
        <w:tblW w:w="4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15"/>
        <w:gridCol w:w="1612"/>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92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5"/>
                <w:szCs w:val="15"/>
                <w:u w:val="none"/>
                <w:lang w:val="en-US" w:eastAsia="zh-CN" w:bidi="ar"/>
              </w:rPr>
              <w:t>项</w:t>
            </w:r>
            <w:r>
              <w:rPr>
                <w:rFonts w:hint="default" w:ascii="Times New Roman" w:hAnsi="Times New Roman" w:eastAsia="宋体" w:cs="Times New Roman"/>
                <w:b/>
                <w:bCs/>
                <w:i w:val="0"/>
                <w:iCs w:val="0"/>
                <w:color w:val="000000"/>
                <w:kern w:val="0"/>
                <w:sz w:val="15"/>
                <w:szCs w:val="15"/>
                <w:u w:val="none"/>
                <w:lang w:val="en-US" w:eastAsia="zh-CN" w:bidi="ar"/>
              </w:rPr>
              <w:t>  </w:t>
            </w:r>
            <w:r>
              <w:rPr>
                <w:rFonts w:hint="eastAsia" w:ascii="宋体" w:hAnsi="宋体" w:eastAsia="宋体" w:cs="宋体"/>
                <w:b/>
                <w:bCs/>
                <w:i w:val="0"/>
                <w:iCs w:val="0"/>
                <w:color w:val="000000"/>
                <w:kern w:val="0"/>
                <w:sz w:val="15"/>
                <w:szCs w:val="15"/>
                <w:u w:val="none"/>
                <w:lang w:val="en-US" w:eastAsia="zh-CN" w:bidi="ar"/>
              </w:rPr>
              <w:t>目</w:t>
            </w:r>
          </w:p>
        </w:tc>
        <w:tc>
          <w:tcPr>
            <w:tcW w:w="1605"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期末余额或期末比率</w:t>
            </w:r>
          </w:p>
        </w:tc>
        <w:tc>
          <w:tcPr>
            <w:tcW w:w="1440" w:type="dxa"/>
            <w:tcBorders>
              <w:top w:val="single" w:color="auto" w:sz="8" w:space="0"/>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期初余额或期初比率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金融负债</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558,898,885.37</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422,411,940.21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减：金融资产</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1,073,733,065.18</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956,271,307.47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净负债小计</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-514,834,179.81</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-533,859,367.26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2,111,186,111.24</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2,101,111,347.40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净负债和资本合计</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1,596,351,931.43</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1,567,251,980.14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920" w:type="dxa"/>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杠杆比率</w:t>
            </w:r>
          </w:p>
        </w:tc>
        <w:tc>
          <w:tcPr>
            <w:tcW w:w="1613"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-32.25%</w:t>
            </w:r>
          </w:p>
        </w:tc>
        <w:tc>
          <w:tcPr>
            <w:tcW w:w="1440"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-34.06%</w:t>
            </w:r>
          </w:p>
        </w:tc>
      </w:tr>
    </w:tbl>
    <w:p>
      <w:pPr>
        <w:keepNext/>
        <w:keepLines/>
        <w:spacing w:before="300" w:after="300" w:line="320" w:lineRule="exact"/>
        <w:jc w:val="left"/>
        <w:outlineLvl w:val="1"/>
        <w:rPr>
          <w:rFonts w:ascii="宋体" w:hAnsi="宋体" w:eastAsia="宋体" w:cs="宋体"/>
          <w:b/>
          <w:bCs/>
          <w:sz w:val="24"/>
          <w:szCs w:val="24"/>
        </w:rPr>
      </w:pPr>
      <w:bookmarkStart w:id="326" w:name="_Toc989215"/>
      <w:r>
        <w:rPr>
          <w:rFonts w:ascii="宋体" w:hAnsi="宋体" w:eastAsia="宋体" w:cs="宋体"/>
          <w:b/>
          <w:bCs/>
          <w:sz w:val="24"/>
          <w:szCs w:val="24"/>
        </w:rPr>
        <w:t>十六、其他重要事项</w:t>
      </w:r>
      <w:bookmarkEnd w:id="326"/>
    </w:p>
    <w:p>
      <w:pPr>
        <w:keepNext/>
        <w:keepLines/>
        <w:spacing w:before="300" w:after="300" w:line="280" w:lineRule="exact"/>
        <w:jc w:val="left"/>
        <w:outlineLvl w:val="2"/>
        <w:rPr>
          <w:rFonts w:ascii="宋体" w:hAnsi="宋体" w:eastAsia="宋体" w:cs="宋体"/>
          <w:b/>
          <w:bCs/>
          <w:sz w:val="21"/>
          <w:szCs w:val="21"/>
        </w:rPr>
      </w:pPr>
      <w:bookmarkStart w:id="327" w:name="_Toc989216"/>
      <w:r>
        <w:rPr>
          <w:rFonts w:ascii="宋体" w:hAnsi="宋体" w:eastAsia="宋体" w:cs="宋体"/>
          <w:b/>
          <w:bCs/>
          <w:sz w:val="21"/>
          <w:szCs w:val="21"/>
        </w:rPr>
        <w:t>1、分部信息</w:t>
      </w:r>
      <w:bookmarkEnd w:id="327"/>
    </w:p>
    <w:p>
      <w:pPr>
        <w:keepNext/>
        <w:keepLines/>
        <w:spacing w:before="300" w:after="300" w:line="280" w:lineRule="exact"/>
        <w:jc w:val="left"/>
        <w:outlineLvl w:val="3"/>
        <w:rPr>
          <w:rFonts w:ascii="宋体" w:hAnsi="宋体" w:eastAsia="宋体" w:cs="宋体"/>
          <w:b/>
          <w:bCs/>
          <w:sz w:val="21"/>
          <w:szCs w:val="21"/>
        </w:rPr>
      </w:pPr>
      <w:bookmarkStart w:id="328" w:name="_Toc989217"/>
      <w:r>
        <w:rPr>
          <w:rFonts w:ascii="宋体" w:hAnsi="宋体" w:eastAsia="宋体" w:cs="宋体"/>
          <w:b/>
          <w:bCs/>
          <w:sz w:val="21"/>
          <w:szCs w:val="21"/>
        </w:rPr>
        <w:t>（1） 报告分部的确定依据与会计政策</w:t>
      </w:r>
      <w:bookmarkEnd w:id="328"/>
    </w:p>
    <w:p>
      <w:pPr>
        <w:pStyle w:val="2"/>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1"/>
          <w:szCs w:val="21"/>
        </w:rPr>
        <w:t>本公司业务分航空航天产品及碳/碳复合材料业务和粉末冶金业务，因这两种业务具有不同的风险及报酬，故本公司将上述两种业务分成两个分部。</w:t>
      </w:r>
    </w:p>
    <w:p>
      <w:pPr>
        <w:keepNext/>
        <w:keepLines/>
        <w:spacing w:before="300" w:after="300" w:line="280" w:lineRule="exact"/>
        <w:jc w:val="left"/>
        <w:outlineLvl w:val="3"/>
        <w:rPr>
          <w:rFonts w:ascii="宋体" w:hAnsi="宋体" w:eastAsia="宋体" w:cs="宋体"/>
          <w:b/>
          <w:bCs/>
          <w:sz w:val="21"/>
          <w:szCs w:val="21"/>
        </w:rPr>
      </w:pPr>
      <w:bookmarkStart w:id="329" w:name="_Toc989218"/>
      <w:r>
        <w:rPr>
          <w:rFonts w:ascii="宋体" w:hAnsi="宋体" w:eastAsia="宋体" w:cs="宋体"/>
          <w:b/>
          <w:bCs/>
          <w:sz w:val="21"/>
          <w:szCs w:val="21"/>
        </w:rPr>
        <w:t>（2） 报告分部的财务信息</w:t>
      </w:r>
      <w:bookmarkEnd w:id="3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对外交易收入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126,385,501.94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178,924,286.05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-12,716,516.52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292,593,271.47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分部间交易收入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-889,157.40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1,436.61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-887,720.79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-60,373.34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-3,636,981.14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870,252.55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-2,827,101.93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19,556,686.81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15,400,733.93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34,957,420.74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利润总额（亏损总额）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12,557,552.17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-1,711,023.98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870,252.55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11,716,780.74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1,797,440.96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-285,961.94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130,537.88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1,642,016.90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净利润（净亏损）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10,760,111.21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-1,425,062.04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739,714.67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10,074,763.84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2,990,020,993.58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1,357,043,468.95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-1,513,896,332.16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2,833,168,130.37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672,938,016.09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348,666,103.07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-310,707,140.69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710,896,978.47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其他重要的非现金项目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折旧费和摊销费以外的其他非现金费用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-949,530.74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-3,635,544.53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870,252.55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-3,714,822.72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对联营和合营企业的长期股权投资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长期股权投资以外的其他非流动资产增加额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1,089,845.99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67,386,560.47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-1,378,719.32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67,097,687.14</w:t>
            </w:r>
          </w:p>
        </w:tc>
      </w:tr>
    </w:tbl>
    <w:p>
      <w:pPr>
        <w:keepNext/>
        <w:keepLines/>
        <w:spacing w:before="300" w:after="300" w:line="280" w:lineRule="exact"/>
        <w:jc w:val="left"/>
        <w:outlineLvl w:val="2"/>
        <w:rPr>
          <w:rFonts w:ascii="宋体" w:hAnsi="宋体" w:eastAsia="宋体" w:cs="宋体"/>
          <w:b/>
          <w:bCs/>
          <w:sz w:val="21"/>
          <w:szCs w:val="21"/>
        </w:rPr>
      </w:pPr>
      <w:bookmarkStart w:id="330" w:name="_Toc989219"/>
      <w:r>
        <w:rPr>
          <w:rFonts w:ascii="宋体" w:hAnsi="宋体" w:eastAsia="宋体" w:cs="宋体"/>
          <w:b/>
          <w:bCs/>
          <w:sz w:val="21"/>
          <w:szCs w:val="21"/>
        </w:rPr>
        <w:t>2、其他</w:t>
      </w:r>
      <w:bookmarkEnd w:id="330"/>
    </w:p>
    <w:p>
      <w:pPr>
        <w:pStyle w:val="2"/>
        <w:keepNext w:val="0"/>
        <w:keepLines w:val="0"/>
        <w:widowControl/>
        <w:suppressLineNumbers w:val="0"/>
        <w:spacing w:before="0" w:beforeAutospacing="0" w:after="0" w:afterAutospacing="0"/>
        <w:ind w:left="0" w:right="0" w:firstLine="241"/>
        <w:jc w:val="both"/>
        <w:rPr>
          <w:rFonts w:hint="default" w:ascii="Times New Roman" w:hAnsi="Times New Roman" w:cs="Times New Roman"/>
          <w:sz w:val="24"/>
          <w:szCs w:val="24"/>
        </w:rPr>
      </w:pPr>
      <w:r>
        <w:rPr>
          <w:rFonts w:hint="eastAsia" w:ascii="宋体" w:hAnsi="宋体" w:eastAsia="宋体" w:cs="宋体"/>
          <w:b w:val="0"/>
          <w:bCs w:val="0"/>
          <w:sz w:val="21"/>
          <w:szCs w:val="21"/>
        </w:rPr>
        <w:t>担保、抵押情况</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、为子公司湖南博云东方粉末冶金有限公司提供的担保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日，本公司与中国建设银行股份有限公司长沙河西支行签订了编号为</w:t>
      </w:r>
      <w:r>
        <w:rPr>
          <w:rFonts w:hint="default" w:ascii="Times New Roman" w:hAnsi="Times New Roman" w:eastAsia="宋体" w:cs="Times New Roman"/>
          <w:sz w:val="21"/>
          <w:szCs w:val="21"/>
        </w:rPr>
        <w:t>"HTC430783700ZGDB202000003"</w:t>
      </w:r>
      <w:r>
        <w:rPr>
          <w:rFonts w:hint="eastAsia" w:ascii="宋体" w:hAnsi="宋体" w:eastAsia="宋体" w:cs="宋体"/>
          <w:sz w:val="21"/>
          <w:szCs w:val="21"/>
        </w:rPr>
        <w:t>最高额保证合同，为中国建设银行股份有限公司长沙河西支行向本公司子公司湖南博云东方粉末冶金有限公司提供的最高额度为</w:t>
      </w:r>
      <w:r>
        <w:rPr>
          <w:rFonts w:hint="default" w:ascii="Times New Roman" w:hAnsi="Times New Roman" w:eastAsia="宋体" w:cs="Times New Roman"/>
          <w:sz w:val="21"/>
          <w:szCs w:val="21"/>
        </w:rPr>
        <w:t>4,000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2020</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日至</w:t>
      </w:r>
      <w:r>
        <w:rPr>
          <w:rFonts w:hint="default" w:ascii="Times New Roman" w:hAnsi="Times New Roman" w:eastAsia="宋体" w:cs="Times New Roman"/>
          <w:sz w:val="21"/>
          <w:szCs w:val="21"/>
        </w:rPr>
        <w:t>2025</w:t>
      </w:r>
      <w:r>
        <w:rPr>
          <w:rFonts w:hint="eastAsia" w:ascii="宋体" w:hAnsi="宋体" w:eastAsia="宋体" w:cs="宋体"/>
          <w:sz w:val="21"/>
          <w:szCs w:val="21"/>
        </w:rPr>
        <w:t>年</w:t>
      </w:r>
      <w:r>
        <w:rPr>
          <w:rFonts w:hint="default" w:ascii="Times New Roman" w:hAnsi="Times New Roman" w:eastAsia="宋体" w:cs="Times New Roman"/>
          <w:sz w:val="21"/>
          <w:szCs w:val="21"/>
        </w:rPr>
        <w:t>8</w:t>
      </w:r>
      <w:r>
        <w:rPr>
          <w:rFonts w:hint="eastAsia" w:ascii="宋体" w:hAnsi="宋体" w:eastAsia="宋体" w:cs="宋体"/>
          <w:sz w:val="21"/>
          <w:szCs w:val="21"/>
        </w:rPr>
        <w:t>月</w:t>
      </w:r>
      <w:r>
        <w:rPr>
          <w:rFonts w:hint="default" w:ascii="Times New Roman" w:hAnsi="Times New Roman" w:eastAsia="宋体" w:cs="Times New Roman"/>
          <w:sz w:val="21"/>
          <w:szCs w:val="21"/>
        </w:rPr>
        <w:t>21</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截至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日，本公司子公司湖南博云东方粉末冶金有限公司在该行借款余额为</w:t>
      </w:r>
      <w:r>
        <w:rPr>
          <w:rFonts w:hint="default" w:ascii="Times New Roman" w:hAnsi="Times New Roman" w:eastAsia="宋体" w:cs="Times New Roman"/>
          <w:sz w:val="21"/>
          <w:szCs w:val="21"/>
        </w:rPr>
        <w:t>4,000</w:t>
      </w:r>
      <w:r>
        <w:rPr>
          <w:rFonts w:hint="eastAsia" w:ascii="宋体" w:hAnsi="宋体" w:eastAsia="宋体" w:cs="宋体"/>
          <w:sz w:val="21"/>
          <w:szCs w:val="21"/>
        </w:rPr>
        <w:t>万元。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4</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日，本公司与上海浦东发展银行股份有限公司长沙分行签订了编号为</w:t>
      </w:r>
      <w:r>
        <w:rPr>
          <w:rFonts w:hint="default" w:ascii="Times New Roman" w:hAnsi="Times New Roman" w:eastAsia="宋体" w:cs="Times New Roman"/>
          <w:sz w:val="21"/>
          <w:szCs w:val="21"/>
        </w:rPr>
        <w:t>"ZB6622202200000004"</w:t>
      </w:r>
      <w:r>
        <w:rPr>
          <w:rFonts w:hint="eastAsia" w:ascii="宋体" w:hAnsi="宋体" w:eastAsia="宋体" w:cs="宋体"/>
          <w:sz w:val="21"/>
          <w:szCs w:val="21"/>
        </w:rPr>
        <w:t>的最高额保证合同，为上海浦东发展银行股份有限公司长沙分行向本公司子公司湖南博云东方粉末冶金有限公司提供的最高额度为</w:t>
      </w:r>
      <w:r>
        <w:rPr>
          <w:rFonts w:hint="default" w:ascii="Times New Roman" w:hAnsi="Times New Roman" w:eastAsia="宋体" w:cs="Times New Roman"/>
          <w:sz w:val="21"/>
          <w:szCs w:val="21"/>
        </w:rPr>
        <w:t>5,000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2022</w:t>
      </w:r>
      <w:r>
        <w:rPr>
          <w:rFonts w:hint="eastAsia" w:ascii="宋体" w:hAnsi="宋体" w:eastAsia="宋体" w:cs="宋体"/>
          <w:sz w:val="21"/>
          <w:szCs w:val="21"/>
        </w:rPr>
        <w:t>年</w:t>
      </w:r>
      <w:r>
        <w:rPr>
          <w:rFonts w:hint="default" w:ascii="Times New Roman" w:hAnsi="Times New Roman" w:eastAsia="宋体" w:cs="Times New Roman"/>
          <w:sz w:val="21"/>
          <w:szCs w:val="21"/>
        </w:rPr>
        <w:t>4</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4</w:t>
      </w:r>
      <w:r>
        <w:rPr>
          <w:rFonts w:hint="eastAsia" w:ascii="宋体" w:hAnsi="宋体" w:eastAsia="宋体" w:cs="宋体"/>
          <w:sz w:val="21"/>
          <w:szCs w:val="21"/>
        </w:rPr>
        <w:t>月</w:t>
      </w:r>
      <w:r>
        <w:rPr>
          <w:rFonts w:hint="default" w:ascii="Times New Roman" w:hAnsi="Times New Roman" w:eastAsia="宋体" w:cs="Times New Roman"/>
          <w:sz w:val="21"/>
          <w:szCs w:val="21"/>
        </w:rPr>
        <w:t>26</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截至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日，本公司子公司湖南博云东方粉末冶金有限公司在该行借款短期借款余额为</w:t>
      </w:r>
      <w:r>
        <w:rPr>
          <w:rFonts w:hint="default" w:ascii="Times New Roman" w:hAnsi="Times New Roman" w:eastAsia="宋体" w:cs="Times New Roman"/>
          <w:sz w:val="21"/>
          <w:szCs w:val="21"/>
        </w:rPr>
        <w:t>5,000</w:t>
      </w:r>
      <w:r>
        <w:rPr>
          <w:rFonts w:hint="eastAsia" w:ascii="宋体" w:hAnsi="宋体" w:eastAsia="宋体" w:cs="宋体"/>
          <w:sz w:val="21"/>
          <w:szCs w:val="21"/>
        </w:rPr>
        <w:t>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5</w:t>
      </w:r>
      <w:r>
        <w:rPr>
          <w:rFonts w:hint="eastAsia" w:ascii="宋体" w:hAnsi="宋体" w:eastAsia="宋体" w:cs="宋体"/>
          <w:sz w:val="21"/>
          <w:szCs w:val="21"/>
        </w:rPr>
        <w:t>日，本公司与中国光大银行股份有限公司长沙八一路支行签订了编号为</w:t>
      </w:r>
      <w:r>
        <w:rPr>
          <w:rFonts w:hint="default" w:ascii="Times New Roman" w:hAnsi="Times New Roman" w:eastAsia="宋体" w:cs="Times New Roman"/>
          <w:sz w:val="21"/>
          <w:szCs w:val="21"/>
        </w:rPr>
        <w:t>"79202106000038"</w:t>
      </w:r>
      <w:r>
        <w:rPr>
          <w:rFonts w:hint="eastAsia" w:ascii="宋体" w:hAnsi="宋体" w:eastAsia="宋体" w:cs="宋体"/>
          <w:sz w:val="21"/>
          <w:szCs w:val="21"/>
        </w:rPr>
        <w:t>最高额保证合同，为中国光大银行股份有限公司长沙八一路支行向本公司子公司湖南博云东方粉末冶金有限公司提供的最高额度为</w:t>
      </w:r>
      <w:r>
        <w:rPr>
          <w:rFonts w:hint="default" w:ascii="Times New Roman" w:hAnsi="Times New Roman" w:eastAsia="宋体" w:cs="Times New Roman"/>
          <w:sz w:val="21"/>
          <w:szCs w:val="21"/>
        </w:rPr>
        <w:t>6,000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2021</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5</w:t>
      </w:r>
      <w:r>
        <w:rPr>
          <w:rFonts w:hint="eastAsia" w:ascii="宋体" w:hAnsi="宋体" w:eastAsia="宋体" w:cs="宋体"/>
          <w:sz w:val="21"/>
          <w:szCs w:val="21"/>
        </w:rPr>
        <w:t>日至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7</w:t>
      </w:r>
      <w:r>
        <w:rPr>
          <w:rFonts w:hint="eastAsia" w:ascii="宋体" w:hAnsi="宋体" w:eastAsia="宋体" w:cs="宋体"/>
          <w:sz w:val="21"/>
          <w:szCs w:val="21"/>
        </w:rPr>
        <w:t>月</w:t>
      </w:r>
      <w:r>
        <w:rPr>
          <w:rFonts w:hint="default" w:ascii="Times New Roman" w:hAnsi="Times New Roman" w:eastAsia="宋体" w:cs="Times New Roman"/>
          <w:sz w:val="21"/>
          <w:szCs w:val="21"/>
        </w:rPr>
        <w:t>4</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截至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日，本公司子公司湖南博云东方粉末冶金有限公司在该行应付票据余额为</w:t>
      </w:r>
      <w:r>
        <w:rPr>
          <w:rFonts w:hint="default" w:ascii="Times New Roman" w:hAnsi="Times New Roman" w:eastAsia="宋体" w:cs="Times New Roman"/>
          <w:sz w:val="21"/>
          <w:szCs w:val="21"/>
        </w:rPr>
        <w:t>170.03</w:t>
      </w:r>
      <w:r>
        <w:rPr>
          <w:rFonts w:hint="eastAsia" w:ascii="宋体" w:hAnsi="宋体" w:eastAsia="宋体" w:cs="宋体"/>
          <w:sz w:val="21"/>
          <w:szCs w:val="21"/>
        </w:rPr>
        <w:t>万元（公司存入票据保证金</w:t>
      </w:r>
      <w:r>
        <w:rPr>
          <w:rFonts w:hint="default" w:ascii="Times New Roman" w:hAnsi="Times New Roman" w:eastAsia="宋体" w:cs="Times New Roman"/>
          <w:sz w:val="21"/>
          <w:szCs w:val="21"/>
        </w:rPr>
        <w:t>51.01</w:t>
      </w:r>
      <w:r>
        <w:rPr>
          <w:rFonts w:hint="eastAsia" w:ascii="宋体" w:hAnsi="宋体" w:eastAsia="宋体" w:cs="宋体"/>
          <w:sz w:val="21"/>
          <w:szCs w:val="21"/>
        </w:rPr>
        <w:t>万元）。</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综上，截至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日，本公司子公司湖南博云东方粉末冶金有限公司短期借款</w:t>
      </w:r>
      <w:r>
        <w:rPr>
          <w:rFonts w:hint="default" w:ascii="Times New Roman" w:hAnsi="Times New Roman" w:eastAsia="宋体" w:cs="Times New Roman"/>
          <w:sz w:val="21"/>
          <w:szCs w:val="21"/>
        </w:rPr>
        <w:t>9,000</w:t>
      </w:r>
      <w:r>
        <w:rPr>
          <w:rFonts w:hint="eastAsia" w:ascii="宋体" w:hAnsi="宋体" w:eastAsia="宋体" w:cs="宋体"/>
          <w:sz w:val="21"/>
          <w:szCs w:val="21"/>
        </w:rPr>
        <w:t>万元、应付票据</w:t>
      </w:r>
      <w:r>
        <w:rPr>
          <w:rFonts w:hint="default" w:ascii="Times New Roman" w:hAnsi="Times New Roman" w:eastAsia="宋体" w:cs="Times New Roman"/>
          <w:sz w:val="21"/>
          <w:szCs w:val="21"/>
        </w:rPr>
        <w:t>170.03</w:t>
      </w:r>
      <w:r>
        <w:rPr>
          <w:rFonts w:hint="eastAsia" w:ascii="宋体" w:hAnsi="宋体" w:eastAsia="宋体" w:cs="宋体"/>
          <w:sz w:val="21"/>
          <w:szCs w:val="21"/>
        </w:rPr>
        <w:t>万元（公司存入票据保证金</w:t>
      </w:r>
      <w:r>
        <w:rPr>
          <w:rFonts w:hint="default" w:ascii="Times New Roman" w:hAnsi="Times New Roman" w:eastAsia="宋体" w:cs="Times New Roman"/>
          <w:sz w:val="21"/>
          <w:szCs w:val="21"/>
        </w:rPr>
        <w:t>51.01</w:t>
      </w:r>
      <w:r>
        <w:rPr>
          <w:rFonts w:hint="eastAsia" w:ascii="宋体" w:hAnsi="宋体" w:eastAsia="宋体" w:cs="宋体"/>
          <w:sz w:val="21"/>
          <w:szCs w:val="21"/>
        </w:rPr>
        <w:t>万元），合计</w:t>
      </w:r>
      <w:r>
        <w:rPr>
          <w:rFonts w:hint="default" w:ascii="Times New Roman" w:hAnsi="Times New Roman" w:eastAsia="宋体" w:cs="Times New Roman"/>
          <w:sz w:val="21"/>
          <w:szCs w:val="21"/>
        </w:rPr>
        <w:t>9,119.02</w:t>
      </w:r>
      <w:r>
        <w:rPr>
          <w:rFonts w:hint="eastAsia" w:ascii="宋体" w:hAnsi="宋体" w:eastAsia="宋体" w:cs="宋体"/>
          <w:sz w:val="21"/>
          <w:szCs w:val="21"/>
        </w:rPr>
        <w:t>元，均由本公司提供担保。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、为子公司长沙鑫航机轮刹车有限公司提供的担保</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16</w:t>
      </w:r>
      <w:r>
        <w:rPr>
          <w:rFonts w:hint="eastAsia" w:ascii="宋体" w:hAnsi="宋体" w:eastAsia="宋体" w:cs="宋体"/>
          <w:sz w:val="21"/>
          <w:szCs w:val="21"/>
        </w:rPr>
        <w:t>日，本公司与中国建设银行股份有限公司长沙河西支行签订了编号为</w:t>
      </w:r>
      <w:r>
        <w:rPr>
          <w:rFonts w:hint="default" w:ascii="Times New Roman" w:hAnsi="Times New Roman" w:eastAsia="宋体" w:cs="Times New Roman"/>
          <w:sz w:val="21"/>
          <w:szCs w:val="21"/>
        </w:rPr>
        <w:t>"HTC430783700ZGDB2023N008"</w:t>
      </w:r>
      <w:r>
        <w:rPr>
          <w:rFonts w:hint="eastAsia" w:ascii="宋体" w:hAnsi="宋体" w:eastAsia="宋体" w:cs="宋体"/>
          <w:sz w:val="21"/>
          <w:szCs w:val="21"/>
        </w:rPr>
        <w:t>最高额保证合同，为中国建设银行股份有限公司长沙河西支行向本公司子公司长沙鑫航机轮刹车有限公司提供的最高额度为</w:t>
      </w:r>
      <w:r>
        <w:rPr>
          <w:rFonts w:hint="default" w:ascii="Times New Roman" w:hAnsi="Times New Roman" w:eastAsia="宋体" w:cs="Times New Roman"/>
          <w:sz w:val="21"/>
          <w:szCs w:val="21"/>
        </w:rPr>
        <w:t>1,000</w:t>
      </w:r>
      <w:r>
        <w:rPr>
          <w:rFonts w:hint="eastAsia" w:ascii="宋体" w:hAnsi="宋体" w:eastAsia="宋体" w:cs="宋体"/>
          <w:sz w:val="21"/>
          <w:szCs w:val="21"/>
        </w:rPr>
        <w:t>万元人民币的授信提供连带责任保证，授信期间为</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16</w:t>
      </w:r>
      <w:r>
        <w:rPr>
          <w:rFonts w:hint="eastAsia" w:ascii="宋体" w:hAnsi="宋体" w:eastAsia="宋体" w:cs="宋体"/>
          <w:sz w:val="21"/>
          <w:szCs w:val="21"/>
        </w:rPr>
        <w:t>日至</w:t>
      </w:r>
      <w:r>
        <w:rPr>
          <w:rFonts w:hint="default" w:ascii="Times New Roman" w:hAnsi="Times New Roman" w:eastAsia="宋体" w:cs="Times New Roman"/>
          <w:sz w:val="21"/>
          <w:szCs w:val="21"/>
        </w:rPr>
        <w:t>2024</w:t>
      </w:r>
      <w:r>
        <w:rPr>
          <w:rFonts w:hint="eastAsia" w:ascii="宋体" w:hAnsi="宋体" w:eastAsia="宋体" w:cs="宋体"/>
          <w:sz w:val="21"/>
          <w:szCs w:val="21"/>
        </w:rPr>
        <w:t>年</w:t>
      </w:r>
      <w:r>
        <w:rPr>
          <w:rFonts w:hint="default" w:ascii="Times New Roman" w:hAnsi="Times New Roman" w:eastAsia="宋体" w:cs="Times New Roman"/>
          <w:sz w:val="21"/>
          <w:szCs w:val="21"/>
        </w:rPr>
        <w:t>3</w:t>
      </w:r>
      <w:r>
        <w:rPr>
          <w:rFonts w:hint="eastAsia" w:ascii="宋体" w:hAnsi="宋体" w:eastAsia="宋体" w:cs="宋体"/>
          <w:sz w:val="21"/>
          <w:szCs w:val="21"/>
        </w:rPr>
        <w:t>月</w:t>
      </w:r>
      <w:r>
        <w:rPr>
          <w:rFonts w:hint="default" w:ascii="Times New Roman" w:hAnsi="Times New Roman" w:eastAsia="宋体" w:cs="Times New Roman"/>
          <w:sz w:val="21"/>
          <w:szCs w:val="21"/>
        </w:rPr>
        <w:t>16</w:t>
      </w:r>
      <w:r>
        <w:rPr>
          <w:rFonts w:hint="eastAsia" w:ascii="宋体" w:hAnsi="宋体" w:eastAsia="宋体" w:cs="宋体"/>
          <w:sz w:val="21"/>
          <w:szCs w:val="21"/>
        </w:rPr>
        <w:t>日。</w:t>
      </w:r>
    </w:p>
    <w:p>
      <w:pPr>
        <w:pStyle w:val="2"/>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截至</w:t>
      </w:r>
      <w:r>
        <w:rPr>
          <w:rFonts w:hint="default" w:ascii="Times New Roman" w:hAnsi="Times New Roman" w:eastAsia="宋体" w:cs="Times New Roman"/>
          <w:sz w:val="21"/>
          <w:szCs w:val="21"/>
        </w:rPr>
        <w:t>2023</w:t>
      </w:r>
      <w:r>
        <w:rPr>
          <w:rFonts w:hint="eastAsia" w:ascii="宋体" w:hAnsi="宋体" w:eastAsia="宋体" w:cs="宋体"/>
          <w:sz w:val="21"/>
          <w:szCs w:val="21"/>
        </w:rPr>
        <w:t>年</w:t>
      </w:r>
      <w:r>
        <w:rPr>
          <w:rFonts w:hint="default" w:ascii="Times New Roman" w:hAnsi="Times New Roman" w:eastAsia="宋体" w:cs="Times New Roman"/>
          <w:sz w:val="21"/>
          <w:szCs w:val="21"/>
        </w:rPr>
        <w:t>6</w:t>
      </w:r>
      <w:r>
        <w:rPr>
          <w:rFonts w:hint="eastAsia" w:ascii="宋体" w:hAnsi="宋体" w:eastAsia="宋体" w:cs="宋体"/>
          <w:sz w:val="21"/>
          <w:szCs w:val="21"/>
        </w:rPr>
        <w:t>月</w:t>
      </w:r>
      <w:r>
        <w:rPr>
          <w:rFonts w:hint="default" w:ascii="Times New Roman" w:hAnsi="Times New Roman" w:eastAsia="宋体" w:cs="Times New Roman"/>
          <w:sz w:val="21"/>
          <w:szCs w:val="21"/>
        </w:rPr>
        <w:t>30</w:t>
      </w:r>
      <w:r>
        <w:rPr>
          <w:rFonts w:hint="eastAsia" w:ascii="宋体" w:hAnsi="宋体" w:eastAsia="宋体" w:cs="宋体"/>
          <w:sz w:val="21"/>
          <w:szCs w:val="21"/>
        </w:rPr>
        <w:t>日，本公司子公司长沙鑫航机轮刹车有限公司在该行借款短期借款余额为</w:t>
      </w:r>
      <w:r>
        <w:rPr>
          <w:rFonts w:hint="default" w:ascii="Times New Roman" w:hAnsi="Times New Roman" w:eastAsia="宋体" w:cs="Times New Roman"/>
          <w:sz w:val="21"/>
          <w:szCs w:val="21"/>
        </w:rPr>
        <w:t>0</w:t>
      </w:r>
      <w:r>
        <w:rPr>
          <w:rFonts w:hint="eastAsia" w:ascii="宋体" w:hAnsi="宋体" w:eastAsia="宋体" w:cs="宋体"/>
          <w:sz w:val="21"/>
          <w:szCs w:val="21"/>
        </w:rPr>
        <w:t>元。</w:t>
      </w:r>
    </w:p>
    <w:p>
      <w:pPr>
        <w:keepNext/>
        <w:keepLines/>
        <w:spacing w:before="300" w:after="300" w:line="320" w:lineRule="exact"/>
        <w:jc w:val="left"/>
        <w:outlineLvl w:val="1"/>
        <w:rPr>
          <w:rFonts w:ascii="宋体" w:hAnsi="宋体" w:eastAsia="宋体" w:cs="宋体"/>
          <w:b/>
          <w:bCs/>
          <w:sz w:val="24"/>
          <w:szCs w:val="24"/>
        </w:rPr>
      </w:pPr>
      <w:bookmarkStart w:id="331" w:name="_Toc989220"/>
      <w:r>
        <w:rPr>
          <w:rFonts w:ascii="宋体" w:hAnsi="宋体" w:eastAsia="宋体" w:cs="宋体"/>
          <w:b/>
          <w:bCs/>
          <w:sz w:val="24"/>
          <w:szCs w:val="24"/>
        </w:rPr>
        <w:t>十七、母公司财务报表主要项目注释</w:t>
      </w:r>
      <w:bookmarkEnd w:id="331"/>
    </w:p>
    <w:p>
      <w:pPr>
        <w:keepNext/>
        <w:keepLines/>
        <w:spacing w:before="300" w:after="300" w:line="280" w:lineRule="exact"/>
        <w:jc w:val="left"/>
        <w:outlineLvl w:val="2"/>
        <w:rPr>
          <w:rFonts w:ascii="宋体" w:hAnsi="宋体" w:eastAsia="宋体" w:cs="宋体"/>
          <w:b/>
          <w:bCs/>
          <w:sz w:val="21"/>
          <w:szCs w:val="21"/>
        </w:rPr>
      </w:pPr>
      <w:bookmarkStart w:id="332" w:name="_Toc989221"/>
      <w:r>
        <w:rPr>
          <w:rFonts w:ascii="宋体" w:hAnsi="宋体" w:eastAsia="宋体" w:cs="宋体"/>
          <w:b/>
          <w:bCs/>
          <w:sz w:val="21"/>
          <w:szCs w:val="21"/>
        </w:rPr>
        <w:t>1、应收账款</w:t>
      </w:r>
      <w:bookmarkEnd w:id="332"/>
    </w:p>
    <w:p>
      <w:pPr>
        <w:keepNext/>
        <w:keepLines/>
        <w:spacing w:before="300" w:after="300" w:line="280" w:lineRule="exact"/>
        <w:jc w:val="left"/>
        <w:outlineLvl w:val="3"/>
        <w:rPr>
          <w:rFonts w:ascii="宋体" w:hAnsi="宋体" w:eastAsia="宋体" w:cs="宋体"/>
          <w:b/>
          <w:bCs/>
          <w:sz w:val="21"/>
          <w:szCs w:val="21"/>
        </w:rPr>
      </w:pPr>
      <w:bookmarkStart w:id="333" w:name="_Toc989222"/>
      <w:r>
        <w:rPr>
          <w:rFonts w:ascii="宋体" w:hAnsi="宋体" w:eastAsia="宋体" w:cs="宋体"/>
          <w:b/>
          <w:bCs/>
          <w:sz w:val="21"/>
          <w:szCs w:val="21"/>
        </w:rPr>
        <w:t>（1） 应收账款分类披露</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45,803,089.70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45,803,089.70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250,496,771.44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84.54%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26,514,104.73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223,982,666.71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197,550,279.81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26,017,358.54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296,299,861.14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72,317,194.43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223,982,666.71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243,354,366.01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71,821,444.74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171,532,921.27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按单项计提坏账准备：45,803,089.70元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30,286,497.70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30,286,497.70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45,803,089.70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45,803,089.70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按组合计提坏账准备：26,514,104.73 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144,967,088.51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7,248,354.42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46,566,979.57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4,656,697.96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50,089,558.72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10,017,911.74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4,272,081.04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1,281,624.31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2,583,094.60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1,291,547.30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2,017,969.00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2,017,969.00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250,496,771.44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26,514,104.73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144,967,088.51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46,566,979.57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50,089,558.72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54,676,234.34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4,272,081.04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2,583,094.60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47,821,058.70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296,299,861.14</w:t>
            </w:r>
          </w:p>
        </w:tc>
      </w:tr>
    </w:tbl>
    <w:p>
      <w:pPr>
        <w:keepNext/>
        <w:keepLines/>
        <w:spacing w:before="300" w:after="300" w:line="280" w:lineRule="exact"/>
        <w:jc w:val="left"/>
        <w:outlineLvl w:val="3"/>
        <w:rPr>
          <w:rFonts w:ascii="宋体" w:hAnsi="宋体" w:eastAsia="宋体" w:cs="宋体"/>
          <w:b/>
          <w:bCs/>
          <w:sz w:val="21"/>
          <w:szCs w:val="21"/>
        </w:rPr>
      </w:pPr>
      <w:bookmarkStart w:id="334" w:name="_Toc989223"/>
      <w:r>
        <w:rPr>
          <w:rFonts w:ascii="宋体" w:hAnsi="宋体" w:eastAsia="宋体" w:cs="宋体"/>
          <w:b/>
          <w:bCs/>
          <w:sz w:val="21"/>
          <w:szCs w:val="21"/>
        </w:rPr>
        <w:t>（2） 本期计提、收回或转回的坏账准备情况</w:t>
      </w:r>
      <w:bookmarkEnd w:id="334"/>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45,804,086.20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45,803,089.70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26,017,358.54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496,746.19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26,514,104.73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71,821,444.74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496,746.19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72,317,194.43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335" w:name="_Toc989224"/>
      <w:r>
        <w:rPr>
          <w:rFonts w:ascii="宋体" w:hAnsi="宋体" w:eastAsia="宋体" w:cs="宋体"/>
          <w:b/>
          <w:bCs/>
          <w:sz w:val="21"/>
          <w:szCs w:val="21"/>
        </w:rPr>
        <w:t>（3） 本期实际核销的应收账款情况</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336" w:name="_Toc989225"/>
      <w:r>
        <w:rPr>
          <w:rFonts w:ascii="宋体" w:hAnsi="宋体" w:eastAsia="宋体" w:cs="宋体"/>
          <w:b/>
          <w:bCs/>
          <w:sz w:val="21"/>
          <w:szCs w:val="21"/>
        </w:rPr>
        <w:t>（4） 按欠款方归集的期末余额前五名的应收账款情况</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bl>
    <w:p>
      <w:pPr>
        <w:keepNext/>
        <w:keepLines/>
        <w:spacing w:before="300" w:after="300" w:line="280" w:lineRule="exact"/>
        <w:jc w:val="left"/>
        <w:outlineLvl w:val="3"/>
        <w:rPr>
          <w:rFonts w:ascii="宋体" w:hAnsi="宋体" w:eastAsia="宋体" w:cs="宋体"/>
          <w:b/>
          <w:bCs/>
          <w:sz w:val="21"/>
          <w:szCs w:val="21"/>
        </w:rPr>
      </w:pPr>
      <w:bookmarkStart w:id="337" w:name="_Toc989226"/>
      <w:r>
        <w:rPr>
          <w:rFonts w:ascii="宋体" w:hAnsi="宋体" w:eastAsia="宋体" w:cs="宋体"/>
          <w:b/>
          <w:bCs/>
          <w:sz w:val="21"/>
          <w:szCs w:val="21"/>
        </w:rPr>
        <w:t>（5） 因金融资产转移而终止确认的应收账款</w:t>
      </w:r>
      <w:bookmarkEnd w:id="337"/>
    </w:p>
    <w:p>
      <w:pPr>
        <w:pStyle w:val="2"/>
        <w:keepNext w:val="0"/>
        <w:keepLines w:val="0"/>
        <w:widowControl/>
        <w:suppressLineNumbers w:val="0"/>
        <w:spacing w:before="300" w:beforeAutospacing="0" w:after="300" w:afterAutospacing="0" w:line="280" w:lineRule="atLeast"/>
        <w:ind w:left="0" w:right="0"/>
        <w:jc w:val="left"/>
        <w:rPr>
          <w:rFonts w:hint="default" w:ascii="Times New Roman" w:hAnsi="Times New Roman" w:cs="Times New Roman"/>
          <w:sz w:val="21"/>
          <w:szCs w:val="21"/>
        </w:rPr>
      </w:pPr>
      <w:r>
        <w:rPr>
          <w:rStyle w:val="5"/>
          <w:rFonts w:hint="eastAsia" w:ascii="宋体" w:hAnsi="宋体" w:eastAsia="宋体" w:cs="宋体"/>
          <w:b/>
          <w:bCs/>
          <w:sz w:val="21"/>
          <w:szCs w:val="21"/>
        </w:rPr>
        <w:t>（5） 转移应收账款且继续涉入形成的资产、负债金额</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21"/>
          <w:szCs w:val="21"/>
        </w:rPr>
        <w:t>期末应收账款余额前五名合计227,675,566.19元，占应收账款余额的比例为76.84%，计提坏账准备金额24,134,364.24元。</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sz w:val="24"/>
          <w:szCs w:val="24"/>
        </w:rPr>
        <w:t> </w:t>
      </w:r>
    </w:p>
    <w:p>
      <w:pPr>
        <w:keepNext/>
        <w:keepLines/>
        <w:spacing w:before="300" w:after="300" w:line="280" w:lineRule="exact"/>
        <w:jc w:val="left"/>
        <w:outlineLvl w:val="3"/>
        <w:rPr>
          <w:rFonts w:ascii="宋体" w:hAnsi="宋体" w:eastAsia="宋体" w:cs="宋体"/>
          <w:b/>
          <w:bCs/>
          <w:sz w:val="21"/>
          <w:szCs w:val="21"/>
        </w:rPr>
      </w:pPr>
      <w:bookmarkStart w:id="338" w:name="_Toc989227"/>
      <w:r>
        <w:rPr>
          <w:rFonts w:ascii="宋体" w:hAnsi="宋体" w:eastAsia="宋体" w:cs="宋体"/>
          <w:b/>
          <w:bCs/>
          <w:sz w:val="21"/>
          <w:szCs w:val="21"/>
        </w:rPr>
        <w:t>（6） 转移应收账款且继续涉入形成的资产、负债金额</w:t>
      </w:r>
      <w:bookmarkEnd w:id="338"/>
    </w:p>
    <w:p>
      <w:pPr>
        <w:pStyle w:val="2"/>
        <w:keepNext w:val="0"/>
        <w:keepLines w:val="0"/>
        <w:widowControl/>
        <w:suppressLineNumbers w:val="0"/>
      </w:pPr>
      <w:r>
        <w:rPr>
          <w:rFonts w:hint="eastAsia" w:ascii="宋体" w:hAnsi="宋体" w:eastAsia="宋体" w:cs="宋体"/>
          <w:sz w:val="21"/>
          <w:szCs w:val="21"/>
        </w:rPr>
        <w:t>期末无转移应收账款且继续涉入形成的资产、负债金额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39" w:name="_Toc989228"/>
      <w:r>
        <w:rPr>
          <w:rFonts w:ascii="宋体" w:hAnsi="宋体" w:eastAsia="宋体" w:cs="宋体"/>
          <w:b/>
          <w:bCs/>
          <w:sz w:val="21"/>
          <w:szCs w:val="21"/>
        </w:rPr>
        <w:t>2、其他应收款</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508,176.73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508,176.73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185,313.38</w:t>
            </w:r>
          </w:p>
        </w:tc>
      </w:tr>
    </w:tbl>
    <w:p>
      <w:pPr>
        <w:keepNext/>
        <w:keepLines/>
        <w:spacing w:before="300" w:after="300" w:line="280" w:lineRule="exact"/>
        <w:jc w:val="left"/>
        <w:outlineLvl w:val="3"/>
        <w:rPr>
          <w:rFonts w:ascii="宋体" w:hAnsi="宋体" w:eastAsia="宋体" w:cs="宋体"/>
          <w:b/>
          <w:bCs/>
          <w:sz w:val="18"/>
          <w:szCs w:val="18"/>
        </w:rPr>
      </w:pPr>
      <w:bookmarkStart w:id="340" w:name="_Toc989229"/>
      <w:r>
        <w:rPr>
          <w:rFonts w:ascii="宋体" w:hAnsi="宋体" w:eastAsia="宋体" w:cs="宋体"/>
          <w:b/>
          <w:bCs/>
          <w:sz w:val="18"/>
          <w:szCs w:val="18"/>
        </w:rPr>
        <w:t>（1） 其他应收款</w:t>
      </w:r>
      <w:bookmarkEnd w:id="340"/>
    </w:p>
    <w:p>
      <w:pPr>
        <w:keepNext/>
        <w:keepLines/>
        <w:spacing w:before="300" w:after="300" w:line="280" w:lineRule="exact"/>
        <w:jc w:val="left"/>
        <w:outlineLvl w:val="4"/>
        <w:rPr>
          <w:rFonts w:ascii="宋体" w:hAnsi="宋体" w:eastAsia="宋体" w:cs="宋体"/>
          <w:b/>
          <w:bCs/>
          <w:sz w:val="18"/>
          <w:szCs w:val="18"/>
        </w:rPr>
      </w:pPr>
      <w:bookmarkStart w:id="341" w:name="_Toc989230"/>
      <w:r>
        <w:rPr>
          <w:rFonts w:ascii="宋体" w:hAnsi="宋体" w:eastAsia="宋体" w:cs="宋体"/>
          <w:b/>
          <w:bCs/>
          <w:sz w:val="18"/>
          <w:szCs w:val="18"/>
        </w:rPr>
        <w:t>1） 其他应收款按款项性质分类情况</w:t>
      </w:r>
      <w:bookmarkEnd w:id="3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2,177,890.87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2,153,386.97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434,438.67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91,078.82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2,612,329.54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2,244,465.79</w:t>
            </w:r>
          </w:p>
        </w:tc>
      </w:tr>
    </w:tbl>
    <w:p>
      <w:pPr>
        <w:keepNext/>
        <w:keepLines/>
        <w:spacing w:before="300" w:after="300" w:line="280" w:lineRule="exact"/>
        <w:jc w:val="left"/>
        <w:outlineLvl w:val="4"/>
        <w:rPr>
          <w:rFonts w:ascii="宋体" w:hAnsi="宋体" w:eastAsia="宋体" w:cs="宋体"/>
          <w:b/>
          <w:bCs/>
          <w:sz w:val="18"/>
          <w:szCs w:val="18"/>
        </w:rPr>
      </w:pPr>
      <w:bookmarkStart w:id="342" w:name="_Toc989231"/>
      <w:r>
        <w:rPr>
          <w:rFonts w:ascii="宋体" w:hAnsi="宋体" w:eastAsia="宋体" w:cs="宋体"/>
          <w:b/>
          <w:bCs/>
          <w:sz w:val="18"/>
          <w:szCs w:val="18"/>
        </w:rPr>
        <w:t>2） 坏账准备计提情况</w:t>
      </w:r>
      <w:bookmarkEnd w:id="3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65,681.42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2,059,152.41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2023年6月30日余额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110,681.82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2,104,152.81</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396,560.58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92,349.30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2,086,013.65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2,049,203.65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2,612,329.54</w:t>
            </w:r>
          </w:p>
        </w:tc>
      </w:tr>
    </w:tbl>
    <w:p>
      <w:pPr>
        <w:keepNext/>
        <w:keepLines/>
        <w:spacing w:before="300" w:after="300" w:line="280" w:lineRule="exact"/>
        <w:jc w:val="left"/>
        <w:outlineLvl w:val="4"/>
        <w:rPr>
          <w:rFonts w:ascii="宋体" w:hAnsi="宋体" w:eastAsia="宋体" w:cs="宋体"/>
          <w:b/>
          <w:bCs/>
          <w:sz w:val="18"/>
          <w:szCs w:val="18"/>
        </w:rPr>
      </w:pPr>
      <w:bookmarkStart w:id="343" w:name="_Toc989232"/>
      <w:r>
        <w:rPr>
          <w:rFonts w:ascii="宋体" w:hAnsi="宋体" w:eastAsia="宋体" w:cs="宋体"/>
          <w:b/>
          <w:bCs/>
          <w:sz w:val="18"/>
          <w:szCs w:val="18"/>
        </w:rPr>
        <w:t>3） 本期计提、收回或转回的坏账准备情况</w:t>
      </w:r>
      <w:bookmarkEnd w:id="343"/>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1,382,217.82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1,427,218.22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2,059,152.41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2,104,152.81</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344" w:name="_Toc989233"/>
      <w:r>
        <w:rPr>
          <w:rFonts w:ascii="宋体" w:hAnsi="宋体" w:eastAsia="宋体" w:cs="宋体"/>
          <w:b/>
          <w:bCs/>
          <w:sz w:val="18"/>
          <w:szCs w:val="18"/>
        </w:rPr>
        <w:t>4） 本期实际核销的其他应收款情况</w:t>
      </w:r>
      <w:bookmarkEnd w:id="3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345" w:name="_Toc989234"/>
      <w:r>
        <w:rPr>
          <w:rFonts w:ascii="宋体" w:hAnsi="宋体" w:eastAsia="宋体" w:cs="宋体"/>
          <w:b/>
          <w:bCs/>
          <w:sz w:val="18"/>
          <w:szCs w:val="18"/>
        </w:rPr>
        <w:t>5） 按欠款方归集的期末余额前五名的其他应收款情况</w:t>
      </w:r>
      <w:bookmarkEnd w:id="3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湖南博科瑞新材料有限责任公司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109,606.51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8,559.49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广东真空设备厂股份有限公司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1,909,991.91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1,808,944.89</w:t>
            </w:r>
          </w:p>
        </w:tc>
      </w:tr>
    </w:tbl>
    <w:p>
      <w:pPr>
        <w:keepNext/>
        <w:keepLines/>
        <w:spacing w:before="300" w:after="300" w:line="280" w:lineRule="exact"/>
        <w:jc w:val="left"/>
        <w:outlineLvl w:val="2"/>
        <w:rPr>
          <w:rFonts w:ascii="宋体" w:hAnsi="宋体" w:eastAsia="宋体" w:cs="宋体"/>
          <w:b/>
          <w:bCs/>
          <w:sz w:val="21"/>
          <w:szCs w:val="21"/>
        </w:rPr>
      </w:pPr>
      <w:bookmarkStart w:id="346" w:name="_Toc989235"/>
      <w:r>
        <w:rPr>
          <w:rFonts w:ascii="宋体" w:hAnsi="宋体" w:eastAsia="宋体" w:cs="宋体"/>
          <w:b/>
          <w:bCs/>
          <w:sz w:val="21"/>
          <w:szCs w:val="21"/>
        </w:rPr>
        <w:t>3、长期股权投资</w:t>
      </w:r>
      <w:bookmarkEnd w:id="3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1,379,604,623.80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1,228,356,427.42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1,389,220,527.58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1,237,972,331.20</w:t>
            </w:r>
          </w:p>
        </w:tc>
      </w:tr>
    </w:tbl>
    <w:p>
      <w:pPr>
        <w:keepNext/>
        <w:keepLines/>
        <w:spacing w:before="300" w:after="300" w:line="280" w:lineRule="exact"/>
        <w:jc w:val="left"/>
        <w:outlineLvl w:val="3"/>
        <w:rPr>
          <w:rFonts w:ascii="宋体" w:hAnsi="宋体" w:eastAsia="宋体" w:cs="宋体"/>
          <w:b/>
          <w:bCs/>
          <w:sz w:val="21"/>
          <w:szCs w:val="21"/>
        </w:rPr>
      </w:pPr>
      <w:bookmarkStart w:id="347" w:name="_Toc989236"/>
      <w:r>
        <w:rPr>
          <w:rFonts w:ascii="宋体" w:hAnsi="宋体" w:eastAsia="宋体" w:cs="宋体"/>
          <w:b/>
          <w:bCs/>
          <w:sz w:val="21"/>
          <w:szCs w:val="21"/>
        </w:rPr>
        <w:t>（1） 对子公司投资</w:t>
      </w:r>
      <w:bookmarkEnd w:id="3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spacing w:before="300" w:after="300" w:line="280" w:lineRule="exact"/>
        <w:jc w:val="left"/>
        <w:outlineLvl w:val="3"/>
        <w:rPr>
          <w:rFonts w:ascii="宋体" w:hAnsi="宋体" w:eastAsia="宋体" w:cs="宋体"/>
          <w:b/>
          <w:bCs/>
          <w:sz w:val="21"/>
          <w:szCs w:val="21"/>
        </w:rPr>
      </w:pPr>
      <w:bookmarkStart w:id="348" w:name="_Toc989237"/>
      <w:r>
        <w:rPr>
          <w:rFonts w:ascii="宋体" w:hAnsi="宋体" w:eastAsia="宋体" w:cs="宋体"/>
          <w:b/>
          <w:bCs/>
          <w:sz w:val="21"/>
          <w:szCs w:val="21"/>
        </w:rPr>
        <w:t>（2） 对联营、合营企业投资</w:t>
      </w:r>
      <w:bookmarkEnd w:id="3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小计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23,587,921.43</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49" w:name="_Toc989238"/>
      <w:r>
        <w:rPr>
          <w:rFonts w:ascii="宋体" w:hAnsi="宋体" w:eastAsia="宋体" w:cs="宋体"/>
          <w:b/>
          <w:bCs/>
          <w:sz w:val="21"/>
          <w:szCs w:val="21"/>
        </w:rPr>
        <w:t>（3） 其他说明</w:t>
      </w:r>
      <w:bookmarkEnd w:id="349"/>
    </w:p>
    <w:p>
      <w:pPr>
        <w:keepNext/>
        <w:keepLines/>
        <w:spacing w:before="300" w:after="300" w:line="280" w:lineRule="exact"/>
        <w:jc w:val="left"/>
        <w:outlineLvl w:val="2"/>
        <w:rPr>
          <w:rFonts w:ascii="宋体" w:hAnsi="宋体" w:eastAsia="宋体" w:cs="宋体"/>
          <w:b/>
          <w:bCs/>
          <w:sz w:val="21"/>
          <w:szCs w:val="21"/>
        </w:rPr>
      </w:pPr>
      <w:bookmarkStart w:id="350" w:name="_Toc989239"/>
      <w:r>
        <w:rPr>
          <w:rFonts w:ascii="宋体" w:hAnsi="宋体" w:eastAsia="宋体" w:cs="宋体"/>
          <w:b/>
          <w:bCs/>
          <w:sz w:val="21"/>
          <w:szCs w:val="21"/>
        </w:rPr>
        <w:t>4、营业收入和营业成本</w:t>
      </w:r>
      <w:bookmarkEnd w:id="3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46,845,913.72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83,156,270.45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44,651,229.59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2,224,963.78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549,136.25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3,730,435.29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483,806.39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87,655,631.90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47,395,049.97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86,886,705.74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45,135,035.98</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cs="宋体"/>
                <w:sz w:val="18"/>
                <w:szCs w:val="18"/>
                <w:lang w:eastAsia="zh-CN"/>
              </w:rPr>
              <w:t>碳</w:t>
            </w:r>
            <w:r>
              <w:rPr>
                <w:rFonts w:hint="eastAsia" w:ascii="宋体" w:hAnsi="宋体" w:cs="宋体"/>
                <w:sz w:val="18"/>
                <w:szCs w:val="18"/>
                <w:lang w:val="en-US" w:eastAsia="zh-CN"/>
              </w:rPr>
              <w:t>/碳</w:t>
            </w:r>
            <w:r>
              <w:rPr>
                <w:rFonts w:ascii="宋体" w:hAnsi="宋体" w:eastAsia="宋体" w:cs="宋体"/>
                <w:sz w:val="18"/>
                <w:szCs w:val="18"/>
              </w:rPr>
              <w:t>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81,968,975.56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81,968,975.56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3,461,692.56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3,461,692.56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w:t>
            </w:r>
            <w:r>
              <w:rPr>
                <w:rFonts w:hint="eastAsia" w:ascii="宋体" w:hAnsi="宋体" w:cs="宋体"/>
                <w:sz w:val="18"/>
                <w:szCs w:val="18"/>
                <w:lang w:eastAsia="zh-CN"/>
              </w:rPr>
              <w:t>碳</w:t>
            </w:r>
            <w:r>
              <w:rPr>
                <w:rFonts w:hint="eastAsia" w:ascii="宋体" w:hAnsi="宋体" w:cs="宋体"/>
                <w:sz w:val="18"/>
                <w:szCs w:val="18"/>
                <w:lang w:val="en-US" w:eastAsia="zh-CN"/>
              </w:rPr>
              <w:t>/碳</w:t>
            </w:r>
            <w:r>
              <w:rPr>
                <w:rFonts w:ascii="宋体" w:hAnsi="宋体" w:eastAsia="宋体" w:cs="宋体"/>
                <w:sz w:val="18"/>
                <w:szCs w:val="18"/>
              </w:rPr>
              <w:t>复合材料</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85,430,668.12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195,103,069.00元，其中，128,533,506.00元预计将于2023年度确认收入，66,569,563.00元预计将于2024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1" w:name="_Toc989240"/>
      <w:r>
        <w:rPr>
          <w:rFonts w:ascii="宋体" w:hAnsi="宋体" w:eastAsia="宋体" w:cs="宋体"/>
          <w:b/>
          <w:bCs/>
          <w:sz w:val="21"/>
          <w:szCs w:val="21"/>
        </w:rPr>
        <w:t>5、投资收益</w:t>
      </w:r>
      <w:bookmarkEnd w:id="3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-9,615,903.78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-11,856,775.01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1,334,048.73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-7,935,206.78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-10,522,726.28</w:t>
            </w:r>
          </w:p>
        </w:tc>
      </w:tr>
    </w:tbl>
    <w:p>
      <w:pPr>
        <w:keepNext/>
        <w:keepLines/>
        <w:spacing w:before="300" w:after="300" w:line="320" w:lineRule="exact"/>
        <w:jc w:val="left"/>
        <w:outlineLvl w:val="1"/>
        <w:rPr>
          <w:rFonts w:ascii="宋体" w:hAnsi="宋体" w:eastAsia="宋体" w:cs="宋体"/>
          <w:b/>
          <w:bCs/>
          <w:sz w:val="24"/>
          <w:szCs w:val="24"/>
        </w:rPr>
      </w:pPr>
      <w:bookmarkStart w:id="352" w:name="_Toc989241"/>
      <w:r>
        <w:rPr>
          <w:rFonts w:ascii="宋体" w:hAnsi="宋体" w:eastAsia="宋体" w:cs="宋体"/>
          <w:b/>
          <w:bCs/>
          <w:sz w:val="24"/>
          <w:szCs w:val="24"/>
        </w:rPr>
        <w:t>十八、补充资料</w:t>
      </w:r>
      <w:bookmarkEnd w:id="352"/>
    </w:p>
    <w:p>
      <w:pPr>
        <w:keepNext/>
        <w:keepLines/>
        <w:spacing w:before="300" w:after="300" w:line="280" w:lineRule="exact"/>
        <w:jc w:val="left"/>
        <w:outlineLvl w:val="2"/>
        <w:rPr>
          <w:rFonts w:ascii="宋体" w:hAnsi="宋体" w:eastAsia="宋体" w:cs="宋体"/>
          <w:b/>
          <w:bCs/>
          <w:sz w:val="21"/>
          <w:szCs w:val="21"/>
        </w:rPr>
      </w:pPr>
      <w:bookmarkStart w:id="353" w:name="_Toc989242"/>
      <w:r>
        <w:rPr>
          <w:rFonts w:ascii="宋体" w:hAnsi="宋体" w:eastAsia="宋体" w:cs="宋体"/>
          <w:b/>
          <w:bCs/>
          <w:sz w:val="21"/>
          <w:szCs w:val="21"/>
        </w:rPr>
        <w:t>1、当期非经常性损益明细表</w:t>
      </w:r>
      <w:bookmarkEnd w:id="35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1,384,636.05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5,962,745.00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企业取得子公司、联营企业及合营企业的投资成本小于取得投资时应享有被投资单位可辨认净资产公允价值产生的收益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10,996.50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195,995.35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899,633.54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22,633.50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8,312,802.86</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54" w:name="_Toc989243"/>
      <w:r>
        <w:rPr>
          <w:rFonts w:ascii="宋体" w:hAnsi="宋体" w:eastAsia="宋体" w:cs="宋体"/>
          <w:b/>
          <w:bCs/>
          <w:sz w:val="21"/>
          <w:szCs w:val="21"/>
        </w:rPr>
        <w:t>2、净资产收益率及每股收益</w:t>
      </w:r>
      <w:bookmarkEnd w:id="35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0.0032</w:t>
            </w:r>
          </w:p>
        </w:tc>
      </w:tr>
    </w:tbl>
    <w:p>
      <w:pPr>
        <w:keepNext/>
        <w:keepLines/>
        <w:spacing w:before="300" w:after="300" w:line="280" w:lineRule="exact"/>
        <w:jc w:val="left"/>
        <w:outlineLvl w:val="2"/>
        <w:rPr>
          <w:rFonts w:ascii="宋体" w:hAnsi="宋体" w:eastAsia="宋体" w:cs="宋体"/>
          <w:b/>
          <w:bCs/>
          <w:sz w:val="21"/>
          <w:szCs w:val="21"/>
        </w:rPr>
      </w:pPr>
      <w:bookmarkStart w:id="355" w:name="_Toc989244"/>
      <w:r>
        <w:rPr>
          <w:rFonts w:ascii="宋体" w:hAnsi="宋体" w:eastAsia="宋体" w:cs="宋体"/>
          <w:b/>
          <w:bCs/>
          <w:sz w:val="21"/>
          <w:szCs w:val="21"/>
        </w:rPr>
        <w:t>3、境内外会计准则下会计数据差异</w:t>
      </w:r>
      <w:bookmarkEnd w:id="355"/>
    </w:p>
    <w:p>
      <w:pPr>
        <w:keepNext/>
        <w:keepLines/>
        <w:spacing w:before="300" w:after="300" w:line="280" w:lineRule="exact"/>
        <w:jc w:val="left"/>
        <w:outlineLvl w:val="3"/>
        <w:rPr>
          <w:rFonts w:ascii="宋体" w:hAnsi="宋体" w:eastAsia="宋体" w:cs="宋体"/>
          <w:b/>
          <w:bCs/>
          <w:sz w:val="21"/>
          <w:szCs w:val="21"/>
        </w:rPr>
      </w:pPr>
      <w:bookmarkStart w:id="356" w:name="_Toc989245"/>
      <w:r>
        <w:rPr>
          <w:rFonts w:ascii="宋体" w:hAnsi="宋体" w:eastAsia="宋体" w:cs="宋体"/>
          <w:b/>
          <w:bCs/>
          <w:sz w:val="21"/>
          <w:szCs w:val="21"/>
        </w:rPr>
        <w:t>（1） 同时按照国际会计准则与按中国会计准则披露的财务报告中净利润和净资产差异情况</w:t>
      </w:r>
      <w:bookmarkEnd w:id="356"/>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7" w:name="_Toc989246"/>
      <w:r>
        <w:rPr>
          <w:rFonts w:ascii="宋体" w:hAnsi="宋体" w:eastAsia="宋体" w:cs="宋体"/>
          <w:b/>
          <w:bCs/>
          <w:sz w:val="21"/>
          <w:szCs w:val="21"/>
        </w:rPr>
        <w:t>（2） 同时按照境外会计准则与按中国会计准则披露的财务报告中净利润和净资产差异情况</w:t>
      </w:r>
      <w:bookmarkEnd w:id="357"/>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8" w:name="_Toc989247"/>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358"/>
    </w:p>
    <w:p>
      <w:pPr>
        <w:keepNext/>
        <w:keepLines/>
        <w:spacing w:before="300" w:after="300" w:line="280" w:lineRule="exact"/>
        <w:jc w:val="left"/>
        <w:outlineLvl w:val="2"/>
        <w:rPr>
          <w:rFonts w:ascii="宋体" w:hAnsi="宋体" w:eastAsia="宋体" w:cs="宋体"/>
          <w:b/>
          <w:bCs/>
          <w:sz w:val="21"/>
          <w:szCs w:val="21"/>
        </w:rPr>
      </w:pPr>
      <w:bookmarkStart w:id="359" w:name="_Toc989248"/>
      <w:r>
        <w:rPr>
          <w:rFonts w:ascii="宋体" w:hAnsi="宋体" w:eastAsia="宋体" w:cs="宋体"/>
          <w:b/>
          <w:bCs/>
          <w:sz w:val="21"/>
          <w:szCs w:val="21"/>
        </w:rPr>
        <w:t>4、其他</w:t>
      </w:r>
      <w:bookmarkEnd w:id="359"/>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湖南博云新材料股份有限公司2023年半年度报告全文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YzlhZDM3OWM2NmRhMzBiMDYxYjgzYzJiMWE5MTRlNzAifQ=="/>
  </w:docVars>
  <w:rsids>
    <w:rsidRoot w:val="00000000"/>
    <w:rsid w:val="004E79F1"/>
    <w:rsid w:val="037759DB"/>
    <w:rsid w:val="06053772"/>
    <w:rsid w:val="09EB5C01"/>
    <w:rsid w:val="0D565B6A"/>
    <w:rsid w:val="12943ED3"/>
    <w:rsid w:val="14993314"/>
    <w:rsid w:val="16AD779F"/>
    <w:rsid w:val="18226406"/>
    <w:rsid w:val="1AC83294"/>
    <w:rsid w:val="1AE14356"/>
    <w:rsid w:val="1B352BD4"/>
    <w:rsid w:val="2375424F"/>
    <w:rsid w:val="23A10B26"/>
    <w:rsid w:val="255676EF"/>
    <w:rsid w:val="2610121F"/>
    <w:rsid w:val="27AB35FE"/>
    <w:rsid w:val="2A566E5D"/>
    <w:rsid w:val="2FA30E96"/>
    <w:rsid w:val="33B6112B"/>
    <w:rsid w:val="347F371A"/>
    <w:rsid w:val="365017A6"/>
    <w:rsid w:val="377D2199"/>
    <w:rsid w:val="400B0528"/>
    <w:rsid w:val="41CF54EA"/>
    <w:rsid w:val="43E2179D"/>
    <w:rsid w:val="47975C19"/>
    <w:rsid w:val="47A40703"/>
    <w:rsid w:val="4E6B74B7"/>
    <w:rsid w:val="52887697"/>
    <w:rsid w:val="55557E10"/>
    <w:rsid w:val="5818420C"/>
    <w:rsid w:val="598C2416"/>
    <w:rsid w:val="5AC30FFB"/>
    <w:rsid w:val="5FE33352"/>
    <w:rsid w:val="619743F4"/>
    <w:rsid w:val="654B3E73"/>
    <w:rsid w:val="687C2723"/>
    <w:rsid w:val="69ED49EC"/>
    <w:rsid w:val="6EF3568D"/>
    <w:rsid w:val="73B75EF5"/>
    <w:rsid w:val="771E7F92"/>
    <w:rsid w:val="7CB80D26"/>
    <w:rsid w:val="7F966C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2023-08-17T08:08:00Z</dcterms:created>
  <dc:creator>Administrator</dc:creator>
  <cp:lastModifiedBy>张爱丽</cp:lastModifiedBy>
  <dcterms:modified xsi:type="dcterms:W3CDTF">2023-08-29T07:24:29Z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FF59FFB2E2804D5AB0AB409C8182B657</vt:lpwstr>
  </property>
</Properties>
</file>