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证券代码：002297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证券简称：博云新材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eastAsia="宋体" w:cs="宋体"/>
          <w:sz w:val="18"/>
          <w:szCs w:val="18"/>
          <w:lang w:val="en-US" w:eastAsia="zh-CN"/>
        </w:rPr>
        <w:t>2022-069</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湖南博云新材料股份有限公司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2022年第三季度报告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1.董事会、监事会及董事、监事、高级管理人员保证季度报告的真实、准确、完整，不存在虚假记载、误导性陈述或重大遗漏，并承担个别和连带的法律责任。</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3.第三季度报告是否经过审计</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r>
        <w:br w:type="page"/>
      </w:r>
    </w:p>
    <w:p>
      <w:pPr>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pPr>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134,112,968.34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427,393,973.81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1,353,973.48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18,238,897.34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-3,362,682.21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4,971,321.80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-37,894,423.99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2,680,867,292.73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2,074,883,435.54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0.96%</w:t>
            </w:r>
          </w:p>
        </w:tc>
      </w:tr>
    </w:tbl>
    <w:p>
      <w:pPr>
        <w:spacing w:before="100" w:after="100" w:line="0" w:lineRule="exact"/>
        <w:jc w:val="left"/>
      </w:pPr>
    </w:p>
    <w:p>
      <w:pPr>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042"/>
        <w:gridCol w:w="1875"/>
        <w:gridCol w:w="2100"/>
        <w:gridCol w:w="16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18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21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年初至报告期期末金额</w:t>
            </w:r>
          </w:p>
        </w:tc>
        <w:tc>
          <w:tcPr>
            <w:tcW w:w="16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18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c>
          <w:tcPr>
            <w:tcW w:w="16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18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5,330,759.21</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13,272,723.47</w:t>
            </w:r>
          </w:p>
        </w:tc>
        <w:tc>
          <w:tcPr>
            <w:tcW w:w="16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5" w:hRule="atLeast"/>
        </w:trPr>
        <w:tc>
          <w:tcPr>
            <w:tcW w:w="4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p>
            <w:pPr>
              <w:spacing w:before="0" w:after="0" w:line="240" w:lineRule="exact"/>
              <w:jc w:val="left"/>
              <w:rPr>
                <w:rFonts w:ascii="宋体" w:hAnsi="宋体" w:eastAsia="宋体" w:cs="宋体"/>
                <w:sz w:val="18"/>
                <w:szCs w:val="18"/>
              </w:rPr>
            </w:pPr>
          </w:p>
        </w:tc>
        <w:tc>
          <w:tcPr>
            <w:tcW w:w="18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16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w:t>
            </w:r>
          </w:p>
        </w:tc>
        <w:tc>
          <w:tcPr>
            <w:tcW w:w="18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-41,502.30</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-99,044.84</w:t>
            </w:r>
          </w:p>
        </w:tc>
        <w:tc>
          <w:tcPr>
            <w:tcW w:w="16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18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569,438.29</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1,409,987.73</w:t>
            </w:r>
          </w:p>
        </w:tc>
        <w:tc>
          <w:tcPr>
            <w:tcW w:w="16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18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3,162.94</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34,557.41</w:t>
            </w:r>
          </w:p>
        </w:tc>
        <w:tc>
          <w:tcPr>
            <w:tcW w:w="16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8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4,716,655.68</w:t>
            </w:r>
          </w:p>
        </w:tc>
        <w:tc>
          <w:tcPr>
            <w:tcW w:w="21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13,267,575.54</w:t>
            </w:r>
          </w:p>
        </w:tc>
        <w:tc>
          <w:tcPr>
            <w:tcW w:w="16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pPr>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1"/>
          <w:szCs w:val="21"/>
        </w:rPr>
      </w:pP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rPr>
        <w:t>    单位：元</w:t>
      </w:r>
    </w:p>
    <w:tbl>
      <w:tblPr>
        <w:tblStyle w:val="3"/>
        <w:tblW w:w="9847" w:type="dxa"/>
        <w:tblInd w:w="0" w:type="dxa"/>
        <w:shd w:val="clear" w:color="auto" w:fill="auto"/>
        <w:tblLayout w:type="autofit"/>
        <w:tblCellMar>
          <w:top w:w="15" w:type="dxa"/>
          <w:left w:w="15" w:type="dxa"/>
          <w:bottom w:w="15" w:type="dxa"/>
          <w:right w:w="15" w:type="dxa"/>
        </w:tblCellMar>
      </w:tblPr>
      <w:tblGrid>
        <w:gridCol w:w="645"/>
        <w:gridCol w:w="1376"/>
        <w:gridCol w:w="1361"/>
        <w:gridCol w:w="1663"/>
        <w:gridCol w:w="1560"/>
        <w:gridCol w:w="889"/>
        <w:gridCol w:w="2353"/>
      </w:tblGrid>
      <w:tr>
        <w:tblPrEx>
          <w:shd w:val="clear" w:color="auto" w:fill="auto"/>
          <w:tblCellMar>
            <w:top w:w="15" w:type="dxa"/>
            <w:left w:w="15" w:type="dxa"/>
            <w:bottom w:w="15" w:type="dxa"/>
            <w:right w:w="15" w:type="dxa"/>
          </w:tblCellMar>
        </w:tblPrEx>
        <w:trPr>
          <w:trHeight w:val="585" w:hRule="atLeast"/>
        </w:trPr>
        <w:tc>
          <w:tcPr>
            <w:tcW w:w="645" w:type="dxa"/>
            <w:tcBorders>
              <w:top w:val="single" w:color="auto" w:sz="8" w:space="0"/>
              <w:left w:val="single" w:color="auto" w:sz="8" w:space="0"/>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序号</w:t>
            </w:r>
          </w:p>
        </w:tc>
        <w:tc>
          <w:tcPr>
            <w:tcW w:w="1376" w:type="dxa"/>
            <w:tcBorders>
              <w:top w:val="single" w:color="auto" w:sz="8" w:space="0"/>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项目</w:t>
            </w:r>
          </w:p>
        </w:tc>
        <w:tc>
          <w:tcPr>
            <w:tcW w:w="1361" w:type="dxa"/>
            <w:tcBorders>
              <w:top w:val="single" w:color="auto" w:sz="8" w:space="0"/>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本报告期末</w:t>
            </w:r>
          </w:p>
        </w:tc>
        <w:tc>
          <w:tcPr>
            <w:tcW w:w="1663" w:type="dxa"/>
            <w:tcBorders>
              <w:top w:val="single" w:color="auto" w:sz="8" w:space="0"/>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期初</w:t>
            </w:r>
            <w:r>
              <w:rPr>
                <w:rFonts w:hint="default" w:ascii="Times New Roman" w:hAnsi="Times New Roman" w:cs="Times New Roman"/>
                <w:i w:val="0"/>
                <w:color w:val="000000"/>
                <w:sz w:val="18"/>
                <w:szCs w:val="18"/>
              </w:rPr>
              <w:t>/</w:t>
            </w:r>
            <w:r>
              <w:rPr>
                <w:rFonts w:hint="eastAsia" w:ascii="宋体" w:hAnsi="宋体" w:eastAsia="宋体" w:cs="宋体"/>
                <w:i w:val="0"/>
                <w:color w:val="000000"/>
                <w:sz w:val="18"/>
                <w:szCs w:val="18"/>
              </w:rPr>
              <w:t>上年同期</w:t>
            </w:r>
          </w:p>
        </w:tc>
        <w:tc>
          <w:tcPr>
            <w:tcW w:w="1560"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变动额</w:t>
            </w:r>
          </w:p>
        </w:tc>
        <w:tc>
          <w:tcPr>
            <w:tcW w:w="889"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变动率</w:t>
            </w:r>
          </w:p>
        </w:tc>
        <w:tc>
          <w:tcPr>
            <w:tcW w:w="2353" w:type="dxa"/>
            <w:tcBorders>
              <w:top w:val="single" w:color="auto" w:sz="8" w:space="0"/>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变动分析</w:t>
            </w:r>
          </w:p>
        </w:tc>
      </w:tr>
      <w:tr>
        <w:tblPrEx>
          <w:tblCellMar>
            <w:top w:w="15" w:type="dxa"/>
            <w:left w:w="15" w:type="dxa"/>
            <w:bottom w:w="15" w:type="dxa"/>
            <w:right w:w="15" w:type="dxa"/>
          </w:tblCellMar>
        </w:tblPrEx>
        <w:trPr>
          <w:trHeight w:val="46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交易性金融资产</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0.00</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215,983,345.52</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-215,983,345.52</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-100.00%</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主要为本期母公司博云新材和子公司伟徽新材理财产品到期赎回所致。</w:t>
            </w:r>
          </w:p>
        </w:tc>
      </w:tr>
      <w:tr>
        <w:tblPrEx>
          <w:tblCellMar>
            <w:top w:w="15" w:type="dxa"/>
            <w:left w:w="15" w:type="dxa"/>
            <w:bottom w:w="15" w:type="dxa"/>
            <w:right w:w="15" w:type="dxa"/>
          </w:tblCellMar>
        </w:tblPrEx>
        <w:trPr>
          <w:trHeight w:val="46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2 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应收账款</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263,255,268.64</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113,650,979.47</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149,604,289.17</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131.63%</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主要为本期营业收入增加以及行业年末集中回款特</w:t>
            </w:r>
            <w:r>
              <w:rPr>
                <w:rFonts w:hint="eastAsia" w:ascii="宋体" w:hAnsi="宋体" w:cs="宋体"/>
                <w:i w:val="0"/>
                <w:color w:val="000000"/>
                <w:sz w:val="18"/>
                <w:szCs w:val="18"/>
                <w:lang w:eastAsia="zh-CN"/>
              </w:rPr>
              <w:t>点</w:t>
            </w:r>
            <w:r>
              <w:rPr>
                <w:rFonts w:hint="eastAsia" w:ascii="宋体" w:hAnsi="宋体" w:eastAsia="宋体" w:cs="宋体"/>
                <w:i w:val="0"/>
                <w:color w:val="000000"/>
                <w:sz w:val="18"/>
                <w:szCs w:val="18"/>
              </w:rPr>
              <w:t>导致。</w:t>
            </w:r>
          </w:p>
        </w:tc>
      </w:tr>
      <w:tr>
        <w:tblPrEx>
          <w:tblCellMar>
            <w:top w:w="15" w:type="dxa"/>
            <w:left w:w="15" w:type="dxa"/>
            <w:bottom w:w="15" w:type="dxa"/>
            <w:right w:w="15" w:type="dxa"/>
          </w:tblCellMar>
        </w:tblPrEx>
        <w:trPr>
          <w:trHeight w:val="46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3 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预付款项</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10,400,147.22</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5,587,479.33</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4,812,667.89</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86.13%</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主要为本期预付电费及原材料款增加所致。</w:t>
            </w:r>
          </w:p>
        </w:tc>
      </w:tr>
      <w:tr>
        <w:tblPrEx>
          <w:tblCellMar>
            <w:top w:w="15" w:type="dxa"/>
            <w:left w:w="15" w:type="dxa"/>
            <w:bottom w:w="15" w:type="dxa"/>
            <w:right w:w="15" w:type="dxa"/>
          </w:tblCellMar>
        </w:tblPrEx>
        <w:trPr>
          <w:trHeight w:val="28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4 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其他应收款</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3,347,253.37</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1,474,698.95</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1,872,554.42</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126.98%</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主要为项目投标保证金增加所致。</w:t>
            </w:r>
          </w:p>
        </w:tc>
      </w:tr>
      <w:tr>
        <w:tblPrEx>
          <w:tblCellMar>
            <w:top w:w="15" w:type="dxa"/>
            <w:left w:w="15" w:type="dxa"/>
            <w:bottom w:w="15" w:type="dxa"/>
            <w:right w:w="15" w:type="dxa"/>
          </w:tblCellMar>
        </w:tblPrEx>
        <w:trPr>
          <w:trHeight w:val="49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5 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其他流动资产</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4,954,178.37</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19,111,532.85</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-14,157,354.48</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-74.08%</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主要为本期子公司长沙鑫航和</w:t>
            </w:r>
            <w:r>
              <w:rPr>
                <w:rFonts w:hint="eastAsia" w:ascii="宋体" w:hAnsi="宋体" w:eastAsia="宋体" w:cs="宋体"/>
                <w:i w:val="0"/>
                <w:color w:val="000000"/>
                <w:sz w:val="20"/>
                <w:szCs w:val="20"/>
              </w:rPr>
              <w:t>子公司博云东方本期收到增值税留抵退税所致。</w:t>
            </w:r>
          </w:p>
        </w:tc>
      </w:tr>
      <w:tr>
        <w:tblPrEx>
          <w:tblCellMar>
            <w:top w:w="15" w:type="dxa"/>
            <w:left w:w="15" w:type="dxa"/>
            <w:bottom w:w="15" w:type="dxa"/>
            <w:right w:w="15" w:type="dxa"/>
          </w:tblCellMar>
        </w:tblPrEx>
        <w:trPr>
          <w:trHeight w:val="58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6 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其他权益工具投资</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78,816,177.77</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47,534,875.94</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31,281,301.83</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65.81%</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主要为本期子公司长沙鑫航战略投资增加所致。</w:t>
            </w:r>
          </w:p>
        </w:tc>
      </w:tr>
      <w:tr>
        <w:tblPrEx>
          <w:tblCellMar>
            <w:top w:w="15" w:type="dxa"/>
            <w:left w:w="15" w:type="dxa"/>
            <w:bottom w:w="15" w:type="dxa"/>
            <w:right w:w="15" w:type="dxa"/>
          </w:tblCellMar>
        </w:tblPrEx>
        <w:trPr>
          <w:trHeight w:val="46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7 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在建工程</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178,481,860.56</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115,912,178.21</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62,569,682.35</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53.98%</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主要为本期子公司博云东方麓谷基地产业化项目投入增加所致。</w:t>
            </w:r>
          </w:p>
        </w:tc>
      </w:tr>
      <w:tr>
        <w:tblPrEx>
          <w:tblCellMar>
            <w:top w:w="15" w:type="dxa"/>
            <w:left w:w="15" w:type="dxa"/>
            <w:bottom w:w="15" w:type="dxa"/>
            <w:right w:w="15" w:type="dxa"/>
          </w:tblCellMar>
        </w:tblPrEx>
        <w:trPr>
          <w:trHeight w:val="28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8 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开发支出</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51,536,461.20</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34,556,647.14</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16,979,814.06</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49.14%</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为本期研发投入所致。</w:t>
            </w:r>
          </w:p>
        </w:tc>
      </w:tr>
      <w:tr>
        <w:tblPrEx>
          <w:tblCellMar>
            <w:top w:w="15" w:type="dxa"/>
            <w:left w:w="15" w:type="dxa"/>
            <w:bottom w:w="15" w:type="dxa"/>
            <w:right w:w="15" w:type="dxa"/>
          </w:tblCellMar>
        </w:tblPrEx>
        <w:trPr>
          <w:trHeight w:val="46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9 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其他非流动资产</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3,756,173.48</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6,848,170.27</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-3,091,996.79</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-45.15%</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主要为本期子公司博云东方预付设备款减少所致。</w:t>
            </w:r>
          </w:p>
        </w:tc>
      </w:tr>
      <w:tr>
        <w:tblPrEx>
          <w:tblCellMar>
            <w:top w:w="15" w:type="dxa"/>
            <w:left w:w="15" w:type="dxa"/>
            <w:bottom w:w="15" w:type="dxa"/>
            <w:right w:w="15" w:type="dxa"/>
          </w:tblCellMar>
        </w:tblPrEx>
        <w:trPr>
          <w:trHeight w:val="28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10 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短期借款</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50,000,000.00</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0.00</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50,000,000.00</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100.00%</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为本期短期流动资金贷款增加所致。</w:t>
            </w:r>
          </w:p>
        </w:tc>
      </w:tr>
      <w:tr>
        <w:tblPrEx>
          <w:tblCellMar>
            <w:top w:w="15" w:type="dxa"/>
            <w:left w:w="15" w:type="dxa"/>
            <w:bottom w:w="15" w:type="dxa"/>
            <w:right w:w="15" w:type="dxa"/>
          </w:tblCellMar>
        </w:tblPrEx>
        <w:trPr>
          <w:trHeight w:val="46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11 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应交税费</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10,341,196.36</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4,127,348.83</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6,213,847.53</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150.55%</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主要为本期公司享受缓交税收优惠政策所致。</w:t>
            </w:r>
          </w:p>
        </w:tc>
      </w:tr>
      <w:tr>
        <w:tblPrEx>
          <w:tblCellMar>
            <w:top w:w="15" w:type="dxa"/>
            <w:left w:w="15" w:type="dxa"/>
            <w:bottom w:w="15" w:type="dxa"/>
            <w:right w:w="15" w:type="dxa"/>
          </w:tblCellMar>
        </w:tblPrEx>
        <w:trPr>
          <w:trHeight w:val="28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12 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其他流动负债</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104,675,414.63</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62,501,875.73</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42,173,538.90</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67.48%</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主要为本期已转让未到期票据增加所致。</w:t>
            </w:r>
          </w:p>
        </w:tc>
      </w:tr>
      <w:tr>
        <w:tblPrEx>
          <w:tblCellMar>
            <w:top w:w="15" w:type="dxa"/>
            <w:left w:w="15" w:type="dxa"/>
            <w:bottom w:w="15" w:type="dxa"/>
            <w:right w:w="15" w:type="dxa"/>
          </w:tblCellMar>
        </w:tblPrEx>
        <w:trPr>
          <w:trHeight w:val="450"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13 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其他综合收益</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2,477,566.84</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929,844.02</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1,547,722.82</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166.45%</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为本期子公司博云东方其他权益工具投资公允价值变动所致。</w:t>
            </w:r>
          </w:p>
        </w:tc>
      </w:tr>
      <w:tr>
        <w:tblPrEx>
          <w:tblCellMar>
            <w:top w:w="15" w:type="dxa"/>
            <w:left w:w="15" w:type="dxa"/>
            <w:bottom w:w="15" w:type="dxa"/>
            <w:right w:w="15" w:type="dxa"/>
          </w:tblCellMar>
        </w:tblPrEx>
        <w:trPr>
          <w:trHeight w:val="450"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14 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财务费用</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-6,035,011.84</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6,086,355.67</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-12,121,367.51</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-199.16%</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主要为本期利息费用减少及利息收入增加所致。</w:t>
            </w:r>
          </w:p>
        </w:tc>
      </w:tr>
      <w:tr>
        <w:tblPrEx>
          <w:tblCellMar>
            <w:top w:w="15" w:type="dxa"/>
            <w:left w:w="15" w:type="dxa"/>
            <w:bottom w:w="15" w:type="dxa"/>
            <w:right w:w="15" w:type="dxa"/>
          </w:tblCellMar>
        </w:tblPrEx>
        <w:trPr>
          <w:trHeight w:val="28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15 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投资收益</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-19,180,315.43</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-11,105,095.76</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-8,075,219.67</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-72.72%</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主要为本期合资公司</w:t>
            </w:r>
            <w:r>
              <w:rPr>
                <w:rFonts w:hint="eastAsia" w:ascii="宋体" w:hAnsi="宋体" w:cs="宋体"/>
                <w:i w:val="0"/>
                <w:color w:val="000000"/>
                <w:sz w:val="18"/>
                <w:szCs w:val="18"/>
                <w:lang w:eastAsia="zh-CN"/>
              </w:rPr>
              <w:t>因汇率波动引起</w:t>
            </w:r>
            <w:r>
              <w:rPr>
                <w:rFonts w:hint="eastAsia" w:ascii="宋体" w:hAnsi="宋体" w:eastAsia="宋体" w:cs="宋体"/>
                <w:i w:val="0"/>
                <w:color w:val="000000"/>
                <w:sz w:val="18"/>
                <w:szCs w:val="18"/>
              </w:rPr>
              <w:t>亏损增加所致。</w:t>
            </w:r>
          </w:p>
        </w:tc>
      </w:tr>
      <w:tr>
        <w:tblPrEx>
          <w:tblCellMar>
            <w:top w:w="15" w:type="dxa"/>
            <w:left w:w="15" w:type="dxa"/>
            <w:bottom w:w="15" w:type="dxa"/>
            <w:right w:w="15" w:type="dxa"/>
          </w:tblCellMar>
        </w:tblPrEx>
        <w:trPr>
          <w:trHeight w:val="46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16 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信用减值损失（损失以“-”号填列）</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-4,260,484.06</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-6,505,701.53</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2,245,217.47</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-34.51%</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主要为本期应收款项账龄结构变化导致坏账计提减少所致。</w:t>
            </w:r>
          </w:p>
        </w:tc>
      </w:tr>
      <w:tr>
        <w:tblPrEx>
          <w:tblCellMar>
            <w:top w:w="15" w:type="dxa"/>
            <w:left w:w="15" w:type="dxa"/>
            <w:bottom w:w="15" w:type="dxa"/>
            <w:right w:w="15" w:type="dxa"/>
          </w:tblCellMar>
        </w:tblPrEx>
        <w:trPr>
          <w:trHeight w:val="285"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17 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资产减值损失（损失以“-”号填列）</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-1,972,040.84</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0.00</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-1,972,040.84</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100.00%</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为本期计提存货跌价准备所致。</w:t>
            </w:r>
          </w:p>
        </w:tc>
      </w:tr>
      <w:tr>
        <w:tblPrEx>
          <w:tblCellMar>
            <w:top w:w="15" w:type="dxa"/>
            <w:left w:w="15" w:type="dxa"/>
            <w:bottom w:w="15" w:type="dxa"/>
            <w:right w:w="15" w:type="dxa"/>
          </w:tblCellMar>
        </w:tblPrEx>
        <w:trPr>
          <w:trHeight w:val="450"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18 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经营活动产生的现金流量净额</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-37,894,423.99</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14,594,736.34</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-52,489,160.33</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-359.64%</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主要为本期购买商品、接受劳务支付的现金及销售商品、提供劳务收到的现金增加所致。</w:t>
            </w:r>
          </w:p>
        </w:tc>
      </w:tr>
      <w:tr>
        <w:tblPrEx>
          <w:tblCellMar>
            <w:top w:w="15" w:type="dxa"/>
            <w:left w:w="15" w:type="dxa"/>
            <w:bottom w:w="15" w:type="dxa"/>
            <w:right w:w="15" w:type="dxa"/>
          </w:tblCellMar>
        </w:tblPrEx>
        <w:trPr>
          <w:trHeight w:val="450"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19 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投资活动产生的现金流量净额</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18,987,946.13</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-460,954,873.53</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479,942,819.66</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104.12%</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主要为本期投资支付的现金（理财产品购买）减少所致。</w:t>
            </w:r>
          </w:p>
        </w:tc>
      </w:tr>
      <w:tr>
        <w:tblPrEx>
          <w:tblCellMar>
            <w:top w:w="15" w:type="dxa"/>
            <w:left w:w="15" w:type="dxa"/>
            <w:bottom w:w="15" w:type="dxa"/>
            <w:right w:w="15" w:type="dxa"/>
          </w:tblCellMar>
        </w:tblPrEx>
        <w:trPr>
          <w:trHeight w:val="450"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20 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筹资活动产生的现金流量净额</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6,734,226.60</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411,570,830.34</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-404,836,603.74</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-98.36%</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主要为上期吸收投资收到的现金（非公开发行资金到位）增加，本期取得借款收到的现金及偿还债务支付的现金减少所致。</w:t>
            </w:r>
          </w:p>
        </w:tc>
      </w:tr>
      <w:tr>
        <w:tblPrEx>
          <w:tblCellMar>
            <w:top w:w="15" w:type="dxa"/>
            <w:left w:w="15" w:type="dxa"/>
            <w:bottom w:w="15" w:type="dxa"/>
            <w:right w:w="15" w:type="dxa"/>
          </w:tblCellMar>
        </w:tblPrEx>
        <w:trPr>
          <w:trHeight w:val="450" w:hRule="atLeast"/>
        </w:trPr>
        <w:tc>
          <w:tcPr>
            <w:tcW w:w="0" w:type="auto"/>
            <w:tcBorders>
              <w:top w:val="nil"/>
              <w:left w:val="single" w:color="auto" w:sz="8" w:space="0"/>
              <w:bottom w:val="single" w:color="auto" w:sz="8" w:space="0"/>
              <w:right w:val="single" w:color="auto" w:sz="8" w:space="0"/>
            </w:tcBorders>
            <w:shd w:val="clear" w:color="auto" w:fill="auto"/>
            <w:noWrap/>
            <w:tcMar>
              <w:bottom w:w="0" w:type="dxa"/>
            </w:tcMar>
            <w:vAlign w:val="center"/>
          </w:tcPr>
          <w:p>
            <w:pPr>
              <w:pStyle w:val="2"/>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21 </w:t>
            </w:r>
          </w:p>
        </w:tc>
        <w:tc>
          <w:tcPr>
            <w:tcW w:w="1376"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现金及现金等价物净增加额</w:t>
            </w:r>
          </w:p>
        </w:tc>
        <w:tc>
          <w:tcPr>
            <w:tcW w:w="1361"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-11,232,002.98</w:t>
            </w:r>
          </w:p>
        </w:tc>
        <w:tc>
          <w:tcPr>
            <w:tcW w:w="166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color w:val="000000"/>
                <w:sz w:val="18"/>
                <w:szCs w:val="18"/>
              </w:rPr>
              <w:t>-35,346,200.97</w:t>
            </w:r>
          </w:p>
        </w:tc>
        <w:tc>
          <w:tcPr>
            <w:tcW w:w="1560"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24,114,197.99</w:t>
            </w:r>
          </w:p>
        </w:tc>
        <w:tc>
          <w:tcPr>
            <w:tcW w:w="889"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68.22%</w:t>
            </w:r>
          </w:p>
        </w:tc>
        <w:tc>
          <w:tcPr>
            <w:tcW w:w="2353" w:type="dxa"/>
            <w:tcBorders>
              <w:top w:val="nil"/>
              <w:left w:val="nil"/>
              <w:bottom w:val="single" w:color="auto" w:sz="8" w:space="0"/>
              <w:right w:val="single" w:color="auto" w:sz="8" w:space="0"/>
            </w:tcBorders>
            <w:shd w:val="clear" w:color="auto" w:fill="auto"/>
            <w:tcMar>
              <w:bottom w:w="0" w:type="dxa"/>
            </w:tcMar>
            <w:vAlign w:val="center"/>
          </w:tcPr>
          <w:p>
            <w:pPr>
              <w:pStyle w:val="2"/>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宋体" w:hAnsi="宋体" w:eastAsia="宋体" w:cs="宋体"/>
                <w:i w:val="0"/>
                <w:color w:val="000000"/>
                <w:sz w:val="18"/>
                <w:szCs w:val="18"/>
              </w:rPr>
              <w:t>主要为本期投资活动产生的现金净流入额及筹资活动产生的现金净流入额减少所致。</w:t>
            </w:r>
          </w:p>
        </w:tc>
      </w:tr>
    </w:tbl>
    <w:p>
      <w:pPr>
        <w:pStyle w:val="2"/>
        <w:keepNext w:val="0"/>
        <w:keepLines w:val="0"/>
        <w:widowControl/>
        <w:suppressLineNumbers w:val="0"/>
      </w:pPr>
      <w:r>
        <w:rPr>
          <w:rFonts w:hint="eastAsia" w:ascii="宋体" w:hAnsi="宋体" w:eastAsia="宋体" w:cs="宋体"/>
          <w:sz w:val="18"/>
          <w:szCs w:val="18"/>
        </w:rPr>
        <w:t xml:space="preserve">                                      </w:t>
      </w:r>
    </w:p>
    <w:p>
      <w:pPr>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 xml:space="preserve">二、股东信息 </w:t>
      </w:r>
      <w:bookmarkEnd w:id="4"/>
    </w:p>
    <w:p>
      <w:pPr>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12"/>
        <w:gridCol w:w="1350"/>
        <w:gridCol w:w="1215"/>
        <w:gridCol w:w="1350"/>
        <w:gridCol w:w="1305"/>
        <w:gridCol w:w="885"/>
        <w:gridCol w:w="7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报告期末普通股股东总数 </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65,698</w:t>
            </w:r>
          </w:p>
        </w:tc>
        <w:tc>
          <w:tcPr>
            <w:tcW w:w="265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35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21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5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3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60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 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5" w:hRule="atLeast"/>
        </w:trPr>
        <w:tc>
          <w:tcPr>
            <w:tcW w:w="281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5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1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5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7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7.81%</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44,780,202</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0.76%</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4,350,000</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郭伟</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0.70%</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4,026,657</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0.66%</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3,791,216</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孙泽斌</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2,323,500</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2,029,500</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0.32%</w:t>
            </w:r>
          </w:p>
        </w:tc>
        <w:tc>
          <w:tcPr>
            <w:tcW w:w="13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256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426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56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65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60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44,780,202</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bookmarkStart w:id="14" w:name="_GoBack"/>
            <w:bookmarkEnd w:id="14"/>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44,780,202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4,350,000</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4,350,000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郭伟</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4,026,657</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4,026,657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3,791,216</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3,791,216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孙泽斌</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2,323,500</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2,323,500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2,029,500</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2,029,500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1,836,000</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王贵春</w:t>
            </w:r>
          </w:p>
        </w:tc>
        <w:tc>
          <w:tcPr>
            <w:tcW w:w="256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1,820,700</w:t>
            </w:r>
          </w:p>
        </w:tc>
        <w:tc>
          <w:tcPr>
            <w:tcW w:w="265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60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1,820,700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827"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6827"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1、股东应光亮通过投资者信用账户持有公司股票1,000,000股，通过普通证券账户持有3,350,000股，合计持有4,350,000股；</w:t>
            </w:r>
          </w:p>
          <w:p>
            <w:pPr>
              <w:spacing w:before="0" w:after="0" w:line="240" w:lineRule="exact"/>
              <w:jc w:val="left"/>
              <w:rPr>
                <w:rFonts w:ascii="宋体" w:hAnsi="宋体" w:eastAsia="宋体" w:cs="宋体"/>
                <w:sz w:val="18"/>
                <w:szCs w:val="18"/>
              </w:rPr>
            </w:pPr>
            <w:r>
              <w:rPr>
                <w:rFonts w:ascii="宋体" w:hAnsi="宋体" w:eastAsia="宋体" w:cs="宋体"/>
                <w:sz w:val="18"/>
                <w:szCs w:val="18"/>
              </w:rPr>
              <w:t>2、股东孙泽斌通过投资者信用账户持有公司股票1,808,500股，通过普通证券账户持有515,000股，合计持有2,323,500股。</w:t>
            </w:r>
          </w:p>
        </w:tc>
      </w:tr>
    </w:tbl>
    <w:p>
      <w:pPr>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r>
        <w:rPr>
          <w:rFonts w:ascii="宋体" w:hAnsi="宋体" w:eastAsia="宋体" w:cs="宋体"/>
          <w:sz w:val="18"/>
          <w:szCs w:val="18"/>
        </w:rPr>
        <w:t>2022年09月30日</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2022年9月30日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565,591,730.73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550,165,529.46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132,068,638.21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159,147,937.24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263,255,268.64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22,595,152.38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10,400,147.22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5,587,479.33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3,347,253.37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1,474,698.95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455,787,305.86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400,809,609.43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254,403.06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4,954,178.37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19,111,532.85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1,458,254,077.84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1,488,927,116.06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35,118,300.80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78,816,177.77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47,534,875.94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601,795,898.30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178,481,860.56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242,069,270.27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251,440,847.91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51,536,461.20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34,556,647.14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3,344,917.56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4,041,340.98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27,694,154.95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26,984,917.13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3,756,173.48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1,222,613,214.89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1,124,864,653.78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2,680,867,292.73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70,686,484.41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77,606,432.06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118,474,696.29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113,179,928.89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1,173,023.50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592,600.01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8,410,314.05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17,814,580.64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10,341,196.36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4,127,348.83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39,117,114.81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2,001,700.00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41,841,863.89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104,675,414.63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62,501,875.73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422,694,524.69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379,180,769.82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77,065,450.00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78,024,261.42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5,247,581.00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5,576,762.03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160,337,292.42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156,924,025.22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583,031,817.11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536,104,795.04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2,477,566.84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-199,001,599.33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2,074,883,435.54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22,952,040.08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2,097,835,475.62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2,680,867,292.73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法定代表人：贺柳    主管会计工作负责人：严琦      会计机构负责人：许斌</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2、合并年初到报告期末利润表</w:t>
      </w:r>
      <w:bookmarkEnd w:id="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427,393,973.81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362,852,883.89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427,393,973.81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362,852,883.89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391,956,746.71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338,661,845.31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318,682,142.44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255,130,791.37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6,944,326.17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5,482,988.61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13,050,668.22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15,415,530.55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35,299,589.63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33,338,620.14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24,015,032.09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23,207,558.97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-6,035,011.84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6,086,355.67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2,231,092.52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14,830,370.30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7,183,573.66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4,813,927.80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13,272,723.47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12,762,400.33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-19,180,315.43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-11,105,095.76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-20,717,571.00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-11,745,853.34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176,395.62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-4,260,484.06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-6,505,701.53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-1,972,040.84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858,508.28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23,298,296.72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20,377,545.52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53,162.79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104,244.84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97,678.88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23,199,251.88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20,333,029.43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4,598,473.88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4,720,701.34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18,600,778.00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15,612,328.09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18,600,778.00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15,612,328.09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18,238,897.34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15,153,115.25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361,880.66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459,212.84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1,547,722.82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1,547,722.82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1,547,722.82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1,547,722.82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20,148,500.82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15,612,328.09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19,786,620.16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15,153,115.25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361,880.66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459,212.84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0.0307</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0" w:after="0" w:line="240" w:lineRule="exact"/>
        <w:jc w:val="left"/>
        <w:rPr>
          <w:rFonts w:ascii="宋体" w:hAnsi="宋体" w:eastAsia="宋体" w:cs="宋体"/>
          <w:sz w:val="18"/>
          <w:szCs w:val="18"/>
        </w:rPr>
      </w:pPr>
      <w:r>
        <w:rPr>
          <w:rFonts w:ascii="宋体" w:hAnsi="宋体" w:eastAsia="宋体" w:cs="宋体"/>
          <w:sz w:val="18"/>
          <w:szCs w:val="18"/>
        </w:rPr>
        <w:t>法定代表人：贺柳    主管会计工作负责人：严琦    会计机构负责人：许斌</w:t>
      </w:r>
    </w:p>
    <w:p>
      <w:pPr>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3、合并年初到报告期末现金流量表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324,943,511.09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276,385,039.26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21,057,255.53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8,535,874.74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34,911,790.75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14,066,312.89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380,912,557.37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298,987,226.89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260,445,623.31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142,382,792.46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103,442,922.50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82,548,297.67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21,381,523.12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32,201,695.79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33,536,912.43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27,259,704.63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418,806,981.36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284,392,490.55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-37,894,423.99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14,594,736.34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215,222,971.00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147,134,534.94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2,087,625.75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9,507.56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4,191,180.85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372,979.80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3,907,886.87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217,693,084.11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155,233,602.66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140,510,584.98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123,474,625.35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58,187,031.00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492,713,850.84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198,705,137.98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616,188,476.19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18,987,946.13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-460,954,873.53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628,096,598.80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785,096,598.80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356,900,000.00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2,465,773.40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8,902,451.46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7,723,317.00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43,265,773.40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373,525,768.46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6,734,226.60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411,570,830.34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940,248.28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-556,894.12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-11,232,002.98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-35,346,200.97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368,118,485.78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519,260,913.00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332,772,284.81</w:t>
            </w:r>
          </w:p>
        </w:tc>
      </w:tr>
    </w:tbl>
    <w:p>
      <w:pPr>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审计报告</w:t>
      </w:r>
      <w:bookmarkEnd w:id="13"/>
    </w:p>
    <w:p>
      <w:pPr>
        <w:spacing w:before="40" w:after="40" w:line="240" w:lineRule="exact"/>
        <w:jc w:val="left"/>
        <w:rPr>
          <w:rFonts w:ascii="宋体" w:hAnsi="宋体" w:eastAsia="宋体" w:cs="宋体"/>
          <w:sz w:val="18"/>
          <w:szCs w:val="18"/>
        </w:rPr>
      </w:pPr>
      <w:r>
        <w:rPr>
          <w:rFonts w:ascii="宋体" w:hAnsi="宋体" w:eastAsia="宋体" w:cs="宋体"/>
          <w:sz w:val="18"/>
          <w:szCs w:val="18"/>
        </w:rPr>
        <w:t>第三季度报告是否经过审计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公司第三季度报告未经审计。</w:t>
      </w:r>
    </w:p>
    <w:p>
      <w:pPr>
        <w:spacing w:before="40" w:after="40" w:line="240" w:lineRule="exact"/>
        <w:jc w:val="left"/>
        <w:rPr>
          <w:rFonts w:ascii="宋体" w:hAnsi="宋体" w:eastAsia="宋体" w:cs="宋体"/>
          <w:sz w:val="18"/>
          <w:szCs w:val="18"/>
        </w:rPr>
      </w:pPr>
    </w:p>
    <w:p>
      <w:pPr>
        <w:spacing w:before="40" w:after="40" w:line="240" w:lineRule="exact"/>
        <w:jc w:val="left"/>
        <w:rPr>
          <w:rFonts w:ascii="宋体" w:hAnsi="宋体" w:eastAsia="宋体" w:cs="宋体"/>
          <w:sz w:val="18"/>
          <w:szCs w:val="18"/>
        </w:rPr>
      </w:pPr>
    </w:p>
    <w:p>
      <w:pPr>
        <w:spacing w:before="40" w:after="40" w:line="240" w:lineRule="exact"/>
        <w:jc w:val="left"/>
        <w:rPr>
          <w:rFonts w:ascii="宋体" w:hAnsi="宋体" w:eastAsia="宋体" w:cs="宋体"/>
          <w:sz w:val="18"/>
          <w:szCs w:val="18"/>
        </w:rPr>
      </w:pPr>
    </w:p>
    <w:p>
      <w:pPr>
        <w:spacing w:before="40" w:after="40" w:line="240" w:lineRule="exact"/>
        <w:jc w:val="right"/>
        <w:rPr>
          <w:rFonts w:ascii="宋体" w:hAnsi="宋体" w:eastAsia="宋体" w:cs="宋体"/>
          <w:sz w:val="18"/>
          <w:szCs w:val="18"/>
        </w:rPr>
      </w:pPr>
      <w:r>
        <w:rPr>
          <w:rFonts w:ascii="宋体" w:hAnsi="宋体" w:eastAsia="宋体" w:cs="宋体"/>
          <w:sz w:val="18"/>
          <w:szCs w:val="18"/>
        </w:rPr>
        <w:t>湖南博云新材料股份有限公司董事会</w:t>
      </w:r>
    </w:p>
    <w:p>
      <w:pPr>
        <w:spacing w:before="0" w:after="0" w:line="240" w:lineRule="exact"/>
        <w:jc w:val="right"/>
        <w:rPr>
          <w:rFonts w:ascii="宋体" w:hAnsi="宋体" w:eastAsia="宋体" w:cs="宋体"/>
          <w:sz w:val="18"/>
          <w:szCs w:val="18"/>
        </w:rPr>
      </w:pPr>
      <w:r>
        <w:rPr>
          <w:rFonts w:ascii="宋体" w:hAnsi="宋体" w:eastAsia="宋体" w:cs="宋体"/>
          <w:sz w:val="18"/>
          <w:szCs w:val="18"/>
        </w:rPr>
        <w:t>2022年10月27日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湖南博云新材料股份有限公司2022年第三季度报告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doNotExpandShiftReturn/>
    <w:useFELayout/>
    <w:compatSetting w:name="compatibilityMode" w:uri="http://schemas.microsoft.com/office/word" w:val="14"/>
  </w:compat>
  <w:rsids>
    <w:rsidRoot w:val="00000000"/>
    <w:rsid w:val="11E24A7D"/>
    <w:rsid w:val="141C64AE"/>
    <w:rsid w:val="2E127B2A"/>
    <w:rsid w:val="59DA3379"/>
    <w:rsid w:val="5FF74D70"/>
    <w:rsid w:val="673F7305"/>
    <w:rsid w:val="69AC7402"/>
    <w:rsid w:val="7C1E1B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Office_11.1.0.9828_F1E327BC-269C-435d-A152-05C5408002CA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2022-10-26T06:21:00Z</dcterms:created>
  <dc:creator>Administrator</dc:creator>
  <cp:lastModifiedBy>张爱丽</cp:lastModifiedBy>
  <dcterms:modified xsi:type="dcterms:W3CDTF">2022-10-27T06:14:43Z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