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0" w:after="0" w:line="773" w:lineRule="exact"/>
        <w:jc w:val="center"/>
        <w:rPr>
          <w:rFonts w:ascii="宋体" w:hAnsi="宋体" w:eastAsia="宋体" w:cs="宋体"/>
          <w:b/>
          <w:bCs/>
          <w:sz w:val="36"/>
          <w:szCs w:val="36"/>
        </w:rPr>
      </w:pPr>
      <w:r>
        <w:rPr>
          <w:rFonts w:ascii="宋体" w:hAnsi="宋体" w:eastAsia="宋体" w:cs="宋体"/>
          <w:b/>
          <w:bCs/>
          <w:sz w:val="36"/>
          <w:szCs w:val="36"/>
        </w:rPr>
        <w:t>湖南博云新材料股份有限公司</w:t>
      </w:r>
    </w:p>
    <w:p>
      <w:pPr>
        <w:spacing w:before="1000" w:after="0" w:line="320" w:lineRule="exact"/>
        <w:jc w:val="center"/>
        <w:rPr>
          <w:rFonts w:ascii="宋体" w:hAnsi="宋体" w:eastAsia="宋体" w:cs="宋体"/>
          <w:b/>
          <w:bCs/>
          <w:sz w:val="32"/>
          <w:szCs w:val="32"/>
        </w:rPr>
      </w:pPr>
      <w:r>
        <w:rPr>
          <w:rFonts w:ascii="宋体" w:hAnsi="宋体" w:eastAsia="宋体" w:cs="宋体"/>
          <w:b/>
          <w:bCs/>
          <w:sz w:val="32"/>
          <w:szCs w:val="32"/>
        </w:rPr>
        <w:t>2022年半年度报告</w:t>
      </w:r>
    </w:p>
    <w:p>
      <w:pPr>
        <w:spacing w:before="1000" w:after="0" w:line="240" w:lineRule="exact"/>
        <w:jc w:val="center"/>
        <w:rPr>
          <w:rFonts w:ascii="宋体" w:hAnsi="宋体" w:eastAsia="宋体" w:cs="宋体"/>
          <w:b/>
          <w:bCs/>
          <w:sz w:val="21"/>
          <w:szCs w:val="21"/>
        </w:rPr>
      </w:pPr>
    </w:p>
    <w:p>
      <w:pPr>
        <w:spacing w:before="1000" w:after="1000" w:line="0" w:lineRule="exact"/>
        <w:jc w:val="center"/>
        <w:rPr>
          <w:rFonts w:ascii="Times New Roman" w:hAnsi="Times New Roman" w:eastAsia="宋体" w:cs="Times New Roman"/>
        </w:rPr>
      </w:pPr>
      <w:r>
        <w:rPr>
          <w:rFonts w:ascii="Times New Roman" w:hAnsi="Times New Roman" w:eastAsia="宋体" w:cs="Times New Roman"/>
        </w:rPr>
        <w:drawing>
          <wp:inline distT="0" distB="0" distL="0" distR="0">
            <wp:extent cx="4147820" cy="333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stretch>
                      <a:fillRect/>
                    </a:stretch>
                  </pic:blipFill>
                  <pic:spPr>
                    <a:xfrm>
                      <a:off x="0" y="0"/>
                      <a:ext cx="4148137" cy="3333750"/>
                    </a:xfrm>
                    <a:prstGeom prst="rect">
                      <a:avLst/>
                    </a:prstGeom>
                  </pic:spPr>
                </pic:pic>
              </a:graphicData>
            </a:graphic>
          </wp:inline>
        </w:drawing>
      </w:r>
    </w:p>
    <w:p>
      <w:pPr>
        <w:spacing w:before="400" w:after="0" w:line="320" w:lineRule="exact"/>
        <w:jc w:val="center"/>
        <w:rPr>
          <w:rFonts w:ascii="宋体" w:hAnsi="宋体" w:eastAsia="宋体" w:cs="宋体"/>
          <w:b/>
          <w:bCs/>
          <w:sz w:val="32"/>
          <w:szCs w:val="32"/>
        </w:rPr>
      </w:pPr>
      <w:r>
        <w:rPr>
          <w:rFonts w:ascii="宋体" w:hAnsi="宋体" w:eastAsia="宋体" w:cs="宋体"/>
          <w:b/>
          <w:bCs/>
          <w:sz w:val="32"/>
          <w:szCs w:val="32"/>
        </w:rPr>
        <w:t>【</w:t>
      </w:r>
      <w:r>
        <w:rPr>
          <w:rFonts w:hint="eastAsia" w:ascii="宋体" w:hAnsi="宋体" w:eastAsia="宋体" w:cs="宋体"/>
          <w:b/>
          <w:bCs/>
          <w:sz w:val="32"/>
          <w:szCs w:val="32"/>
          <w:lang w:val="en-US" w:eastAsia="zh-CN"/>
        </w:rPr>
        <w:t>2022年8月</w:t>
      </w:r>
      <w:r>
        <w:rPr>
          <w:rFonts w:ascii="宋体" w:hAnsi="宋体" w:eastAsia="宋体" w:cs="宋体"/>
          <w:b/>
          <w:bCs/>
          <w:sz w:val="32"/>
          <w:szCs w:val="32"/>
        </w:rPr>
        <w:t>】</w:t>
      </w:r>
    </w:p>
    <w:p>
      <w:r>
        <w:br w:type="page"/>
      </w:r>
    </w:p>
    <w:p>
      <w:pPr>
        <w:keepNext/>
        <w:keepLines/>
        <w:spacing w:before="340" w:after="330" w:line="773" w:lineRule="exact"/>
        <w:jc w:val="center"/>
        <w:outlineLvl w:val="0"/>
        <w:rPr>
          <w:rFonts w:ascii="宋体" w:hAnsi="宋体" w:eastAsia="宋体" w:cs="宋体"/>
          <w:b/>
          <w:bCs/>
          <w:sz w:val="32"/>
          <w:szCs w:val="32"/>
        </w:rPr>
      </w:pPr>
      <w:bookmarkStart w:id="0" w:name="_Toc988889"/>
      <w:r>
        <w:rPr>
          <w:rFonts w:ascii="宋体" w:hAnsi="宋体" w:eastAsia="宋体" w:cs="宋体"/>
          <w:b/>
          <w:bCs/>
          <w:sz w:val="32"/>
          <w:szCs w:val="32"/>
        </w:rPr>
        <w:t>第一节 重要提示、目录和释义</w:t>
      </w:r>
      <w:bookmarkEnd w:id="0"/>
    </w:p>
    <w:p>
      <w:pPr>
        <w:spacing w:before="40" w:after="4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公司董事会、监事会及董事、监事、高级管理人员保证半年度报告内容的真实、准确、完整，不存在虚假记载、误导性陈述或者重大遗漏，并承担个别和连带的法律责任。</w:t>
      </w:r>
    </w:p>
    <w:p>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公司负责人贺柳、主管会计工作负责人严琦及会计机构负责人(会计主管人员)许斌声明：保证本半年度报告中财务报告的真实、准确、完整。</w:t>
      </w:r>
    </w:p>
    <w:p>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所有董事均已出席了审议本报告的董事会会议。</w:t>
      </w:r>
    </w:p>
    <w:p>
      <w:pPr>
        <w:pStyle w:val="3"/>
        <w:keepNext w:val="0"/>
        <w:keepLines w:val="0"/>
        <w:widowControl/>
        <w:suppressLineNumbers w:val="0"/>
        <w:spacing w:line="560" w:lineRule="atLeast"/>
        <w:ind w:left="0" w:firstLine="420"/>
        <w:rPr>
          <w:rFonts w:hint="eastAsia" w:ascii="宋体" w:hAnsi="宋体" w:eastAsia="宋体" w:cs="宋体"/>
          <w:b/>
          <w:sz w:val="28"/>
          <w:szCs w:val="28"/>
        </w:rPr>
      </w:pPr>
      <w:r>
        <w:rPr>
          <w:rFonts w:hint="eastAsia" w:ascii="宋体" w:hAnsi="宋体" w:eastAsia="宋体" w:cs="宋体"/>
          <w:b/>
          <w:sz w:val="28"/>
          <w:szCs w:val="28"/>
        </w:rPr>
        <w:t>公司在本报告第三节“管理层讨论与分析”之“十、公司面临的风险和应对措施”部分描述了公司未来经营中可能面临的风险，敬请广大投资者注意查阅。</w:t>
      </w:r>
    </w:p>
    <w:p>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公司计划不派发现金红利，不送红股，不以公积金转增股本。</w:t>
      </w:r>
    </w:p>
    <w:p>
      <w:r>
        <w:br w:type="page"/>
      </w:r>
    </w:p>
    <w:p>
      <w:pPr>
        <w:spacing w:before="0" w:after="0" w:line="720" w:lineRule="exact"/>
        <w:jc w:val="center"/>
        <w:rPr>
          <w:rFonts w:ascii="宋体" w:hAnsi="宋体" w:eastAsia="宋体" w:cs="宋体"/>
          <w:b/>
          <w:bCs/>
          <w:sz w:val="36"/>
          <w:szCs w:val="36"/>
        </w:rPr>
      </w:pPr>
      <w:r>
        <w:rPr>
          <w:rFonts w:ascii="宋体" w:hAnsi="宋体" w:eastAsia="宋体" w:cs="宋体"/>
          <w:b/>
          <w:bCs/>
          <w:sz w:val="36"/>
          <w:szCs w:val="36"/>
        </w:rPr>
        <w:t>目</w:t>
      </w:r>
      <w:r>
        <w:rPr>
          <w:rFonts w:hint="eastAsia" w:ascii="宋体" w:hAnsi="宋体" w:eastAsia="宋体" w:cs="宋体"/>
          <w:b/>
          <w:bCs/>
          <w:sz w:val="36"/>
          <w:szCs w:val="36"/>
          <w:lang w:val="en-US" w:eastAsia="zh-CN"/>
        </w:rPr>
        <w:t xml:space="preserve">   </w:t>
      </w:r>
      <w:r>
        <w:rPr>
          <w:rFonts w:ascii="宋体" w:hAnsi="宋体" w:eastAsia="宋体" w:cs="宋体"/>
          <w:b/>
          <w:bCs/>
          <w:sz w:val="36"/>
          <w:szCs w:val="36"/>
        </w:rPr>
        <w:t>录</w:t>
      </w:r>
    </w:p>
    <w:p>
      <w:pPr>
        <w:spacing w:before="0" w:after="0" w:line="720" w:lineRule="exact"/>
        <w:jc w:val="center"/>
        <w:rPr>
          <w:rFonts w:ascii="宋体" w:hAnsi="宋体" w:eastAsia="宋体" w:cs="宋体"/>
          <w:b/>
          <w:bCs/>
          <w:sz w:val="36"/>
          <w:szCs w:val="36"/>
        </w:rPr>
      </w:pPr>
    </w:p>
    <w:p>
      <w:pPr>
        <w:keepNext w:val="0"/>
        <w:keepLines w:val="0"/>
        <w:pageBreakBefore w:val="0"/>
        <w:widowControl w:val="0"/>
        <w:tabs>
          <w:tab w:val="left" w:leader="dot" w:pos="9469"/>
        </w:tabs>
        <w:kinsoku/>
        <w:wordWrap/>
        <w:overflowPunct/>
        <w:topLinePunct w:val="0"/>
        <w:autoSpaceDE/>
        <w:autoSpaceDN/>
        <w:bidi w:val="0"/>
        <w:adjustRightInd/>
        <w:snapToGrid/>
        <w:spacing w:line="480" w:lineRule="auto"/>
        <w:textAlignment w:val="auto"/>
        <w:rPr>
          <w:b w:val="0"/>
          <w:bCs w:val="0"/>
        </w:rPr>
      </w:pPr>
      <w:r>
        <w:rPr>
          <w:b w:val="0"/>
          <w:bCs w:val="0"/>
        </w:rPr>
        <w:fldChar w:fldCharType="begin"/>
      </w:r>
      <w:r>
        <w:rPr>
          <w:b w:val="0"/>
          <w:bCs w:val="0"/>
        </w:rPr>
        <w:instrText xml:space="preserve"> </w:instrText>
      </w:r>
      <w:r>
        <w:rPr>
          <w:rFonts w:hint="eastAsia" w:ascii="宋体" w:hAnsi="宋体" w:eastAsia="宋体"/>
          <w:b w:val="0"/>
          <w:bCs w:val="0"/>
        </w:rPr>
        <w:instrText xml:space="preserve">TOC \o "1-2" \h \z \u</w:instrText>
      </w:r>
      <w:r>
        <w:rPr>
          <w:b w:val="0"/>
          <w:bCs w:val="0"/>
        </w:rPr>
        <w:instrText xml:space="preserve"> </w:instrText>
      </w:r>
      <w:r>
        <w:rPr>
          <w:b w:val="0"/>
          <w:bCs w:val="0"/>
        </w:rPr>
        <w:fldChar w:fldCharType="separate"/>
      </w:r>
      <w:r>
        <w:rPr>
          <w:b w:val="0"/>
          <w:bCs w:val="0"/>
        </w:rPr>
        <w:fldChar w:fldCharType="begin"/>
      </w:r>
      <w:r>
        <w:rPr>
          <w:b w:val="0"/>
          <w:bCs w:val="0"/>
        </w:rPr>
        <w:instrText xml:space="preserve"> HYPERLINK \l "_Toc988889" </w:instrText>
      </w:r>
      <w:r>
        <w:rPr>
          <w:b w:val="0"/>
          <w:bCs w:val="0"/>
        </w:rPr>
        <w:fldChar w:fldCharType="separate"/>
      </w:r>
      <w:r>
        <w:rPr>
          <w:rFonts w:hint="eastAsia" w:ascii="宋体" w:hAnsi="宋体" w:eastAsia="宋体"/>
          <w:b w:val="0"/>
          <w:bCs w:val="0"/>
          <w:sz w:val="24"/>
        </w:rPr>
        <w:t>第一节 重要提示、目录和释义</w:t>
      </w:r>
      <w:r>
        <w:rPr>
          <w:b w:val="0"/>
          <w:bCs w:val="0"/>
        </w:rPr>
        <w:tab/>
      </w:r>
      <w:r>
        <w:rPr>
          <w:b w:val="0"/>
          <w:bCs w:val="0"/>
        </w:rPr>
        <w:fldChar w:fldCharType="begin"/>
      </w:r>
      <w:r>
        <w:rPr>
          <w:b w:val="0"/>
          <w:bCs w:val="0"/>
        </w:rPr>
        <w:instrText xml:space="preserve"> PAGEREF _Toc988889 \h </w:instrText>
      </w:r>
      <w:r>
        <w:rPr>
          <w:rFonts w:hint="eastAsia" w:ascii="宋体" w:hAnsi="宋体" w:eastAsia="宋体"/>
          <w:b w:val="0"/>
          <w:bCs w:val="0"/>
          <w:sz w:val="24"/>
        </w:rPr>
        <w:fldChar w:fldCharType="separate"/>
      </w:r>
      <w:r>
        <w:rPr>
          <w:b w:val="0"/>
          <w:bCs w:val="0"/>
        </w:rPr>
        <w:t>2</w:t>
      </w:r>
      <w:r>
        <w:rPr>
          <w:b w:val="0"/>
          <w:bCs w:val="0"/>
        </w:rPr>
        <w:fldChar w:fldCharType="end"/>
      </w:r>
      <w:r>
        <w:rPr>
          <w:b w:val="0"/>
          <w:bCs w:val="0"/>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480" w:lineRule="auto"/>
        <w:textAlignment w:val="auto"/>
        <w:rPr>
          <w:b w:val="0"/>
          <w:bCs w:val="0"/>
        </w:rPr>
      </w:pPr>
      <w:r>
        <w:rPr>
          <w:b w:val="0"/>
          <w:bCs w:val="0"/>
        </w:rPr>
        <w:fldChar w:fldCharType="begin"/>
      </w:r>
      <w:r>
        <w:rPr>
          <w:b w:val="0"/>
          <w:bCs w:val="0"/>
        </w:rPr>
        <w:instrText xml:space="preserve"> HYPERLINK \l "_Toc988890" </w:instrText>
      </w:r>
      <w:r>
        <w:rPr>
          <w:b w:val="0"/>
          <w:bCs w:val="0"/>
        </w:rPr>
        <w:fldChar w:fldCharType="separate"/>
      </w:r>
      <w:r>
        <w:rPr>
          <w:rFonts w:hint="eastAsia" w:ascii="宋体" w:hAnsi="宋体" w:eastAsia="宋体"/>
          <w:b w:val="0"/>
          <w:bCs w:val="0"/>
          <w:sz w:val="24"/>
        </w:rPr>
        <w:t>第二节 公司简介和主要财务指标</w:t>
      </w:r>
      <w:r>
        <w:rPr>
          <w:b w:val="0"/>
          <w:bCs w:val="0"/>
        </w:rPr>
        <w:tab/>
      </w:r>
      <w:r>
        <w:rPr>
          <w:b w:val="0"/>
          <w:bCs w:val="0"/>
        </w:rPr>
        <w:fldChar w:fldCharType="begin"/>
      </w:r>
      <w:r>
        <w:rPr>
          <w:b w:val="0"/>
          <w:bCs w:val="0"/>
        </w:rPr>
        <w:instrText xml:space="preserve"> PAGEREF _Toc988890 \h </w:instrText>
      </w:r>
      <w:r>
        <w:rPr>
          <w:rFonts w:hint="eastAsia" w:ascii="宋体" w:hAnsi="宋体" w:eastAsia="宋体"/>
          <w:b w:val="0"/>
          <w:bCs w:val="0"/>
          <w:sz w:val="24"/>
        </w:rPr>
        <w:fldChar w:fldCharType="separate"/>
      </w:r>
      <w:r>
        <w:rPr>
          <w:b w:val="0"/>
          <w:bCs w:val="0"/>
        </w:rPr>
        <w:t>6</w:t>
      </w:r>
      <w:r>
        <w:rPr>
          <w:b w:val="0"/>
          <w:bCs w:val="0"/>
        </w:rPr>
        <w:fldChar w:fldCharType="end"/>
      </w:r>
      <w:r>
        <w:rPr>
          <w:b w:val="0"/>
          <w:bCs w:val="0"/>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480" w:lineRule="auto"/>
        <w:textAlignment w:val="auto"/>
        <w:rPr>
          <w:b w:val="0"/>
          <w:bCs w:val="0"/>
        </w:rPr>
      </w:pPr>
      <w:r>
        <w:rPr>
          <w:b w:val="0"/>
          <w:bCs w:val="0"/>
        </w:rPr>
        <w:fldChar w:fldCharType="begin"/>
      </w:r>
      <w:r>
        <w:rPr>
          <w:b w:val="0"/>
          <w:bCs w:val="0"/>
        </w:rPr>
        <w:instrText xml:space="preserve"> HYPERLINK \l "_Toc988902" </w:instrText>
      </w:r>
      <w:r>
        <w:rPr>
          <w:b w:val="0"/>
          <w:bCs w:val="0"/>
        </w:rPr>
        <w:fldChar w:fldCharType="separate"/>
      </w:r>
      <w:r>
        <w:rPr>
          <w:rFonts w:hint="eastAsia" w:ascii="宋体" w:hAnsi="宋体" w:eastAsia="宋体"/>
          <w:b w:val="0"/>
          <w:bCs w:val="0"/>
          <w:sz w:val="24"/>
        </w:rPr>
        <w:t>第三节 管理层讨论与分析</w:t>
      </w:r>
      <w:r>
        <w:rPr>
          <w:b w:val="0"/>
          <w:bCs w:val="0"/>
        </w:rPr>
        <w:tab/>
      </w:r>
      <w:r>
        <w:rPr>
          <w:b w:val="0"/>
          <w:bCs w:val="0"/>
        </w:rPr>
        <w:fldChar w:fldCharType="begin"/>
      </w:r>
      <w:r>
        <w:rPr>
          <w:b w:val="0"/>
          <w:bCs w:val="0"/>
        </w:rPr>
        <w:instrText xml:space="preserve"> PAGEREF _Toc988902 \h </w:instrText>
      </w:r>
      <w:r>
        <w:rPr>
          <w:rFonts w:hint="eastAsia" w:ascii="宋体" w:hAnsi="宋体" w:eastAsia="宋体"/>
          <w:b w:val="0"/>
          <w:bCs w:val="0"/>
          <w:sz w:val="24"/>
        </w:rPr>
        <w:fldChar w:fldCharType="separate"/>
      </w:r>
      <w:r>
        <w:rPr>
          <w:b w:val="0"/>
          <w:bCs w:val="0"/>
        </w:rPr>
        <w:t>9</w:t>
      </w:r>
      <w:r>
        <w:rPr>
          <w:b w:val="0"/>
          <w:bCs w:val="0"/>
        </w:rPr>
        <w:fldChar w:fldCharType="end"/>
      </w:r>
      <w:r>
        <w:rPr>
          <w:b w:val="0"/>
          <w:bCs w:val="0"/>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480" w:lineRule="auto"/>
        <w:textAlignment w:val="auto"/>
        <w:rPr>
          <w:b w:val="0"/>
          <w:bCs w:val="0"/>
        </w:rPr>
      </w:pPr>
      <w:r>
        <w:rPr>
          <w:b w:val="0"/>
          <w:bCs w:val="0"/>
        </w:rPr>
        <w:fldChar w:fldCharType="begin"/>
      </w:r>
      <w:r>
        <w:rPr>
          <w:b w:val="0"/>
          <w:bCs w:val="0"/>
        </w:rPr>
        <w:instrText xml:space="preserve"> HYPERLINK \l "_Toc988929" </w:instrText>
      </w:r>
      <w:r>
        <w:rPr>
          <w:b w:val="0"/>
          <w:bCs w:val="0"/>
        </w:rPr>
        <w:fldChar w:fldCharType="separate"/>
      </w:r>
      <w:r>
        <w:rPr>
          <w:rFonts w:hint="eastAsia" w:ascii="宋体" w:hAnsi="宋体" w:eastAsia="宋体"/>
          <w:b w:val="0"/>
          <w:bCs w:val="0"/>
          <w:sz w:val="24"/>
        </w:rPr>
        <w:t>第四节 公司治理</w:t>
      </w:r>
      <w:r>
        <w:rPr>
          <w:b w:val="0"/>
          <w:bCs w:val="0"/>
        </w:rPr>
        <w:tab/>
      </w:r>
      <w:r>
        <w:rPr>
          <w:b w:val="0"/>
          <w:bCs w:val="0"/>
        </w:rPr>
        <w:fldChar w:fldCharType="begin"/>
      </w:r>
      <w:r>
        <w:rPr>
          <w:b w:val="0"/>
          <w:bCs w:val="0"/>
        </w:rPr>
        <w:instrText xml:space="preserve"> PAGEREF _Toc988929 \h </w:instrText>
      </w:r>
      <w:r>
        <w:rPr>
          <w:rFonts w:hint="eastAsia" w:ascii="宋体" w:hAnsi="宋体" w:eastAsia="宋体"/>
          <w:b w:val="0"/>
          <w:bCs w:val="0"/>
          <w:sz w:val="24"/>
        </w:rPr>
        <w:fldChar w:fldCharType="separate"/>
      </w:r>
      <w:r>
        <w:rPr>
          <w:b w:val="0"/>
          <w:bCs w:val="0"/>
        </w:rPr>
        <w:t>20</w:t>
      </w:r>
      <w:r>
        <w:rPr>
          <w:b w:val="0"/>
          <w:bCs w:val="0"/>
        </w:rPr>
        <w:fldChar w:fldCharType="end"/>
      </w:r>
      <w:r>
        <w:rPr>
          <w:b w:val="0"/>
          <w:bCs w:val="0"/>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480" w:lineRule="auto"/>
        <w:textAlignment w:val="auto"/>
        <w:rPr>
          <w:b w:val="0"/>
          <w:bCs w:val="0"/>
        </w:rPr>
      </w:pPr>
      <w:r>
        <w:rPr>
          <w:b w:val="0"/>
          <w:bCs w:val="0"/>
        </w:rPr>
        <w:fldChar w:fldCharType="begin"/>
      </w:r>
      <w:r>
        <w:rPr>
          <w:b w:val="0"/>
          <w:bCs w:val="0"/>
        </w:rPr>
        <w:instrText xml:space="preserve"> HYPERLINK \l "_Toc988936" </w:instrText>
      </w:r>
      <w:r>
        <w:rPr>
          <w:b w:val="0"/>
          <w:bCs w:val="0"/>
        </w:rPr>
        <w:fldChar w:fldCharType="separate"/>
      </w:r>
      <w:r>
        <w:rPr>
          <w:rFonts w:hint="eastAsia" w:ascii="宋体" w:hAnsi="宋体" w:eastAsia="宋体"/>
          <w:b w:val="0"/>
          <w:bCs w:val="0"/>
          <w:sz w:val="24"/>
        </w:rPr>
        <w:t>第五节 环境和社会责任</w:t>
      </w:r>
      <w:r>
        <w:rPr>
          <w:b w:val="0"/>
          <w:bCs w:val="0"/>
        </w:rPr>
        <w:tab/>
      </w:r>
      <w:r>
        <w:rPr>
          <w:b w:val="0"/>
          <w:bCs w:val="0"/>
        </w:rPr>
        <w:fldChar w:fldCharType="begin"/>
      </w:r>
      <w:r>
        <w:rPr>
          <w:b w:val="0"/>
          <w:bCs w:val="0"/>
        </w:rPr>
        <w:instrText xml:space="preserve"> PAGEREF _Toc988936 \h </w:instrText>
      </w:r>
      <w:r>
        <w:rPr>
          <w:rFonts w:hint="eastAsia" w:ascii="宋体" w:hAnsi="宋体" w:eastAsia="宋体"/>
          <w:b w:val="0"/>
          <w:bCs w:val="0"/>
          <w:sz w:val="24"/>
        </w:rPr>
        <w:fldChar w:fldCharType="separate"/>
      </w:r>
      <w:r>
        <w:rPr>
          <w:b w:val="0"/>
          <w:bCs w:val="0"/>
        </w:rPr>
        <w:t>21</w:t>
      </w:r>
      <w:r>
        <w:rPr>
          <w:b w:val="0"/>
          <w:bCs w:val="0"/>
        </w:rPr>
        <w:fldChar w:fldCharType="end"/>
      </w:r>
      <w:r>
        <w:rPr>
          <w:b w:val="0"/>
          <w:bCs w:val="0"/>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480" w:lineRule="auto"/>
        <w:textAlignment w:val="auto"/>
        <w:rPr>
          <w:b w:val="0"/>
          <w:bCs w:val="0"/>
        </w:rPr>
      </w:pPr>
      <w:r>
        <w:rPr>
          <w:b w:val="0"/>
          <w:bCs w:val="0"/>
        </w:rPr>
        <w:fldChar w:fldCharType="begin"/>
      </w:r>
      <w:r>
        <w:rPr>
          <w:b w:val="0"/>
          <w:bCs w:val="0"/>
        </w:rPr>
        <w:instrText xml:space="preserve"> HYPERLINK \l "_Toc988939" </w:instrText>
      </w:r>
      <w:r>
        <w:rPr>
          <w:b w:val="0"/>
          <w:bCs w:val="0"/>
        </w:rPr>
        <w:fldChar w:fldCharType="separate"/>
      </w:r>
      <w:r>
        <w:rPr>
          <w:rFonts w:hint="eastAsia" w:ascii="宋体" w:hAnsi="宋体" w:eastAsia="宋体"/>
          <w:b w:val="0"/>
          <w:bCs w:val="0"/>
          <w:sz w:val="24"/>
        </w:rPr>
        <w:t>第六节 重要事项</w:t>
      </w:r>
      <w:bookmarkStart w:id="338" w:name="_GoBack"/>
      <w:bookmarkEnd w:id="338"/>
      <w:r>
        <w:rPr>
          <w:b w:val="0"/>
          <w:bCs w:val="0"/>
        </w:rPr>
        <w:tab/>
      </w:r>
      <w:r>
        <w:rPr>
          <w:b w:val="0"/>
          <w:bCs w:val="0"/>
        </w:rPr>
        <w:fldChar w:fldCharType="begin"/>
      </w:r>
      <w:r>
        <w:rPr>
          <w:b w:val="0"/>
          <w:bCs w:val="0"/>
        </w:rPr>
        <w:instrText xml:space="preserve"> PAGEREF _Toc988939 \h </w:instrText>
      </w:r>
      <w:r>
        <w:rPr>
          <w:rFonts w:hint="eastAsia" w:ascii="宋体" w:hAnsi="宋体" w:eastAsia="宋体"/>
          <w:b w:val="0"/>
          <w:bCs w:val="0"/>
          <w:sz w:val="24"/>
        </w:rPr>
        <w:fldChar w:fldCharType="separate"/>
      </w:r>
      <w:r>
        <w:rPr>
          <w:b w:val="0"/>
          <w:bCs w:val="0"/>
        </w:rPr>
        <w:t>22</w:t>
      </w:r>
      <w:r>
        <w:rPr>
          <w:b w:val="0"/>
          <w:bCs w:val="0"/>
        </w:rPr>
        <w:fldChar w:fldCharType="end"/>
      </w:r>
      <w:r>
        <w:rPr>
          <w:b w:val="0"/>
          <w:bCs w:val="0"/>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480" w:lineRule="auto"/>
        <w:textAlignment w:val="auto"/>
        <w:rPr>
          <w:b w:val="0"/>
          <w:bCs w:val="0"/>
        </w:rPr>
      </w:pPr>
      <w:r>
        <w:rPr>
          <w:b w:val="0"/>
          <w:bCs w:val="0"/>
        </w:rPr>
        <w:fldChar w:fldCharType="begin"/>
      </w:r>
      <w:r>
        <w:rPr>
          <w:b w:val="0"/>
          <w:bCs w:val="0"/>
        </w:rPr>
        <w:instrText xml:space="preserve"> HYPERLINK \l "_Toc988968" </w:instrText>
      </w:r>
      <w:r>
        <w:rPr>
          <w:b w:val="0"/>
          <w:bCs w:val="0"/>
        </w:rPr>
        <w:fldChar w:fldCharType="separate"/>
      </w:r>
      <w:r>
        <w:rPr>
          <w:rFonts w:hint="eastAsia" w:ascii="宋体" w:hAnsi="宋体" w:eastAsia="宋体"/>
          <w:b w:val="0"/>
          <w:bCs w:val="0"/>
          <w:sz w:val="24"/>
        </w:rPr>
        <w:t>第七节 股份变动及股东情况</w:t>
      </w:r>
      <w:r>
        <w:rPr>
          <w:b w:val="0"/>
          <w:bCs w:val="0"/>
        </w:rPr>
        <w:tab/>
      </w:r>
      <w:r>
        <w:rPr>
          <w:b w:val="0"/>
          <w:bCs w:val="0"/>
        </w:rPr>
        <w:fldChar w:fldCharType="begin"/>
      </w:r>
      <w:r>
        <w:rPr>
          <w:b w:val="0"/>
          <w:bCs w:val="0"/>
        </w:rPr>
        <w:instrText xml:space="preserve"> PAGEREF _Toc988968 \h </w:instrText>
      </w:r>
      <w:r>
        <w:rPr>
          <w:rFonts w:hint="eastAsia" w:ascii="宋体" w:hAnsi="宋体" w:eastAsia="宋体"/>
          <w:b w:val="0"/>
          <w:bCs w:val="0"/>
          <w:sz w:val="24"/>
        </w:rPr>
        <w:fldChar w:fldCharType="separate"/>
      </w:r>
      <w:r>
        <w:rPr>
          <w:b w:val="0"/>
          <w:bCs w:val="0"/>
        </w:rPr>
        <w:t>27</w:t>
      </w:r>
      <w:r>
        <w:rPr>
          <w:b w:val="0"/>
          <w:bCs w:val="0"/>
        </w:rPr>
        <w:fldChar w:fldCharType="end"/>
      </w:r>
      <w:r>
        <w:rPr>
          <w:b w:val="0"/>
          <w:bCs w:val="0"/>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480" w:lineRule="auto"/>
        <w:textAlignment w:val="auto"/>
        <w:rPr>
          <w:b w:val="0"/>
          <w:bCs w:val="0"/>
        </w:rPr>
      </w:pPr>
      <w:r>
        <w:rPr>
          <w:b w:val="0"/>
          <w:bCs w:val="0"/>
        </w:rPr>
        <w:fldChar w:fldCharType="begin"/>
      </w:r>
      <w:r>
        <w:rPr>
          <w:b w:val="0"/>
          <w:bCs w:val="0"/>
        </w:rPr>
        <w:instrText xml:space="preserve"> HYPERLINK \l "_Toc988976" </w:instrText>
      </w:r>
      <w:r>
        <w:rPr>
          <w:b w:val="0"/>
          <w:bCs w:val="0"/>
        </w:rPr>
        <w:fldChar w:fldCharType="separate"/>
      </w:r>
      <w:r>
        <w:rPr>
          <w:rFonts w:hint="eastAsia" w:ascii="宋体" w:hAnsi="宋体" w:eastAsia="宋体"/>
          <w:b w:val="0"/>
          <w:bCs w:val="0"/>
          <w:sz w:val="24"/>
        </w:rPr>
        <w:t>第八节 优先股相关情况</w:t>
      </w:r>
      <w:r>
        <w:rPr>
          <w:b w:val="0"/>
          <w:bCs w:val="0"/>
        </w:rPr>
        <w:tab/>
      </w:r>
      <w:r>
        <w:rPr>
          <w:b w:val="0"/>
          <w:bCs w:val="0"/>
        </w:rPr>
        <w:fldChar w:fldCharType="begin"/>
      </w:r>
      <w:r>
        <w:rPr>
          <w:b w:val="0"/>
          <w:bCs w:val="0"/>
        </w:rPr>
        <w:instrText xml:space="preserve"> PAGEREF _Toc988976 \h </w:instrText>
      </w:r>
      <w:r>
        <w:rPr>
          <w:rFonts w:hint="eastAsia" w:ascii="宋体" w:hAnsi="宋体" w:eastAsia="宋体"/>
          <w:b w:val="0"/>
          <w:bCs w:val="0"/>
          <w:sz w:val="24"/>
        </w:rPr>
        <w:fldChar w:fldCharType="separate"/>
      </w:r>
      <w:r>
        <w:rPr>
          <w:b w:val="0"/>
          <w:bCs w:val="0"/>
        </w:rPr>
        <w:t>31</w:t>
      </w:r>
      <w:r>
        <w:rPr>
          <w:b w:val="0"/>
          <w:bCs w:val="0"/>
        </w:rPr>
        <w:fldChar w:fldCharType="end"/>
      </w:r>
      <w:r>
        <w:rPr>
          <w:b w:val="0"/>
          <w:bCs w:val="0"/>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480" w:lineRule="auto"/>
        <w:textAlignment w:val="auto"/>
        <w:rPr>
          <w:b w:val="0"/>
          <w:bCs w:val="0"/>
        </w:rPr>
      </w:pPr>
      <w:r>
        <w:rPr>
          <w:b w:val="0"/>
          <w:bCs w:val="0"/>
        </w:rPr>
        <w:fldChar w:fldCharType="begin"/>
      </w:r>
      <w:r>
        <w:rPr>
          <w:b w:val="0"/>
          <w:bCs w:val="0"/>
        </w:rPr>
        <w:instrText xml:space="preserve"> HYPERLINK \l "_Toc988977" </w:instrText>
      </w:r>
      <w:r>
        <w:rPr>
          <w:b w:val="0"/>
          <w:bCs w:val="0"/>
        </w:rPr>
        <w:fldChar w:fldCharType="separate"/>
      </w:r>
      <w:r>
        <w:rPr>
          <w:rFonts w:hint="eastAsia" w:ascii="宋体" w:hAnsi="宋体" w:eastAsia="宋体"/>
          <w:b w:val="0"/>
          <w:bCs w:val="0"/>
          <w:sz w:val="24"/>
        </w:rPr>
        <w:t>第九节 债券相关情况</w:t>
      </w:r>
      <w:r>
        <w:rPr>
          <w:b w:val="0"/>
          <w:bCs w:val="0"/>
        </w:rPr>
        <w:tab/>
      </w:r>
      <w:r>
        <w:rPr>
          <w:b w:val="0"/>
          <w:bCs w:val="0"/>
        </w:rPr>
        <w:fldChar w:fldCharType="begin"/>
      </w:r>
      <w:r>
        <w:rPr>
          <w:b w:val="0"/>
          <w:bCs w:val="0"/>
        </w:rPr>
        <w:instrText xml:space="preserve"> PAGEREF _Toc988977 \h </w:instrText>
      </w:r>
      <w:r>
        <w:rPr>
          <w:rFonts w:hint="eastAsia" w:ascii="宋体" w:hAnsi="宋体" w:eastAsia="宋体"/>
          <w:b w:val="0"/>
          <w:bCs w:val="0"/>
          <w:sz w:val="24"/>
        </w:rPr>
        <w:fldChar w:fldCharType="separate"/>
      </w:r>
      <w:r>
        <w:rPr>
          <w:b w:val="0"/>
          <w:bCs w:val="0"/>
        </w:rPr>
        <w:t>32</w:t>
      </w:r>
      <w:r>
        <w:rPr>
          <w:b w:val="0"/>
          <w:bCs w:val="0"/>
        </w:rPr>
        <w:fldChar w:fldCharType="end"/>
      </w:r>
      <w:r>
        <w:rPr>
          <w:b w:val="0"/>
          <w:bCs w:val="0"/>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480" w:lineRule="auto"/>
        <w:textAlignment w:val="auto"/>
        <w:rPr>
          <w:b w:val="0"/>
          <w:bCs w:val="0"/>
        </w:rPr>
      </w:pPr>
      <w:r>
        <w:rPr>
          <w:b w:val="0"/>
          <w:bCs w:val="0"/>
        </w:rPr>
        <w:fldChar w:fldCharType="begin"/>
      </w:r>
      <w:r>
        <w:rPr>
          <w:b w:val="0"/>
          <w:bCs w:val="0"/>
        </w:rPr>
        <w:instrText xml:space="preserve"> HYPERLINK \l "_Toc988978" </w:instrText>
      </w:r>
      <w:r>
        <w:rPr>
          <w:b w:val="0"/>
          <w:bCs w:val="0"/>
        </w:rPr>
        <w:fldChar w:fldCharType="separate"/>
      </w:r>
      <w:r>
        <w:rPr>
          <w:rFonts w:hint="eastAsia" w:ascii="宋体" w:hAnsi="宋体" w:eastAsia="宋体"/>
          <w:b w:val="0"/>
          <w:bCs w:val="0"/>
          <w:sz w:val="24"/>
        </w:rPr>
        <w:t>第十节 财务报告</w:t>
      </w:r>
      <w:r>
        <w:rPr>
          <w:b w:val="0"/>
          <w:bCs w:val="0"/>
        </w:rPr>
        <w:tab/>
      </w:r>
      <w:r>
        <w:rPr>
          <w:b w:val="0"/>
          <w:bCs w:val="0"/>
        </w:rPr>
        <w:fldChar w:fldCharType="begin"/>
      </w:r>
      <w:r>
        <w:rPr>
          <w:b w:val="0"/>
          <w:bCs w:val="0"/>
        </w:rPr>
        <w:instrText xml:space="preserve"> PAGEREF _Toc988978 \h </w:instrText>
      </w:r>
      <w:r>
        <w:rPr>
          <w:rFonts w:hint="eastAsia" w:ascii="宋体" w:hAnsi="宋体" w:eastAsia="宋体"/>
          <w:b w:val="0"/>
          <w:bCs w:val="0"/>
          <w:sz w:val="24"/>
        </w:rPr>
        <w:fldChar w:fldCharType="separate"/>
      </w:r>
      <w:r>
        <w:rPr>
          <w:b w:val="0"/>
          <w:bCs w:val="0"/>
        </w:rPr>
        <w:t>33</w:t>
      </w:r>
      <w:r>
        <w:rPr>
          <w:b w:val="0"/>
          <w:bCs w:val="0"/>
        </w:rPr>
        <w:fldChar w:fldCharType="end"/>
      </w:r>
      <w:r>
        <w:rPr>
          <w:b w:val="0"/>
          <w:bCs w:val="0"/>
        </w:rPr>
        <w:fldChar w:fldCharType="end"/>
      </w:r>
      <w:r>
        <w:rPr>
          <w:b w:val="0"/>
          <w:bCs w:val="0"/>
        </w:rPr>
        <w:fldChar w:fldCharType="end"/>
      </w:r>
    </w:p>
    <w:p>
      <w:pPr>
        <w:rPr>
          <w:b w:val="0"/>
          <w:bCs w:val="0"/>
        </w:rPr>
      </w:pPr>
      <w:r>
        <w:rPr>
          <w:b w:val="0"/>
          <w:bCs w:val="0"/>
        </w:rPr>
        <w:br w:type="page"/>
      </w:r>
    </w:p>
    <w:p>
      <w:pPr>
        <w:spacing w:before="0" w:after="0" w:line="640" w:lineRule="exact"/>
        <w:jc w:val="center"/>
        <w:rPr>
          <w:rFonts w:ascii="宋体" w:hAnsi="宋体" w:eastAsia="宋体" w:cs="宋体"/>
          <w:b/>
          <w:bCs/>
          <w:sz w:val="32"/>
          <w:szCs w:val="32"/>
        </w:rPr>
      </w:pPr>
      <w:r>
        <w:rPr>
          <w:rFonts w:ascii="宋体" w:hAnsi="宋体" w:eastAsia="宋体" w:cs="宋体"/>
          <w:b/>
          <w:bCs/>
          <w:sz w:val="32"/>
          <w:szCs w:val="32"/>
        </w:rPr>
        <w:t>备查文件目录</w:t>
      </w:r>
    </w:p>
    <w:p>
      <w:pPr>
        <w:pStyle w:val="3"/>
        <w:keepNext w:val="0"/>
        <w:keepLines w:val="0"/>
        <w:widowControl/>
        <w:suppressLineNumbers w:val="0"/>
        <w:spacing w:line="560" w:lineRule="atLeast"/>
        <w:rPr>
          <w:rFonts w:hint="eastAsia" w:ascii="宋体" w:hAnsi="宋体" w:eastAsia="宋体" w:cs="宋体"/>
          <w:sz w:val="21"/>
          <w:szCs w:val="21"/>
        </w:rPr>
      </w:pPr>
      <w:r>
        <w:rPr>
          <w:rFonts w:hint="eastAsia" w:ascii="宋体" w:hAnsi="宋体" w:eastAsia="宋体" w:cs="宋体"/>
          <w:sz w:val="21"/>
          <w:szCs w:val="21"/>
        </w:rPr>
        <w:t>一、载有董事长签名的2022年半年度报告原件；</w:t>
      </w:r>
    </w:p>
    <w:p>
      <w:pPr>
        <w:pStyle w:val="3"/>
        <w:keepNext w:val="0"/>
        <w:keepLines w:val="0"/>
        <w:widowControl/>
        <w:suppressLineNumbers w:val="0"/>
        <w:spacing w:line="560" w:lineRule="atLeast"/>
        <w:rPr>
          <w:rFonts w:hint="eastAsia" w:ascii="宋体" w:hAnsi="宋体" w:eastAsia="宋体" w:cs="宋体"/>
          <w:sz w:val="21"/>
          <w:szCs w:val="21"/>
        </w:rPr>
      </w:pPr>
      <w:r>
        <w:rPr>
          <w:rFonts w:hint="eastAsia" w:ascii="宋体" w:hAnsi="宋体" w:eastAsia="宋体" w:cs="宋体"/>
          <w:sz w:val="21"/>
          <w:szCs w:val="21"/>
        </w:rPr>
        <w:t>二、载有法定代表人、主管会计工作负责人、会计机构负责人签名并盖章的财务报表；</w:t>
      </w:r>
    </w:p>
    <w:p>
      <w:pPr>
        <w:pStyle w:val="3"/>
        <w:keepNext w:val="0"/>
        <w:keepLines w:val="0"/>
        <w:widowControl/>
        <w:suppressLineNumbers w:val="0"/>
        <w:spacing w:line="560" w:lineRule="atLeast"/>
        <w:rPr>
          <w:rFonts w:hint="eastAsia" w:ascii="宋体" w:hAnsi="宋体" w:eastAsia="宋体" w:cs="宋体"/>
          <w:sz w:val="21"/>
          <w:szCs w:val="21"/>
        </w:rPr>
      </w:pPr>
      <w:r>
        <w:rPr>
          <w:rFonts w:hint="eastAsia" w:ascii="宋体" w:hAnsi="宋体" w:eastAsia="宋体" w:cs="宋体"/>
          <w:sz w:val="21"/>
          <w:szCs w:val="21"/>
        </w:rPr>
        <w:t>三、报告期内在中国证监会指定报纸上公开披露过的所有公司文件的正本及公告的原稿；</w:t>
      </w:r>
    </w:p>
    <w:p>
      <w:pPr>
        <w:pStyle w:val="3"/>
        <w:keepNext w:val="0"/>
        <w:keepLines w:val="0"/>
        <w:widowControl/>
        <w:suppressLineNumbers w:val="0"/>
        <w:spacing w:line="560" w:lineRule="atLeast"/>
        <w:rPr>
          <w:rFonts w:hint="eastAsia" w:ascii="宋体" w:hAnsi="宋体" w:eastAsia="宋体" w:cs="宋体"/>
          <w:sz w:val="21"/>
          <w:szCs w:val="21"/>
        </w:rPr>
      </w:pPr>
      <w:r>
        <w:rPr>
          <w:rFonts w:hint="eastAsia" w:ascii="宋体" w:hAnsi="宋体" w:eastAsia="宋体" w:cs="宋体"/>
          <w:sz w:val="21"/>
          <w:szCs w:val="21"/>
        </w:rPr>
        <w:t>四、其他有关资料。</w:t>
      </w:r>
    </w:p>
    <w:p>
      <w:pPr>
        <w:rPr>
          <w:sz w:val="21"/>
          <w:szCs w:val="21"/>
        </w:rPr>
      </w:pPr>
      <w:r>
        <w:rPr>
          <w:sz w:val="21"/>
          <w:szCs w:val="21"/>
        </w:rPr>
        <w:br w:type="page"/>
      </w:r>
    </w:p>
    <w:p>
      <w:pPr>
        <w:spacing w:before="40" w:after="40" w:line="640" w:lineRule="exact"/>
        <w:jc w:val="center"/>
        <w:rPr>
          <w:rFonts w:ascii="宋体" w:hAnsi="宋体" w:eastAsia="宋体" w:cs="宋体"/>
          <w:b/>
          <w:bCs/>
          <w:sz w:val="32"/>
          <w:szCs w:val="32"/>
        </w:rPr>
      </w:pPr>
      <w:r>
        <w:rPr>
          <w:rFonts w:ascii="宋体" w:hAnsi="宋体" w:eastAsia="宋体" w:cs="宋体"/>
          <w:b/>
          <w:bCs/>
          <w:sz w:val="32"/>
          <w:szCs w:val="32"/>
        </w:rPr>
        <w:t>释</w:t>
      </w:r>
      <w:r>
        <w:rPr>
          <w:rFonts w:hint="eastAsia" w:ascii="宋体" w:hAnsi="宋体" w:eastAsia="宋体" w:cs="宋体"/>
          <w:b/>
          <w:bCs/>
          <w:sz w:val="32"/>
          <w:szCs w:val="32"/>
          <w:lang w:val="en-US" w:eastAsia="zh-CN"/>
        </w:rPr>
        <w:t xml:space="preserve">  </w:t>
      </w:r>
      <w:r>
        <w:rPr>
          <w:rFonts w:ascii="宋体" w:hAnsi="宋体" w:eastAsia="宋体" w:cs="宋体"/>
          <w:b/>
          <w:bCs/>
          <w:sz w:val="32"/>
          <w:szCs w:val="32"/>
        </w:rPr>
        <w:t>义</w:t>
      </w:r>
    </w:p>
    <w:p>
      <w:pPr>
        <w:spacing w:before="40" w:after="40" w:line="640" w:lineRule="exact"/>
        <w:jc w:val="center"/>
        <w:rPr>
          <w:rFonts w:ascii="宋体" w:hAnsi="宋体" w:eastAsia="宋体" w:cs="宋体"/>
          <w:b/>
          <w:bCs/>
          <w:sz w:val="32"/>
          <w:szCs w:val="32"/>
        </w:rPr>
      </w:pP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释义项</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释义内容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公司、本公司、博云新材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湖南博云新材料股份有限公司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粉冶中心</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兴湘集团</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高创投</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湖南湘投高科技创业投资有限公司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伟徽新材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博云东方</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博云汽车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霍尼韦尔（中国）有限公司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霍尼韦尔博云、合资公司</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PMA</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民用航空器零部件制造人批准书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C919</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中国商飞自主设计的国产大型客机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中国证监会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中国证券监督管理委员会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深交所</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湖南证监局</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中国证券监督管理委员会湖南监管局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湖南省国资委</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湖南省人民政府国有资产监督管理委员会</w:t>
            </w:r>
          </w:p>
        </w:tc>
      </w:tr>
    </w:tbl>
    <w:p>
      <w:r>
        <w:br w:type="page"/>
      </w:r>
    </w:p>
    <w:p>
      <w:pPr>
        <w:keepNext/>
        <w:keepLines/>
        <w:spacing w:before="340" w:after="330" w:line="773" w:lineRule="exact"/>
        <w:jc w:val="center"/>
        <w:outlineLvl w:val="0"/>
        <w:rPr>
          <w:rFonts w:ascii="宋体" w:hAnsi="宋体" w:eastAsia="宋体" w:cs="宋体"/>
          <w:b/>
          <w:bCs/>
          <w:sz w:val="32"/>
          <w:szCs w:val="32"/>
        </w:rPr>
      </w:pPr>
      <w:bookmarkStart w:id="1" w:name="_Toc988890"/>
      <w:r>
        <w:rPr>
          <w:rFonts w:ascii="宋体" w:hAnsi="宋体" w:eastAsia="宋体" w:cs="宋体"/>
          <w:b/>
          <w:bCs/>
          <w:sz w:val="32"/>
          <w:szCs w:val="32"/>
        </w:rPr>
        <w:t>第二节 公司简介和主要财务指标</w:t>
      </w:r>
      <w:bookmarkEnd w:id="1"/>
    </w:p>
    <w:p>
      <w:pPr>
        <w:keepNext/>
        <w:keepLines/>
        <w:spacing w:before="300" w:after="300" w:line="320" w:lineRule="exact"/>
        <w:jc w:val="left"/>
        <w:outlineLvl w:val="1"/>
        <w:rPr>
          <w:rFonts w:ascii="宋体" w:hAnsi="宋体" w:eastAsia="宋体" w:cs="宋体"/>
          <w:b/>
          <w:bCs/>
          <w:sz w:val="24"/>
          <w:szCs w:val="24"/>
        </w:rPr>
      </w:pPr>
      <w:bookmarkStart w:id="2" w:name="_Toc988891"/>
      <w:r>
        <w:rPr>
          <w:rFonts w:ascii="宋体" w:hAnsi="宋体" w:eastAsia="宋体" w:cs="宋体"/>
          <w:b/>
          <w:bCs/>
          <w:sz w:val="24"/>
          <w:szCs w:val="24"/>
        </w:rPr>
        <w:t>一、公司简介</w:t>
      </w:r>
      <w:bookmarkEnd w:id="2"/>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股票简称</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博云新材</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股票代码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002297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股票上市证券交易所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公司的中文名称</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湖南博云新材料股份有限公司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公司的中文简称（如有）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博云新材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公司的外文名称（如有）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HUNAN BOYUN NEW  MATERIALS CO.,LTD</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公司的外文名称缩写（如有）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BOYUN NEW MATERIALS</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公司的法定代表人</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贺柳</w:t>
            </w:r>
          </w:p>
        </w:tc>
      </w:tr>
    </w:tbl>
    <w:p>
      <w:pPr>
        <w:keepNext/>
        <w:keepLines/>
        <w:spacing w:before="300" w:after="300" w:line="320" w:lineRule="exact"/>
        <w:jc w:val="left"/>
        <w:outlineLvl w:val="1"/>
        <w:rPr>
          <w:rFonts w:ascii="宋体" w:hAnsi="宋体" w:eastAsia="宋体" w:cs="宋体"/>
          <w:b/>
          <w:bCs/>
          <w:sz w:val="24"/>
          <w:szCs w:val="24"/>
        </w:rPr>
      </w:pPr>
      <w:bookmarkStart w:id="3" w:name="_Toc988892"/>
      <w:r>
        <w:rPr>
          <w:rFonts w:ascii="宋体" w:hAnsi="宋体" w:eastAsia="宋体" w:cs="宋体"/>
          <w:b/>
          <w:bCs/>
          <w:sz w:val="24"/>
          <w:szCs w:val="24"/>
        </w:rPr>
        <w:t>二、联系人和联系方式</w:t>
      </w:r>
      <w:bookmarkEnd w:id="3"/>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董事会秘书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证券事务代表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姓名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曾光辉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张爱丽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联系地址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湖南省长沙市岳麓区雷锋大道346号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湖南省长沙市岳麓区雷锋大道346号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电话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0731-85302297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0731-85302297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传真</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0731-88122777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0731-88122777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电子信箱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hnboyun@hnboyun.com.cn</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hnboyun@hnboyun.com.cn</w:t>
            </w:r>
          </w:p>
        </w:tc>
      </w:tr>
    </w:tbl>
    <w:p>
      <w:pPr>
        <w:keepNext/>
        <w:keepLines/>
        <w:spacing w:before="300" w:after="300" w:line="320" w:lineRule="exact"/>
        <w:jc w:val="left"/>
        <w:outlineLvl w:val="1"/>
        <w:rPr>
          <w:rFonts w:ascii="宋体" w:hAnsi="宋体" w:eastAsia="宋体" w:cs="宋体"/>
          <w:b/>
          <w:bCs/>
          <w:sz w:val="24"/>
          <w:szCs w:val="24"/>
        </w:rPr>
      </w:pPr>
      <w:bookmarkStart w:id="4" w:name="_Toc988893"/>
      <w:r>
        <w:rPr>
          <w:rFonts w:ascii="宋体" w:hAnsi="宋体" w:eastAsia="宋体" w:cs="宋体"/>
          <w:b/>
          <w:bCs/>
          <w:sz w:val="24"/>
          <w:szCs w:val="24"/>
        </w:rPr>
        <w:t>三、其他情况</w:t>
      </w:r>
      <w:bookmarkEnd w:id="4"/>
    </w:p>
    <w:p>
      <w:pPr>
        <w:keepNext/>
        <w:keepLines/>
        <w:spacing w:before="300" w:after="300" w:line="280" w:lineRule="exact"/>
        <w:jc w:val="left"/>
        <w:outlineLvl w:val="2"/>
        <w:rPr>
          <w:rFonts w:ascii="宋体" w:hAnsi="宋体" w:eastAsia="宋体" w:cs="宋体"/>
          <w:b/>
          <w:bCs/>
          <w:sz w:val="21"/>
          <w:szCs w:val="21"/>
        </w:rPr>
      </w:pPr>
      <w:bookmarkStart w:id="5" w:name="_Toc988894"/>
      <w:r>
        <w:rPr>
          <w:rFonts w:ascii="宋体" w:hAnsi="宋体" w:eastAsia="宋体" w:cs="宋体"/>
          <w:b/>
          <w:bCs/>
          <w:sz w:val="21"/>
          <w:szCs w:val="21"/>
        </w:rPr>
        <w:t>1、公司联系方式</w:t>
      </w:r>
      <w:bookmarkEnd w:id="5"/>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公司注册地址，公司办公地址及其邮政编码，公司网址、电子信箱在报告期是否变化</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公司注册地址，公司办公地址及其邮政编码，公司网址、电子信箱报告期无变化，具体可参见2021年年报。</w:t>
      </w:r>
    </w:p>
    <w:p>
      <w:pPr>
        <w:keepNext/>
        <w:keepLines/>
        <w:spacing w:before="300" w:after="300" w:line="280" w:lineRule="exact"/>
        <w:jc w:val="left"/>
        <w:outlineLvl w:val="2"/>
        <w:rPr>
          <w:rFonts w:ascii="宋体" w:hAnsi="宋体" w:eastAsia="宋体" w:cs="宋体"/>
          <w:b/>
          <w:bCs/>
          <w:sz w:val="21"/>
          <w:szCs w:val="21"/>
        </w:rPr>
      </w:pPr>
      <w:bookmarkStart w:id="6" w:name="_Toc988895"/>
      <w:r>
        <w:rPr>
          <w:rFonts w:ascii="宋体" w:hAnsi="宋体" w:eastAsia="宋体" w:cs="宋体"/>
          <w:b/>
          <w:bCs/>
          <w:sz w:val="21"/>
          <w:szCs w:val="21"/>
        </w:rPr>
        <w:t>2、信息披露及备置地点</w:t>
      </w:r>
      <w:bookmarkEnd w:id="6"/>
    </w:p>
    <w:p>
      <w:pPr>
        <w:spacing w:before="100" w:after="100" w:line="240" w:lineRule="exact"/>
        <w:jc w:val="left"/>
        <w:rPr>
          <w:rFonts w:ascii="宋体" w:hAnsi="宋体" w:eastAsia="宋体" w:cs="宋体"/>
          <w:sz w:val="18"/>
          <w:szCs w:val="18"/>
        </w:rPr>
      </w:pPr>
      <w:r>
        <w:rPr>
          <w:rFonts w:ascii="宋体" w:hAnsi="宋体" w:eastAsia="宋体" w:cs="宋体"/>
          <w:sz w:val="18"/>
          <w:szCs w:val="18"/>
        </w:rPr>
        <w:t>信息披露及备置地点在报告期是否变化</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公司选定的信息披露报纸的名称，登载半年度报告的中国证监会指定网站的网址，公司半年度报告备置地报告期无变化，具体可参见2021年年报。</w:t>
      </w:r>
    </w:p>
    <w:p>
      <w:pPr>
        <w:keepNext/>
        <w:keepLines/>
        <w:spacing w:before="300" w:after="300" w:line="280" w:lineRule="exact"/>
        <w:jc w:val="left"/>
        <w:outlineLvl w:val="2"/>
        <w:rPr>
          <w:rFonts w:ascii="宋体" w:hAnsi="宋体" w:eastAsia="宋体" w:cs="宋体"/>
          <w:b/>
          <w:bCs/>
          <w:sz w:val="21"/>
          <w:szCs w:val="21"/>
        </w:rPr>
      </w:pPr>
      <w:bookmarkStart w:id="7" w:name="_Toc988896"/>
      <w:r>
        <w:rPr>
          <w:rFonts w:ascii="宋体" w:hAnsi="宋体" w:eastAsia="宋体" w:cs="宋体"/>
          <w:b/>
          <w:bCs/>
          <w:sz w:val="21"/>
          <w:szCs w:val="21"/>
        </w:rPr>
        <w:t>3、其他有关资料</w:t>
      </w:r>
      <w:bookmarkEnd w:id="7"/>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其他有关资料在报告期是否变更情况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pStyle w:val="3"/>
        <w:keepNext w:val="0"/>
        <w:keepLines w:val="0"/>
        <w:pageBreakBefore w:val="0"/>
        <w:widowControl/>
        <w:suppressLineNumbers w:val="0"/>
        <w:kinsoku/>
        <w:wordWrap/>
        <w:overflowPunct/>
        <w:topLinePunct w:val="0"/>
        <w:autoSpaceDE/>
        <w:autoSpaceDN/>
        <w:bidi w:val="0"/>
        <w:adjustRightInd/>
        <w:snapToGrid/>
        <w:spacing w:line="36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公司于2022年6月7日、2022年6月28日分别召开了第六届董事会第二十六次会议及2021年年度股东大会审议通过了《湖南博云新材料股份有限公司关于变更公司经营范围并修订&lt;公司章程&gt;的议案》，根据实际经营情况需要，变更公司经营范围，并对《公司章程》中所涉经营范围条款进行相应修订。公司已完成经营范围变更登记及《公司章程》备案手续，并取得了湖南省市场监督管理局换发的《营业执照》。具体内容详见披露于指定媒体和巨潮资讯网上的《湖南博云新材料股份有限公司关于变更公司经营范围并修订公司章程的公告》（公告编号：2022-038）及《湖南博云新材料股份有限公司关于完成经营范围变更登记并取得营业执照的公告》（公告编号：2022-046）。</w:t>
      </w:r>
    </w:p>
    <w:p>
      <w:pPr>
        <w:keepNext/>
        <w:keepLines/>
        <w:spacing w:before="300" w:after="300" w:line="320" w:lineRule="exact"/>
        <w:jc w:val="left"/>
        <w:outlineLvl w:val="1"/>
        <w:rPr>
          <w:rFonts w:ascii="宋体" w:hAnsi="宋体" w:eastAsia="宋体" w:cs="宋体"/>
          <w:b/>
          <w:bCs/>
          <w:sz w:val="24"/>
          <w:szCs w:val="24"/>
        </w:rPr>
      </w:pPr>
      <w:bookmarkStart w:id="8" w:name="_Toc988897"/>
      <w:r>
        <w:rPr>
          <w:rFonts w:ascii="宋体" w:hAnsi="宋体" w:eastAsia="宋体" w:cs="宋体"/>
          <w:b/>
          <w:bCs/>
          <w:sz w:val="24"/>
          <w:szCs w:val="24"/>
        </w:rPr>
        <w:t>四、主要会计数据和财务指标</w:t>
      </w:r>
      <w:bookmarkEnd w:id="8"/>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293,281,005.47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234,800,047.12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16,884,923.86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11,719,327.40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w:t>
            </w:r>
            <w:r>
              <w:rPr>
                <w:rFonts w:hint="eastAsia" w:ascii="宋体" w:hAnsi="宋体" w:cs="宋体"/>
                <w:sz w:val="18"/>
                <w:szCs w:val="18"/>
                <w:lang w:val="en-US" w:eastAsia="zh-CN"/>
              </w:rPr>
              <w:t>334</w:t>
            </w:r>
            <w:r>
              <w:rPr>
                <w:rFonts w:ascii="宋体" w:hAnsi="宋体" w:eastAsia="宋体" w:cs="宋体"/>
                <w:sz w:val="18"/>
                <w:szCs w:val="18"/>
              </w:rPr>
              <w:t>,</w:t>
            </w:r>
            <w:r>
              <w:rPr>
                <w:rFonts w:hint="eastAsia" w:ascii="宋体" w:hAnsi="宋体" w:cs="宋体"/>
                <w:sz w:val="18"/>
                <w:szCs w:val="18"/>
                <w:lang w:val="en-US" w:eastAsia="zh-CN"/>
              </w:rPr>
              <w:t>004</w:t>
            </w:r>
            <w:r>
              <w:rPr>
                <w:rFonts w:ascii="宋体" w:hAnsi="宋体" w:eastAsia="宋体" w:cs="宋体"/>
                <w:sz w:val="18"/>
                <w:szCs w:val="18"/>
              </w:rPr>
              <w:t>.</w:t>
            </w:r>
            <w:r>
              <w:rPr>
                <w:rFonts w:hint="eastAsia" w:ascii="宋体" w:hAnsi="宋体" w:cs="宋体"/>
                <w:sz w:val="18"/>
                <w:szCs w:val="18"/>
                <w:lang w:val="en-US" w:eastAsia="zh-CN"/>
              </w:rPr>
              <w:t>0</w:t>
            </w:r>
            <w:r>
              <w:rPr>
                <w:rFonts w:ascii="宋体" w:hAnsi="宋体" w:eastAsia="宋体" w:cs="宋体"/>
                <w:sz w:val="18"/>
                <w:szCs w:val="18"/>
              </w:rPr>
              <w:t>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1,569,536.17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w:t>
            </w:r>
            <w:r>
              <w:rPr>
                <w:rFonts w:hint="eastAsia" w:ascii="宋体" w:hAnsi="宋体" w:cs="宋体"/>
                <w:sz w:val="18"/>
                <w:szCs w:val="18"/>
                <w:lang w:val="en-US" w:eastAsia="zh-CN"/>
              </w:rPr>
              <w:t>0.99</w:t>
            </w:r>
            <w:r>
              <w:rPr>
                <w:rFonts w:ascii="宋体" w:hAnsi="宋体" w:eastAsia="宋体" w:cs="宋体"/>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-24,924,453.85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5,546,005.36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0.0295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0.0295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上年度末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总资产（元）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2,670,496,370.51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2,613,791,769.84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归属于上市公司股东的净资产（元）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2,071,981,739.24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2,055,096,815.38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0.82%</w:t>
            </w:r>
          </w:p>
        </w:tc>
      </w:tr>
    </w:tbl>
    <w:p>
      <w:pPr>
        <w:keepNext/>
        <w:keepLines/>
        <w:spacing w:before="300" w:after="300" w:line="320" w:lineRule="exact"/>
        <w:jc w:val="left"/>
        <w:outlineLvl w:val="1"/>
        <w:rPr>
          <w:rFonts w:ascii="宋体" w:hAnsi="宋体" w:eastAsia="宋体" w:cs="宋体"/>
          <w:b/>
          <w:bCs/>
          <w:sz w:val="24"/>
          <w:szCs w:val="24"/>
        </w:rPr>
      </w:pPr>
      <w:bookmarkStart w:id="9" w:name="_Toc988898"/>
      <w:r>
        <w:rPr>
          <w:rFonts w:ascii="宋体" w:hAnsi="宋体" w:eastAsia="宋体" w:cs="宋体"/>
          <w:b/>
          <w:bCs/>
          <w:sz w:val="24"/>
          <w:szCs w:val="24"/>
        </w:rPr>
        <w:t>五、境内外会计准则下会计数据差异</w:t>
      </w:r>
      <w:bookmarkEnd w:id="9"/>
    </w:p>
    <w:p>
      <w:pPr>
        <w:keepNext/>
        <w:keepLines/>
        <w:spacing w:before="300" w:after="300" w:line="280" w:lineRule="exact"/>
        <w:jc w:val="left"/>
        <w:outlineLvl w:val="2"/>
        <w:rPr>
          <w:rFonts w:ascii="宋体" w:hAnsi="宋体" w:eastAsia="宋体" w:cs="宋体"/>
          <w:b/>
          <w:bCs/>
          <w:sz w:val="21"/>
          <w:szCs w:val="21"/>
        </w:rPr>
      </w:pPr>
      <w:bookmarkStart w:id="10" w:name="_Toc988899"/>
      <w:r>
        <w:rPr>
          <w:rFonts w:ascii="宋体" w:hAnsi="宋体" w:eastAsia="宋体" w:cs="宋体"/>
          <w:b/>
          <w:bCs/>
          <w:sz w:val="21"/>
          <w:szCs w:val="21"/>
        </w:rPr>
        <w:t>1、同时按照国际会计准则与按照中国会计准则披露的财务报告中净利润和净资产差异情况</w:t>
      </w:r>
      <w:bookmarkEnd w:id="1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公司报告期不存在按照国际会计准则与按照中国会计准则披露的财务报告中净利润和净资产差异情况。</w:t>
      </w:r>
    </w:p>
    <w:p>
      <w:pPr>
        <w:keepNext/>
        <w:keepLines/>
        <w:spacing w:before="300" w:after="300" w:line="280" w:lineRule="exact"/>
        <w:jc w:val="left"/>
        <w:outlineLvl w:val="2"/>
        <w:rPr>
          <w:rFonts w:ascii="宋体" w:hAnsi="宋体" w:eastAsia="宋体" w:cs="宋体"/>
          <w:b/>
          <w:bCs/>
          <w:sz w:val="21"/>
          <w:szCs w:val="21"/>
        </w:rPr>
      </w:pPr>
      <w:bookmarkStart w:id="11" w:name="_Toc988900"/>
      <w:r>
        <w:rPr>
          <w:rFonts w:ascii="宋体" w:hAnsi="宋体" w:eastAsia="宋体" w:cs="宋体"/>
          <w:b/>
          <w:bCs/>
          <w:sz w:val="21"/>
          <w:szCs w:val="21"/>
        </w:rPr>
        <w:t>2、同时按照境外会计准则与按照中国会计准则披露的财务报告中净利润和净资产差异情况</w:t>
      </w:r>
      <w:bookmarkEnd w:id="1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公司报告期不存在按照境外会计准则与按照中国会计准则披露的财务报告中净利润和净资产差异情况。</w:t>
      </w:r>
    </w:p>
    <w:p>
      <w:pPr>
        <w:keepNext/>
        <w:keepLines/>
        <w:spacing w:before="300" w:after="300" w:line="320" w:lineRule="exact"/>
        <w:jc w:val="left"/>
        <w:outlineLvl w:val="1"/>
        <w:rPr>
          <w:rFonts w:ascii="宋体" w:hAnsi="宋体" w:eastAsia="宋体" w:cs="宋体"/>
          <w:b/>
          <w:bCs/>
          <w:sz w:val="24"/>
          <w:szCs w:val="24"/>
        </w:rPr>
      </w:pPr>
      <w:bookmarkStart w:id="12" w:name="_Toc988901"/>
      <w:r>
        <w:rPr>
          <w:rFonts w:ascii="宋体" w:hAnsi="宋体" w:eastAsia="宋体" w:cs="宋体"/>
          <w:b/>
          <w:bCs/>
          <w:sz w:val="24"/>
          <w:szCs w:val="24"/>
        </w:rPr>
        <w:t>六、非经常性损益项目及金额</w:t>
      </w:r>
      <w:bookmarkEnd w:id="12"/>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非流动资产处置损益（包括已计提资产减值准备的冲销部分）</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1,186.48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计入当期损益的政府补助（与公司正常经营业务密切相关，符合国家政策规定、按照一定标准定额或定量持续享受的政府补助除外）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7,941,964.26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宋体" w:hAnsi="宋体" w:eastAsia="宋体" w:cs="宋体"/>
                <w:sz w:val="18"/>
                <w:szCs w:val="18"/>
                <w:lang w:val="en-US" w:eastAsia="zh-CN"/>
              </w:rPr>
            </w:pPr>
            <w:r>
              <w:rPr>
                <w:rFonts w:hint="eastAsia" w:ascii="宋体" w:hAnsi="宋体" w:cs="宋体"/>
                <w:sz w:val="18"/>
                <w:szCs w:val="18"/>
                <w:lang w:val="en-US" w:eastAsia="zh-CN"/>
              </w:rPr>
              <w:t>1,537,255.57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-57,542.54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宋体" w:hAnsi="宋体" w:eastAsia="宋体" w:cs="宋体"/>
                <w:sz w:val="18"/>
                <w:szCs w:val="18"/>
                <w:lang w:val="en-US" w:eastAsia="zh-CN"/>
              </w:rPr>
            </w:pPr>
            <w:r>
              <w:rPr>
                <w:rFonts w:hint="eastAsia" w:ascii="宋体" w:hAnsi="宋体" w:cs="宋体"/>
                <w:sz w:val="18"/>
                <w:szCs w:val="18"/>
                <w:lang w:val="en-US" w:eastAsia="zh-CN"/>
              </w:rPr>
              <w:t>840,549.44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少数股东权益影响额（税后）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宋体" w:hAnsi="宋体" w:eastAsia="宋体" w:cs="宋体"/>
                <w:sz w:val="18"/>
                <w:szCs w:val="18"/>
                <w:lang w:val="en-US" w:eastAsia="zh-CN"/>
              </w:rPr>
            </w:pPr>
            <w:r>
              <w:rPr>
                <w:rFonts w:hint="eastAsia" w:ascii="宋体" w:hAnsi="宋体" w:cs="宋体"/>
                <w:sz w:val="18"/>
                <w:szCs w:val="18"/>
                <w:lang w:val="en-US" w:eastAsia="zh-CN"/>
              </w:rPr>
              <w:t>31,394.47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宋体" w:hAnsi="宋体" w:eastAsia="宋体" w:cs="宋体"/>
                <w:sz w:val="18"/>
                <w:szCs w:val="18"/>
                <w:lang w:val="en-US" w:eastAsia="zh-CN"/>
              </w:rPr>
            </w:pPr>
            <w:r>
              <w:rPr>
                <w:rFonts w:hint="eastAsia" w:ascii="宋体" w:hAnsi="宋体" w:cs="宋体"/>
                <w:sz w:val="18"/>
                <w:szCs w:val="18"/>
                <w:lang w:val="en-US" w:eastAsia="zh-CN"/>
              </w:rPr>
              <w:t>8,550,919.86</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公司不存在将《公开发行证券的公司信息披露解释性公告第1号——非经常性损益》中列举的非经常性损益项目界定为经常性损益的项目的情形。</w:t>
      </w:r>
    </w:p>
    <w:p>
      <w:r>
        <w:br w:type="page"/>
      </w:r>
    </w:p>
    <w:p>
      <w:pPr>
        <w:keepNext/>
        <w:keepLines/>
        <w:spacing w:before="340" w:after="330" w:line="773" w:lineRule="exact"/>
        <w:jc w:val="center"/>
        <w:outlineLvl w:val="0"/>
        <w:rPr>
          <w:rFonts w:ascii="宋体" w:hAnsi="宋体" w:eastAsia="宋体" w:cs="宋体"/>
          <w:b/>
          <w:bCs/>
          <w:sz w:val="32"/>
          <w:szCs w:val="32"/>
        </w:rPr>
      </w:pPr>
      <w:bookmarkStart w:id="13" w:name="_Toc988902"/>
      <w:r>
        <w:rPr>
          <w:rFonts w:ascii="宋体" w:hAnsi="宋体" w:eastAsia="宋体" w:cs="宋体"/>
          <w:b/>
          <w:bCs/>
          <w:sz w:val="32"/>
          <w:szCs w:val="32"/>
        </w:rPr>
        <w:t>第三节 管理层讨论与分析</w:t>
      </w:r>
      <w:bookmarkEnd w:id="13"/>
    </w:p>
    <w:p>
      <w:pPr>
        <w:keepNext/>
        <w:keepLines/>
        <w:spacing w:before="300" w:after="300" w:line="320" w:lineRule="exact"/>
        <w:jc w:val="left"/>
        <w:outlineLvl w:val="1"/>
        <w:rPr>
          <w:rFonts w:ascii="宋体" w:hAnsi="宋体" w:eastAsia="宋体" w:cs="宋体"/>
          <w:b/>
          <w:bCs/>
          <w:sz w:val="24"/>
          <w:szCs w:val="24"/>
        </w:rPr>
      </w:pPr>
      <w:bookmarkStart w:id="14" w:name="_Toc988903"/>
      <w:r>
        <w:rPr>
          <w:rFonts w:ascii="宋体" w:hAnsi="宋体" w:eastAsia="宋体" w:cs="宋体"/>
          <w:b/>
          <w:bCs/>
          <w:sz w:val="24"/>
          <w:szCs w:val="24"/>
        </w:rPr>
        <w:t>一、报告期内公司从事的主要业务</w:t>
      </w:r>
      <w:bookmarkEnd w:id="14"/>
    </w:p>
    <w:p>
      <w:pPr>
        <w:pStyle w:val="3"/>
        <w:keepNext w:val="0"/>
        <w:keepLines w:val="0"/>
        <w:widowControl/>
        <w:suppressLineNumbers w:val="0"/>
        <w:spacing w:before="0" w:beforeAutospacing="0" w:after="0" w:afterAutospacing="0" w:line="360" w:lineRule="atLeast"/>
        <w:ind w:left="0" w:firstLine="420"/>
        <w:jc w:val="both"/>
        <w:rPr>
          <w:rFonts w:hint="eastAsia" w:ascii="宋体" w:hAnsi="宋体" w:eastAsia="宋体" w:cs="宋体"/>
          <w:sz w:val="21"/>
          <w:szCs w:val="21"/>
        </w:rPr>
      </w:pPr>
      <w:r>
        <w:rPr>
          <w:rFonts w:hint="eastAsia" w:ascii="宋体" w:hAnsi="宋体" w:eastAsia="宋体" w:cs="宋体"/>
          <w:sz w:val="21"/>
          <w:szCs w:val="21"/>
        </w:rPr>
        <w:t>公司主要是从事航空机轮刹车系统及刹车材料、航天用碳/碳复合材料、高性能硬质合金和稀有金属粉体材料等产品的研发、生产与销售，产品主要涉及航空、航天和民用工业等领域。公司建有“国家炭/炭复合材料工程技术研究中心”。</w:t>
      </w:r>
    </w:p>
    <w:p>
      <w:pPr>
        <w:pStyle w:val="3"/>
        <w:keepNext w:val="0"/>
        <w:keepLines w:val="0"/>
        <w:widowControl/>
        <w:suppressLineNumbers w:val="0"/>
        <w:spacing w:before="0" w:beforeAutospacing="0" w:after="0" w:afterAutospacing="0" w:line="360" w:lineRule="atLeast"/>
        <w:ind w:left="0" w:firstLine="420"/>
        <w:jc w:val="both"/>
        <w:rPr>
          <w:rFonts w:hint="eastAsia" w:ascii="宋体" w:hAnsi="宋体" w:eastAsia="宋体" w:cs="宋体"/>
          <w:sz w:val="21"/>
          <w:szCs w:val="21"/>
        </w:rPr>
      </w:pPr>
      <w:r>
        <w:rPr>
          <w:rFonts w:hint="eastAsia" w:ascii="宋体" w:hAnsi="宋体" w:eastAsia="宋体" w:cs="宋体"/>
          <w:sz w:val="21"/>
          <w:szCs w:val="21"/>
        </w:rPr>
        <w:t>2022年上半年，公司实现营业总收入29,328.10万元，较上年同期增加24.91%；实现营业利润2,152.55万元，较上年同期增加27.16%；实现归属于上市公司股东的净利润1,688.49万元，较上年同期增加44.</w:t>
      </w:r>
      <w:r>
        <w:rPr>
          <w:rFonts w:hint="eastAsia" w:ascii="宋体" w:hAnsi="宋体" w:eastAsia="宋体" w:cs="宋体"/>
          <w:sz w:val="21"/>
          <w:szCs w:val="21"/>
          <w:lang w:val="en-US" w:eastAsia="zh-CN"/>
        </w:rPr>
        <w:t>0</w:t>
      </w:r>
      <w:r>
        <w:rPr>
          <w:rFonts w:hint="eastAsia" w:ascii="宋体" w:hAnsi="宋体" w:eastAsia="宋体" w:cs="宋体"/>
          <w:sz w:val="21"/>
          <w:szCs w:val="21"/>
        </w:rPr>
        <w:t>8%。报告期内业绩同比上升，主要原因为航空航天板块订单及交付增加，使得营业收入较上年同期较大幅度增长，利润增加。</w:t>
      </w:r>
    </w:p>
    <w:p>
      <w:pPr>
        <w:pStyle w:val="3"/>
        <w:keepNext w:val="0"/>
        <w:keepLines w:val="0"/>
        <w:widowControl/>
        <w:suppressLineNumbers w:val="0"/>
        <w:spacing w:before="0" w:beforeAutospacing="0" w:after="0" w:afterAutospacing="0" w:line="360" w:lineRule="atLeast"/>
        <w:ind w:left="0" w:firstLine="422"/>
        <w:jc w:val="both"/>
        <w:rPr>
          <w:rFonts w:hint="eastAsia" w:ascii="宋体" w:hAnsi="宋体" w:eastAsia="宋体" w:cs="宋体"/>
          <w:sz w:val="21"/>
          <w:szCs w:val="21"/>
        </w:rPr>
      </w:pPr>
      <w:r>
        <w:rPr>
          <w:rStyle w:val="6"/>
          <w:rFonts w:hint="eastAsia" w:ascii="宋体" w:hAnsi="宋体" w:eastAsia="宋体" w:cs="宋体"/>
          <w:b/>
          <w:sz w:val="21"/>
          <w:szCs w:val="21"/>
        </w:rPr>
        <w:t>（一）航空航天领域</w:t>
      </w:r>
    </w:p>
    <w:p>
      <w:pPr>
        <w:pStyle w:val="3"/>
        <w:keepNext w:val="0"/>
        <w:keepLines w:val="0"/>
        <w:widowControl/>
        <w:suppressLineNumbers w:val="0"/>
        <w:spacing w:before="0" w:beforeAutospacing="0" w:after="0" w:afterAutospacing="0" w:line="360" w:lineRule="atLeast"/>
        <w:ind w:left="0" w:firstLine="426"/>
        <w:jc w:val="both"/>
        <w:rPr>
          <w:rFonts w:hint="eastAsia" w:ascii="宋体" w:hAnsi="宋体" w:eastAsia="宋体" w:cs="宋体"/>
          <w:sz w:val="21"/>
          <w:szCs w:val="21"/>
        </w:rPr>
      </w:pPr>
      <w:r>
        <w:rPr>
          <w:rFonts w:hint="eastAsia" w:ascii="宋体" w:hAnsi="宋体" w:eastAsia="宋体" w:cs="宋体"/>
          <w:sz w:val="21"/>
          <w:szCs w:val="21"/>
        </w:rPr>
        <w:t>1、飞机机轮刹车系统</w:t>
      </w:r>
    </w:p>
    <w:p>
      <w:pPr>
        <w:pStyle w:val="3"/>
        <w:keepNext w:val="0"/>
        <w:keepLines w:val="0"/>
        <w:widowControl/>
        <w:suppressLineNumbers w:val="0"/>
        <w:spacing w:before="0" w:beforeAutospacing="0" w:after="0" w:afterAutospacing="0" w:line="360" w:lineRule="atLeast"/>
        <w:ind w:left="0" w:firstLine="426"/>
        <w:jc w:val="both"/>
        <w:rPr>
          <w:rFonts w:hint="eastAsia" w:ascii="宋体" w:hAnsi="宋体" w:eastAsia="宋体" w:cs="宋体"/>
          <w:sz w:val="21"/>
          <w:szCs w:val="21"/>
        </w:rPr>
      </w:pPr>
      <w:r>
        <w:rPr>
          <w:rFonts w:hint="eastAsia" w:ascii="宋体" w:hAnsi="宋体" w:eastAsia="宋体" w:cs="宋体"/>
          <w:sz w:val="21"/>
          <w:szCs w:val="21"/>
        </w:rPr>
        <w:t>飞机机轮刹车系统是飞机上一个具有独立功能的重要系统。该系统主要由机轮（刹车机轮和无刹车机轮）和刹车装置（含刹车盘）、电子防滑刹车系统（简称刹车系统）三大部分组成。主要作用是承受飞机在地面的静、动态冲击载荷、吸收刹车能量，并对飞机的起飞、着陆、滑行、转弯进行有效的制动和控制。公司全资子公司长沙鑫航目前主要业务为航空机轮和电子防滑刹车系统及附件，包括机轮、刹车装置、控制盒、刹车系统及系统集成等研发、生产、销售、维修和服务。</w:t>
      </w:r>
    </w:p>
    <w:p>
      <w:pPr>
        <w:pStyle w:val="3"/>
        <w:keepNext w:val="0"/>
        <w:keepLines w:val="0"/>
        <w:widowControl/>
        <w:suppressLineNumbers w:val="0"/>
        <w:spacing w:before="0" w:beforeAutospacing="0" w:after="0" w:afterAutospacing="0" w:line="360" w:lineRule="atLeast"/>
        <w:ind w:left="0" w:firstLine="426"/>
        <w:jc w:val="both"/>
        <w:rPr>
          <w:rFonts w:hint="eastAsia" w:ascii="宋体" w:hAnsi="宋体" w:eastAsia="宋体" w:cs="宋体"/>
          <w:sz w:val="21"/>
          <w:szCs w:val="21"/>
        </w:rPr>
      </w:pPr>
      <w:r>
        <w:rPr>
          <w:rFonts w:hint="eastAsia" w:ascii="宋体" w:hAnsi="宋体" w:eastAsia="宋体" w:cs="宋体"/>
          <w:sz w:val="21"/>
          <w:szCs w:val="21"/>
        </w:rPr>
        <w:t>2、航空用飞机刹车材料</w:t>
      </w:r>
    </w:p>
    <w:p>
      <w:pPr>
        <w:pStyle w:val="3"/>
        <w:keepNext w:val="0"/>
        <w:keepLines w:val="0"/>
        <w:widowControl/>
        <w:suppressLineNumbers w:val="0"/>
        <w:spacing w:before="0" w:beforeAutospacing="0" w:after="0" w:afterAutospacing="0" w:line="360" w:lineRule="atLeast"/>
        <w:ind w:left="0" w:firstLine="426"/>
        <w:jc w:val="both"/>
        <w:rPr>
          <w:rFonts w:hint="eastAsia" w:ascii="宋体" w:hAnsi="宋体" w:eastAsia="宋体" w:cs="宋体"/>
          <w:sz w:val="21"/>
          <w:szCs w:val="21"/>
        </w:rPr>
      </w:pPr>
      <w:r>
        <w:rPr>
          <w:rFonts w:hint="eastAsia" w:ascii="宋体" w:hAnsi="宋体" w:eastAsia="宋体" w:cs="宋体"/>
          <w:sz w:val="21"/>
          <w:szCs w:val="21"/>
        </w:rPr>
        <w:t>碳/碳复合材料是一种以碳纤维增强碳基体的先进复合材料，具有密度低、摩擦特性优良、耐高温、使用寿命长等一系列优异性能。公司先后研发了一系列具有自主知识产权的碳/碳复合材料制备技术和工艺装备。</w:t>
      </w:r>
    </w:p>
    <w:p>
      <w:pPr>
        <w:pStyle w:val="3"/>
        <w:keepNext w:val="0"/>
        <w:keepLines w:val="0"/>
        <w:widowControl/>
        <w:suppressLineNumbers w:val="0"/>
        <w:spacing w:before="0" w:beforeAutospacing="0" w:after="0" w:afterAutospacing="0" w:line="360" w:lineRule="atLeast"/>
        <w:ind w:left="0" w:firstLine="426"/>
        <w:jc w:val="both"/>
        <w:rPr>
          <w:rFonts w:hint="eastAsia" w:ascii="宋体" w:hAnsi="宋体" w:eastAsia="宋体" w:cs="宋体"/>
          <w:sz w:val="21"/>
          <w:szCs w:val="21"/>
        </w:rPr>
      </w:pPr>
      <w:r>
        <w:rPr>
          <w:rFonts w:hint="eastAsia" w:ascii="宋体" w:hAnsi="宋体" w:eastAsia="宋体" w:cs="宋体"/>
          <w:sz w:val="21"/>
          <w:szCs w:val="21"/>
        </w:rPr>
        <w:t>在航空用炭/炭刹车产品方面，公司已取得波音757、空客320系列、ERJ190系列、MA60等机型PMA证书，同时形成了包括国外客户委托开发炭刹车产品及若干个军机型号炭刹车产品在内的批产能力，目前正在持续开展多个型号的炭刹车产品研制。公司的碳刹车产品技术被成功应用于C919大型飞机,该产品能够满足C919大飞机的性能要求。2017年5月，装载有博云技术炭刹车产品的C919飞机圆满完成首飞任务，目前，获得中国民航局型号检查核准书，正式进入局方审定试飞阶段，首架机已交付东航首飞成功，年内预计将会接收运营。</w:t>
      </w:r>
    </w:p>
    <w:p>
      <w:pPr>
        <w:pStyle w:val="3"/>
        <w:keepNext w:val="0"/>
        <w:keepLines w:val="0"/>
        <w:widowControl/>
        <w:suppressLineNumbers w:val="0"/>
        <w:spacing w:before="0" w:beforeAutospacing="0" w:after="0" w:afterAutospacing="0" w:line="360" w:lineRule="atLeast"/>
        <w:ind w:left="0" w:firstLine="426"/>
        <w:jc w:val="both"/>
        <w:rPr>
          <w:rFonts w:hint="eastAsia" w:ascii="宋体" w:hAnsi="宋体" w:eastAsia="宋体" w:cs="宋体"/>
          <w:sz w:val="21"/>
          <w:szCs w:val="21"/>
        </w:rPr>
      </w:pPr>
      <w:r>
        <w:rPr>
          <w:rFonts w:hint="eastAsia" w:ascii="宋体" w:hAnsi="宋体" w:eastAsia="宋体" w:cs="宋体"/>
          <w:sz w:val="21"/>
          <w:szCs w:val="21"/>
        </w:rPr>
        <w:t>在粉末冶金材料刹车产品方面，高性能粉末冶金摩擦材料具有制动平稳、耐高温、耐磨损等优良性能。公司先后开发出三叉戟、波音737系列等多种粉末冶金航空刹车副。近几年公司为适应市场需求，开发了多款无人机粉末冶金刹车副。公司所研制的粉末冶金飞机刹车副技术水平完全满足使用要求，并有多款产品正在开展研制工作，目前进展顺利。</w:t>
      </w:r>
    </w:p>
    <w:p>
      <w:pPr>
        <w:pStyle w:val="3"/>
        <w:keepNext w:val="0"/>
        <w:keepLines w:val="0"/>
        <w:widowControl/>
        <w:suppressLineNumbers w:val="0"/>
        <w:spacing w:before="0" w:beforeAutospacing="0" w:after="0" w:afterAutospacing="0" w:line="360" w:lineRule="atLeast"/>
        <w:ind w:left="0" w:firstLine="426"/>
        <w:jc w:val="both"/>
        <w:rPr>
          <w:rFonts w:hint="eastAsia" w:ascii="宋体" w:hAnsi="宋体" w:eastAsia="宋体" w:cs="宋体"/>
          <w:sz w:val="21"/>
          <w:szCs w:val="21"/>
        </w:rPr>
      </w:pPr>
      <w:r>
        <w:rPr>
          <w:rFonts w:hint="eastAsia" w:ascii="宋体" w:hAnsi="宋体" w:eastAsia="宋体" w:cs="宋体"/>
          <w:sz w:val="21"/>
          <w:szCs w:val="21"/>
        </w:rPr>
        <w:t>3、航天用炭/炭复合材料</w:t>
      </w:r>
    </w:p>
    <w:p>
      <w:pPr>
        <w:pStyle w:val="3"/>
        <w:keepNext w:val="0"/>
        <w:keepLines w:val="0"/>
        <w:widowControl/>
        <w:suppressLineNumbers w:val="0"/>
        <w:spacing w:before="0" w:beforeAutospacing="0" w:after="0" w:afterAutospacing="0" w:line="360" w:lineRule="atLeast"/>
        <w:ind w:left="0" w:firstLine="426"/>
        <w:jc w:val="both"/>
        <w:rPr>
          <w:rFonts w:hint="eastAsia" w:ascii="宋体" w:hAnsi="宋体" w:eastAsia="宋体" w:cs="宋体"/>
          <w:sz w:val="21"/>
          <w:szCs w:val="21"/>
        </w:rPr>
      </w:pPr>
      <w:r>
        <w:rPr>
          <w:rFonts w:hint="eastAsia" w:ascii="宋体" w:hAnsi="宋体" w:eastAsia="宋体" w:cs="宋体"/>
          <w:sz w:val="21"/>
          <w:szCs w:val="21"/>
        </w:rPr>
        <w:t>在航天用炭/炭复合材料方面，公司与航天系统内多家单位建立了长期的合作关系，历年来从研制阶段即开始提供多个型号航天发动机用炭/炭复合材料产品。目前有二十多个型号炭/炭复合材料产品已定型并批量生产，另有三十多个新型号航天发动机用炭/炭复合材料产品处在研制阶段。商用航天领域，公司通过自主创新，所研发的碳/碳喉衬材料已成功应用于我国的“快舟系列” 商业航天固体运载火箭上。</w:t>
      </w:r>
    </w:p>
    <w:p>
      <w:pPr>
        <w:pStyle w:val="3"/>
        <w:keepNext w:val="0"/>
        <w:keepLines w:val="0"/>
        <w:widowControl/>
        <w:suppressLineNumbers w:val="0"/>
        <w:spacing w:before="0" w:beforeAutospacing="0" w:after="0" w:afterAutospacing="0" w:line="360" w:lineRule="atLeast"/>
        <w:ind w:left="0" w:firstLine="426"/>
        <w:jc w:val="both"/>
        <w:rPr>
          <w:rFonts w:hint="eastAsia" w:ascii="宋体" w:hAnsi="宋体" w:eastAsia="宋体" w:cs="宋体"/>
          <w:sz w:val="21"/>
          <w:szCs w:val="21"/>
        </w:rPr>
      </w:pPr>
      <w:r>
        <w:rPr>
          <w:rFonts w:hint="eastAsia" w:ascii="宋体" w:hAnsi="宋体" w:eastAsia="宋体" w:cs="宋体"/>
          <w:sz w:val="21"/>
          <w:szCs w:val="21"/>
        </w:rPr>
        <w:t>公司是国内航天发动机用炭/炭复合材料的重要研制、生产基地。2022年上半年，公司为多家航天企业提供炭/炭喉衬产品配套，面对航天产品需求量大幅增加的情况，公司通过扩大产能，改进工艺，提高产品供应能力，满足客户交付要求，针对这些情况，开展了数个新产品开发项目和技术研究项目，目前正按计划正常开展。</w:t>
      </w:r>
    </w:p>
    <w:p>
      <w:pPr>
        <w:pStyle w:val="3"/>
        <w:keepNext w:val="0"/>
        <w:keepLines w:val="0"/>
        <w:widowControl/>
        <w:suppressLineNumbers w:val="0"/>
        <w:spacing w:before="0" w:beforeAutospacing="0" w:after="0" w:afterAutospacing="0" w:line="360" w:lineRule="atLeast"/>
        <w:ind w:left="0" w:firstLine="422"/>
        <w:jc w:val="both"/>
        <w:rPr>
          <w:rFonts w:hint="eastAsia" w:ascii="宋体" w:hAnsi="宋体" w:eastAsia="宋体" w:cs="宋体"/>
          <w:sz w:val="21"/>
          <w:szCs w:val="21"/>
        </w:rPr>
      </w:pPr>
      <w:r>
        <w:rPr>
          <w:rStyle w:val="6"/>
          <w:rFonts w:hint="eastAsia" w:ascii="宋体" w:hAnsi="宋体" w:eastAsia="宋体" w:cs="宋体"/>
          <w:b/>
          <w:sz w:val="21"/>
          <w:szCs w:val="21"/>
        </w:rPr>
        <w:t>（二）硬质合金领域</w:t>
      </w:r>
    </w:p>
    <w:p>
      <w:pPr>
        <w:pStyle w:val="3"/>
        <w:keepNext w:val="0"/>
        <w:keepLines w:val="0"/>
        <w:widowControl/>
        <w:suppressLineNumbers w:val="0"/>
        <w:spacing w:before="0" w:beforeAutospacing="0" w:after="0" w:afterAutospacing="0" w:line="360" w:lineRule="atLeast"/>
        <w:ind w:left="0" w:firstLine="420"/>
        <w:jc w:val="both"/>
        <w:rPr>
          <w:rFonts w:hint="eastAsia" w:ascii="宋体" w:hAnsi="宋体" w:eastAsia="宋体" w:cs="宋体"/>
          <w:sz w:val="21"/>
          <w:szCs w:val="21"/>
        </w:rPr>
      </w:pPr>
      <w:r>
        <w:rPr>
          <w:rFonts w:hint="eastAsia" w:ascii="宋体" w:hAnsi="宋体" w:eastAsia="宋体" w:cs="宋体"/>
          <w:sz w:val="21"/>
          <w:szCs w:val="21"/>
        </w:rPr>
        <w:t>1、高性能硬质合金材料</w:t>
      </w:r>
    </w:p>
    <w:p>
      <w:pPr>
        <w:pStyle w:val="3"/>
        <w:keepNext w:val="0"/>
        <w:keepLines w:val="0"/>
        <w:widowControl/>
        <w:suppressLineNumbers w:val="0"/>
        <w:spacing w:before="0" w:beforeAutospacing="0" w:after="0" w:afterAutospacing="0" w:line="360" w:lineRule="atLeast"/>
        <w:ind w:left="0" w:firstLine="420"/>
        <w:jc w:val="both"/>
        <w:rPr>
          <w:rFonts w:hint="eastAsia" w:ascii="宋体" w:hAnsi="宋体" w:eastAsia="宋体" w:cs="宋体"/>
          <w:sz w:val="21"/>
          <w:szCs w:val="21"/>
        </w:rPr>
      </w:pPr>
      <w:r>
        <w:rPr>
          <w:rFonts w:hint="eastAsia" w:ascii="宋体" w:hAnsi="宋体" w:eastAsia="宋体" w:cs="宋体"/>
          <w:sz w:val="21"/>
          <w:szCs w:val="21"/>
        </w:rPr>
        <w:t>公司控股子公司博云东方是国家第三批专精特新“小巨人”企业，拥有具有自主知识产权的“高性能纳米/超细晶硬质合金制备技术”、“高性能特粗晶硬质合金制备技术”等核心技术，专业从事高性能硬质合金产品的研发、生产和销售。公司主要产品为高性能超细/纳米硬质合金棒材、高性能硬质合金模具材料、高性能特粗晶工程与矿用硬质合金、精深加工硬质合金成品（零/部件）等，应用于航空航天、汽车、国防建设、冶金、隧道等掘进工程和采矿、3C等工业领域。“博云”商标在美国和欧盟注册已有十余年，博云品牌在国际上拥有较高的知名度和美誉度。</w:t>
      </w:r>
    </w:p>
    <w:p>
      <w:pPr>
        <w:pStyle w:val="3"/>
        <w:keepNext w:val="0"/>
        <w:keepLines w:val="0"/>
        <w:widowControl/>
        <w:suppressLineNumbers w:val="0"/>
        <w:spacing w:before="0" w:beforeAutospacing="0" w:after="0" w:afterAutospacing="0" w:line="360" w:lineRule="atLeast"/>
        <w:ind w:left="0" w:firstLine="420"/>
        <w:jc w:val="both"/>
        <w:rPr>
          <w:rFonts w:hint="eastAsia" w:ascii="宋体" w:hAnsi="宋体" w:eastAsia="宋体" w:cs="宋体"/>
          <w:sz w:val="21"/>
          <w:szCs w:val="21"/>
        </w:rPr>
      </w:pPr>
      <w:r>
        <w:rPr>
          <w:rFonts w:hint="eastAsia" w:ascii="宋体" w:hAnsi="宋体" w:eastAsia="宋体" w:cs="宋体"/>
          <w:sz w:val="21"/>
          <w:szCs w:val="21"/>
        </w:rPr>
        <w:t>2、稀有金属粉体材料</w:t>
      </w:r>
    </w:p>
    <w:p>
      <w:pPr>
        <w:pStyle w:val="3"/>
        <w:keepNext w:val="0"/>
        <w:keepLines w:val="0"/>
        <w:widowControl/>
        <w:suppressLineNumbers w:val="0"/>
        <w:spacing w:before="0" w:beforeAutospacing="0" w:after="0" w:afterAutospacing="0" w:line="360" w:lineRule="atLeast"/>
        <w:ind w:left="0" w:firstLine="420"/>
        <w:jc w:val="left"/>
      </w:pPr>
      <w:r>
        <w:rPr>
          <w:rFonts w:hint="eastAsia" w:ascii="宋体" w:hAnsi="宋体" w:eastAsia="宋体" w:cs="宋体"/>
          <w:sz w:val="21"/>
          <w:szCs w:val="21"/>
        </w:rPr>
        <w:t>伟徽新材是专业从事稀有金属粉体新材料的研发、生产、销售的高新技术企业，公司主要产品分为碳化钽、碳化铬、碳化钒、碳化钛等一元碳化物，以及钨钛固溶体、钽铌固溶体、钨钛钽固溶体等多元复式碳化物。稀有金属碳化物粉末产品为生产硬质合金材料的添加剂和热喷涂材料的原料之一。硬质合金切削刀片、矿用合金、耐磨零件和热喷涂材料，被最终应用于航空航天、汽车制造、国防军工、钢铁冶金、机械加工、电子通讯、矿山能源、建筑工程和海洋工程等各种领域。伟徽新材的核心技术为各种规格的稀有金属碳化物粉体材料的生产工艺和检测方法，涵盖了分析检测、工艺控制、流程优化等各个方面。伟徽新材分析检测中心于2012年首次通过中国合格评定国家认可委员会（CNAS）认可并持续至今。</w:t>
      </w:r>
    </w:p>
    <w:p>
      <w:pPr>
        <w:keepNext/>
        <w:keepLines/>
        <w:spacing w:before="300" w:after="300" w:line="320" w:lineRule="exact"/>
        <w:jc w:val="left"/>
        <w:outlineLvl w:val="1"/>
        <w:rPr>
          <w:rFonts w:ascii="宋体" w:hAnsi="宋体" w:eastAsia="宋体" w:cs="宋体"/>
          <w:b/>
          <w:bCs/>
          <w:sz w:val="24"/>
          <w:szCs w:val="24"/>
        </w:rPr>
      </w:pPr>
      <w:bookmarkStart w:id="15" w:name="_Toc988904"/>
      <w:r>
        <w:rPr>
          <w:rFonts w:ascii="宋体" w:hAnsi="宋体" w:eastAsia="宋体" w:cs="宋体"/>
          <w:b/>
          <w:bCs/>
          <w:sz w:val="24"/>
          <w:szCs w:val="24"/>
        </w:rPr>
        <w:t>二、核心竞争力分析</w:t>
      </w:r>
      <w:bookmarkEnd w:id="15"/>
    </w:p>
    <w:p>
      <w:pPr>
        <w:pStyle w:val="3"/>
        <w:keepNext w:val="0"/>
        <w:keepLines w:val="0"/>
        <w:widowControl/>
        <w:suppressLineNumbers w:val="0"/>
        <w:spacing w:before="0" w:beforeAutospacing="0" w:after="0" w:afterAutospacing="0" w:line="360" w:lineRule="atLeast"/>
        <w:ind w:left="0" w:firstLine="300"/>
        <w:jc w:val="left"/>
        <w:rPr>
          <w:rFonts w:hint="eastAsia" w:ascii="宋体" w:hAnsi="宋体" w:eastAsia="宋体" w:cs="宋体"/>
          <w:sz w:val="18"/>
          <w:szCs w:val="18"/>
        </w:rPr>
      </w:pPr>
      <w:r>
        <w:rPr>
          <w:rStyle w:val="6"/>
          <w:rFonts w:hint="eastAsia" w:ascii="宋体" w:hAnsi="宋体" w:eastAsia="宋体" w:cs="宋体"/>
          <w:b/>
          <w:sz w:val="21"/>
          <w:szCs w:val="21"/>
        </w:rPr>
        <w:t>（一）产学研一体化优势</w:t>
      </w:r>
    </w:p>
    <w:p>
      <w:pPr>
        <w:pStyle w:val="3"/>
        <w:keepNext w:val="0"/>
        <w:keepLines w:val="0"/>
        <w:widowControl/>
        <w:suppressLineNumbers w:val="0"/>
        <w:spacing w:before="0" w:beforeAutospacing="0" w:after="0" w:afterAutospacing="0" w:line="360" w:lineRule="atLeast"/>
        <w:ind w:left="0" w:firstLine="426"/>
        <w:jc w:val="both"/>
        <w:rPr>
          <w:rFonts w:hint="eastAsia" w:ascii="宋体" w:hAnsi="宋体" w:eastAsia="宋体" w:cs="宋体"/>
          <w:sz w:val="18"/>
          <w:szCs w:val="18"/>
        </w:rPr>
      </w:pPr>
      <w:r>
        <w:rPr>
          <w:rFonts w:hint="eastAsia" w:ascii="宋体" w:hAnsi="宋体" w:eastAsia="宋体" w:cs="宋体"/>
          <w:sz w:val="21"/>
          <w:szCs w:val="21"/>
        </w:rPr>
        <w:t>公司依托中南大学，凝聚了一支以中国工程院黄伯云院士领衔的新材料人才队伍，通过与中南大学的粉末冶金国家重点实验室、粉末冶金国家工程研究中心、轻质高强材料国家级实验室等机构开展产学研合作，形成了国内较完善的粉末冶金材料、炭/炭复合材料等基础研究－应用研究－产业化的创新链，促进了公司自主创新能力的稳步提升。</w:t>
      </w:r>
    </w:p>
    <w:p>
      <w:pPr>
        <w:pStyle w:val="3"/>
        <w:keepNext w:val="0"/>
        <w:keepLines w:val="0"/>
        <w:widowControl/>
        <w:suppressLineNumbers w:val="0"/>
        <w:spacing w:before="0" w:beforeAutospacing="0" w:after="0" w:afterAutospacing="0" w:line="360" w:lineRule="atLeast"/>
        <w:jc w:val="left"/>
        <w:rPr>
          <w:rFonts w:hint="eastAsia" w:ascii="宋体" w:hAnsi="宋体" w:eastAsia="宋体" w:cs="宋体"/>
          <w:sz w:val="18"/>
          <w:szCs w:val="18"/>
        </w:rPr>
      </w:pPr>
      <w:r>
        <w:rPr>
          <w:rFonts w:hint="eastAsia" w:ascii="宋体" w:hAnsi="宋体" w:eastAsia="宋体" w:cs="宋体"/>
          <w:b/>
          <w:sz w:val="21"/>
          <w:szCs w:val="21"/>
        </w:rPr>
        <w:t xml:space="preserve">  </w:t>
      </w:r>
      <w:r>
        <w:rPr>
          <w:rStyle w:val="6"/>
          <w:rFonts w:hint="eastAsia" w:ascii="宋体" w:hAnsi="宋体" w:eastAsia="宋体" w:cs="宋体"/>
          <w:sz w:val="21"/>
          <w:szCs w:val="21"/>
        </w:rPr>
        <w:t>（二）政策优势</w:t>
      </w:r>
    </w:p>
    <w:p>
      <w:pPr>
        <w:pStyle w:val="3"/>
        <w:keepNext w:val="0"/>
        <w:keepLines w:val="0"/>
        <w:widowControl/>
        <w:suppressLineNumbers w:val="0"/>
        <w:spacing w:before="0" w:beforeAutospacing="0" w:after="0" w:afterAutospacing="0" w:line="360" w:lineRule="atLeast"/>
        <w:jc w:val="both"/>
        <w:rPr>
          <w:rFonts w:hint="eastAsia" w:ascii="宋体" w:hAnsi="宋体" w:eastAsia="宋体" w:cs="宋体"/>
          <w:sz w:val="18"/>
          <w:szCs w:val="18"/>
        </w:rPr>
      </w:pPr>
      <w:r>
        <w:rPr>
          <w:rFonts w:hint="eastAsia" w:ascii="宋体" w:hAnsi="宋体" w:eastAsia="宋体" w:cs="宋体"/>
          <w:sz w:val="21"/>
          <w:szCs w:val="21"/>
        </w:rPr>
        <w:t>  公司为国家战略新兴产业、军民融合等政策支持发展的企业，公司的航空产品（民用、军用飞机刹车系统）和航天产品有助于国家航空战略安全，同时在国防上具有重要战略意义。公司主要产品所涉及的行业被国家列为优先重点发展行业。</w:t>
      </w:r>
    </w:p>
    <w:p>
      <w:pPr>
        <w:pStyle w:val="3"/>
        <w:keepNext w:val="0"/>
        <w:keepLines w:val="0"/>
        <w:widowControl/>
        <w:suppressLineNumbers w:val="0"/>
        <w:spacing w:before="0" w:beforeAutospacing="0" w:after="0" w:afterAutospacing="0" w:line="360" w:lineRule="atLeast"/>
        <w:jc w:val="both"/>
        <w:rPr>
          <w:rFonts w:hint="eastAsia" w:ascii="宋体" w:hAnsi="宋体" w:eastAsia="宋体" w:cs="宋体"/>
          <w:sz w:val="18"/>
          <w:szCs w:val="18"/>
        </w:rPr>
      </w:pPr>
      <w:r>
        <w:rPr>
          <w:rFonts w:hint="eastAsia" w:ascii="宋体" w:hAnsi="宋体" w:eastAsia="宋体" w:cs="宋体"/>
          <w:b/>
          <w:sz w:val="21"/>
          <w:szCs w:val="21"/>
        </w:rPr>
        <w:t xml:space="preserve">  </w:t>
      </w:r>
      <w:r>
        <w:rPr>
          <w:rStyle w:val="6"/>
          <w:rFonts w:hint="eastAsia" w:ascii="宋体" w:hAnsi="宋体" w:eastAsia="宋体" w:cs="宋体"/>
          <w:sz w:val="21"/>
          <w:szCs w:val="21"/>
        </w:rPr>
        <w:t>（三）可持续发展优势</w:t>
      </w:r>
    </w:p>
    <w:p>
      <w:pPr>
        <w:pStyle w:val="3"/>
        <w:keepNext w:val="0"/>
        <w:keepLines w:val="0"/>
        <w:widowControl/>
        <w:suppressLineNumbers w:val="0"/>
        <w:spacing w:before="0" w:beforeAutospacing="0" w:after="0" w:afterAutospacing="0" w:line="360" w:lineRule="atLeast"/>
        <w:ind w:left="0" w:firstLine="420"/>
        <w:jc w:val="both"/>
        <w:rPr>
          <w:rFonts w:hint="eastAsia" w:ascii="宋体" w:hAnsi="宋体" w:eastAsia="宋体" w:cs="宋体"/>
          <w:sz w:val="18"/>
          <w:szCs w:val="18"/>
        </w:rPr>
      </w:pPr>
      <w:r>
        <w:rPr>
          <w:rFonts w:hint="eastAsia" w:ascii="宋体" w:hAnsi="宋体" w:eastAsia="宋体" w:cs="宋体"/>
          <w:sz w:val="21"/>
          <w:szCs w:val="21"/>
        </w:rPr>
        <w:t>公司开发的高性能粉末冶金材料和炭/炭复合材料产品通过在当前航空航天、工业用刀具模具、稀有金属粉体新材料等领域的应用，为公司产品拓展在其它领域的应用奠定了坚实的基础，有利于公司的可持续性发展。</w:t>
      </w:r>
    </w:p>
    <w:p>
      <w:pPr>
        <w:keepNext/>
        <w:keepLines/>
        <w:spacing w:before="300" w:after="300" w:line="320" w:lineRule="exact"/>
        <w:jc w:val="left"/>
        <w:outlineLvl w:val="1"/>
        <w:rPr>
          <w:rFonts w:ascii="宋体" w:hAnsi="宋体" w:eastAsia="宋体" w:cs="宋体"/>
          <w:b/>
          <w:bCs/>
          <w:sz w:val="24"/>
          <w:szCs w:val="24"/>
        </w:rPr>
      </w:pPr>
      <w:bookmarkStart w:id="16" w:name="_Toc988905"/>
      <w:r>
        <w:rPr>
          <w:rFonts w:ascii="宋体" w:hAnsi="宋体" w:eastAsia="宋体" w:cs="宋体"/>
          <w:b/>
          <w:bCs/>
          <w:sz w:val="24"/>
          <w:szCs w:val="24"/>
        </w:rPr>
        <w:t>三、主营业务分析</w:t>
      </w:r>
      <w:bookmarkEnd w:id="16"/>
    </w:p>
    <w:p>
      <w:pPr>
        <w:spacing w:before="100" w:after="100" w:line="240" w:lineRule="exact"/>
        <w:jc w:val="left"/>
        <w:rPr>
          <w:rFonts w:ascii="宋体" w:hAnsi="宋体" w:eastAsia="宋体" w:cs="宋体"/>
          <w:sz w:val="18"/>
          <w:szCs w:val="18"/>
        </w:rPr>
      </w:pPr>
      <w:r>
        <w:rPr>
          <w:rFonts w:ascii="宋体" w:hAnsi="宋体" w:eastAsia="宋体" w:cs="宋体"/>
          <w:sz w:val="18"/>
          <w:szCs w:val="18"/>
        </w:rPr>
        <w:t>概述</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参见“一、报告期内公司从事的主要业务”相关内容。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主要财务数据同比变动情况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460"/>
        <w:gridCol w:w="239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14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c>
          <w:tcPr>
            <w:tcW w:w="239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293,281,005.47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234,800,047.12</w:t>
            </w:r>
          </w:p>
        </w:tc>
        <w:tc>
          <w:tcPr>
            <w:tcW w:w="14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24.91%</w:t>
            </w:r>
          </w:p>
        </w:tc>
        <w:tc>
          <w:tcPr>
            <w:tcW w:w="23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主要为航空航天板块销售增长所致。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营业成本</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219,170,185.79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167,135,361.70</w:t>
            </w:r>
          </w:p>
        </w:tc>
        <w:tc>
          <w:tcPr>
            <w:tcW w:w="14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31.13%</w:t>
            </w:r>
          </w:p>
        </w:tc>
        <w:tc>
          <w:tcPr>
            <w:tcW w:w="23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主要为本期营业收入增长使营业成本相应增长所致。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销售费用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8,000,114.41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9,714,751.97</w:t>
            </w:r>
          </w:p>
        </w:tc>
        <w:tc>
          <w:tcPr>
            <w:tcW w:w="14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-17.65%</w:t>
            </w:r>
          </w:p>
        </w:tc>
        <w:tc>
          <w:tcPr>
            <w:tcW w:w="23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管理费用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23,305,407.64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21,085,748.72</w:t>
            </w:r>
          </w:p>
        </w:tc>
        <w:tc>
          <w:tcPr>
            <w:tcW w:w="14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10.53%</w:t>
            </w:r>
          </w:p>
        </w:tc>
        <w:tc>
          <w:tcPr>
            <w:tcW w:w="23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财务费用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-3,994,622.54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5,841,444.36</w:t>
            </w:r>
          </w:p>
        </w:tc>
        <w:tc>
          <w:tcPr>
            <w:tcW w:w="14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-168.38%</w:t>
            </w:r>
          </w:p>
        </w:tc>
        <w:tc>
          <w:tcPr>
            <w:tcW w:w="23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主要为利息费用减少及利息收入增加所致。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4,252,109.74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3,347,878.85</w:t>
            </w:r>
          </w:p>
        </w:tc>
        <w:tc>
          <w:tcPr>
            <w:tcW w:w="14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27.01%</w:t>
            </w:r>
          </w:p>
        </w:tc>
        <w:tc>
          <w:tcPr>
            <w:tcW w:w="23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主要为本期利润上升导致所得税费用增加所致。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研发投入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22,629,239.70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21,653,422.22</w:t>
            </w:r>
          </w:p>
        </w:tc>
        <w:tc>
          <w:tcPr>
            <w:tcW w:w="14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4.51%</w:t>
            </w:r>
          </w:p>
        </w:tc>
        <w:tc>
          <w:tcPr>
            <w:tcW w:w="23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-24,924,453.85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5,546,005.36</w:t>
            </w:r>
          </w:p>
        </w:tc>
        <w:tc>
          <w:tcPr>
            <w:tcW w:w="14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-549.41%</w:t>
            </w:r>
          </w:p>
        </w:tc>
        <w:tc>
          <w:tcPr>
            <w:tcW w:w="23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主要为本期购买商品接受劳务支付的现金增加所致。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57,751,799.57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-86,637,840.57</w:t>
            </w:r>
          </w:p>
        </w:tc>
        <w:tc>
          <w:tcPr>
            <w:tcW w:w="14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166.66%</w:t>
            </w:r>
          </w:p>
        </w:tc>
        <w:tc>
          <w:tcPr>
            <w:tcW w:w="23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主要为本期收回投资收到的现金增加（理财产品赎回增加）以及投资支付的现金减少（理财产品购买减少）所致。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-3,286,144.51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-40,478,232.31</w:t>
            </w:r>
          </w:p>
        </w:tc>
        <w:tc>
          <w:tcPr>
            <w:tcW w:w="14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91.88%</w:t>
            </w:r>
          </w:p>
        </w:tc>
        <w:tc>
          <w:tcPr>
            <w:tcW w:w="23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主要为本期取得借款收到现金减少及偿还账务支付现金减少所致。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现金及现金等价物净增加额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30,005,650.06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-122,152,621.52</w:t>
            </w:r>
          </w:p>
        </w:tc>
        <w:tc>
          <w:tcPr>
            <w:tcW w:w="14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124.56%</w:t>
            </w:r>
          </w:p>
        </w:tc>
        <w:tc>
          <w:tcPr>
            <w:tcW w:w="23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主要为本期投资活动产生现金净流入增加所致。</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公司报告期利润构成或利润来源发生重大变动</w:t>
      </w:r>
    </w:p>
    <w:p>
      <w:pPr>
        <w:spacing w:before="100" w:after="100" w:line="0" w:lineRule="exact"/>
        <w:jc w:val="left"/>
      </w:pP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公司报告期利润构成或利润来源没有发生重大变动。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营业收入构成</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这是文本内容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占营业收入比重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占营业收入比重</w:t>
            </w: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这是文本内容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293,281,005.47</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right"/>
              <w:rPr>
                <w:rFonts w:ascii="宋体" w:hAnsi="宋体" w:eastAsia="宋体" w:cs="宋体"/>
                <w:sz w:val="18"/>
                <w:szCs w:val="18"/>
                <w:shd w:val="clear" w:color="auto" w:fill="D3D3D3"/>
              </w:rPr>
            </w:pPr>
            <w:r>
              <w:rPr>
                <w:rFonts w:ascii="宋体" w:hAnsi="宋体" w:eastAsia="宋体" w:cs="宋体"/>
                <w:sz w:val="18"/>
                <w:szCs w:val="18"/>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234,800,047.12</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right"/>
              <w:rPr>
                <w:rFonts w:ascii="宋体" w:hAnsi="宋体" w:eastAsia="宋体" w:cs="宋体"/>
                <w:sz w:val="18"/>
                <w:szCs w:val="18"/>
                <w:shd w:val="clear" w:color="auto" w:fill="D3D3D3"/>
              </w:rPr>
            </w:pPr>
            <w:r>
              <w:rPr>
                <w:rFonts w:ascii="宋体" w:hAnsi="宋体" w:eastAsia="宋体" w:cs="宋体"/>
                <w:sz w:val="18"/>
                <w:szCs w:val="18"/>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航空航天及民用炭\炭复合材料</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102,132,301.48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66,767,805.07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硬质合金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131,088,361.89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44.70%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116,964,239.62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稀有金属粉体新材料</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45,445,031.74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40,594,260.26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14,615,310.36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10,473,742.17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航空航天及民用炭\炭复合材料</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102,132,301.48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66,767,805.07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高性能硬质合金材料</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131,088,361.89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44.70%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116,964,239.62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稀有金属粉体材料</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45,445,031.74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40,594,260.26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14,615,310.36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10,473,742.17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国内地区</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276,477,812.58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94.27%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220,731,786.36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94.01%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国外地区</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16,803,192.89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14,068,260.76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占公司营业收入或营业利润10%以上的行业、产品或地区情况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562"/>
        <w:gridCol w:w="1545"/>
        <w:gridCol w:w="1024"/>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56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5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2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毛利率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毛利率比上年同期增减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航空航天及民用炭\炭复合材料</w:t>
            </w:r>
          </w:p>
        </w:tc>
        <w:tc>
          <w:tcPr>
            <w:tcW w:w="156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102,132,301.48</w:t>
            </w:r>
          </w:p>
        </w:tc>
        <w:tc>
          <w:tcPr>
            <w:tcW w:w="15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67,124,553.10</w:t>
            </w:r>
          </w:p>
        </w:tc>
        <w:tc>
          <w:tcPr>
            <w:tcW w:w="10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34.28%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52.97%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硬质合金</w:t>
            </w:r>
          </w:p>
        </w:tc>
        <w:tc>
          <w:tcPr>
            <w:tcW w:w="156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131,088,361.89</w:t>
            </w:r>
          </w:p>
        </w:tc>
        <w:tc>
          <w:tcPr>
            <w:tcW w:w="15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113,582,890.12</w:t>
            </w:r>
          </w:p>
        </w:tc>
        <w:tc>
          <w:tcPr>
            <w:tcW w:w="10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24.40%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稀有金属粉体新材料</w:t>
            </w:r>
          </w:p>
        </w:tc>
        <w:tc>
          <w:tcPr>
            <w:tcW w:w="156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45,445,031.74</w:t>
            </w:r>
          </w:p>
        </w:tc>
        <w:tc>
          <w:tcPr>
            <w:tcW w:w="15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34,318,235.02</w:t>
            </w:r>
          </w:p>
        </w:tc>
        <w:tc>
          <w:tcPr>
            <w:tcW w:w="10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24.48%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航空航天及民用炭\炭复合材料</w:t>
            </w:r>
          </w:p>
        </w:tc>
        <w:tc>
          <w:tcPr>
            <w:tcW w:w="156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102,132,301.48</w:t>
            </w:r>
          </w:p>
        </w:tc>
        <w:tc>
          <w:tcPr>
            <w:tcW w:w="15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67,124,553.10</w:t>
            </w:r>
          </w:p>
        </w:tc>
        <w:tc>
          <w:tcPr>
            <w:tcW w:w="10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34.28%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52.97%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高性能硬质合金材料</w:t>
            </w:r>
          </w:p>
        </w:tc>
        <w:tc>
          <w:tcPr>
            <w:tcW w:w="156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131,088,361.89</w:t>
            </w:r>
          </w:p>
        </w:tc>
        <w:tc>
          <w:tcPr>
            <w:tcW w:w="15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113,582,890.12</w:t>
            </w:r>
          </w:p>
        </w:tc>
        <w:tc>
          <w:tcPr>
            <w:tcW w:w="10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24.40%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稀有金属粉体材料</w:t>
            </w:r>
          </w:p>
        </w:tc>
        <w:tc>
          <w:tcPr>
            <w:tcW w:w="156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45,445,031.74</w:t>
            </w:r>
          </w:p>
        </w:tc>
        <w:tc>
          <w:tcPr>
            <w:tcW w:w="15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34,318,235.02</w:t>
            </w:r>
          </w:p>
        </w:tc>
        <w:tc>
          <w:tcPr>
            <w:tcW w:w="10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24.48%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国内地区</w:t>
            </w:r>
          </w:p>
        </w:tc>
        <w:tc>
          <w:tcPr>
            <w:tcW w:w="156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261,862,502.22</w:t>
            </w:r>
          </w:p>
        </w:tc>
        <w:tc>
          <w:tcPr>
            <w:tcW w:w="15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204,214,839.26</w:t>
            </w:r>
          </w:p>
        </w:tc>
        <w:tc>
          <w:tcPr>
            <w:tcW w:w="10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国外地区</w:t>
            </w:r>
          </w:p>
        </w:tc>
        <w:tc>
          <w:tcPr>
            <w:tcW w:w="156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16,803,192.89</w:t>
            </w:r>
          </w:p>
        </w:tc>
        <w:tc>
          <w:tcPr>
            <w:tcW w:w="15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10,810,838.98</w:t>
            </w:r>
          </w:p>
        </w:tc>
        <w:tc>
          <w:tcPr>
            <w:tcW w:w="10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-0.95%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公司主营业务数据统计口径在报告期发生调整的情况下，公司最近1期按报告期末口径调整后的主营业务数据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40" w:line="240" w:lineRule="exact"/>
        <w:jc w:val="left"/>
        <w:rPr>
          <w:rFonts w:ascii="宋体" w:hAnsi="宋体" w:eastAsia="宋体" w:cs="宋体"/>
          <w:sz w:val="18"/>
          <w:szCs w:val="18"/>
        </w:rPr>
      </w:pPr>
      <w:r>
        <w:rPr>
          <w:rFonts w:ascii="宋体" w:hAnsi="宋体" w:eastAsia="宋体" w:cs="宋体"/>
          <w:sz w:val="18"/>
          <w:szCs w:val="18"/>
        </w:rPr>
        <w:t>相关数据同比发生变动30%以上的原因说明</w:t>
      </w:r>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keepNext/>
        <w:keepLines/>
        <w:spacing w:before="300" w:after="300" w:line="320" w:lineRule="exact"/>
        <w:jc w:val="left"/>
        <w:outlineLvl w:val="1"/>
        <w:rPr>
          <w:rFonts w:ascii="宋体" w:hAnsi="宋体" w:eastAsia="宋体" w:cs="宋体"/>
          <w:b/>
          <w:bCs/>
          <w:sz w:val="24"/>
          <w:szCs w:val="24"/>
        </w:rPr>
      </w:pPr>
      <w:bookmarkStart w:id="17" w:name="_Toc988906"/>
      <w:r>
        <w:rPr>
          <w:rFonts w:ascii="宋体" w:hAnsi="宋体" w:eastAsia="宋体" w:cs="宋体"/>
          <w:b/>
          <w:bCs/>
          <w:sz w:val="24"/>
          <w:szCs w:val="24"/>
        </w:rPr>
        <w:t>四、非主营业务分析</w:t>
      </w:r>
      <w:bookmarkEnd w:id="17"/>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663"/>
        <w:gridCol w:w="2370"/>
        <w:gridCol w:w="17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6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占利润总额比例</w:t>
            </w:r>
          </w:p>
        </w:tc>
        <w:tc>
          <w:tcPr>
            <w:tcW w:w="23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形成原因说明</w:t>
            </w:r>
          </w:p>
        </w:tc>
        <w:tc>
          <w:tcPr>
            <w:tcW w:w="17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是否具有可持续性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投资收益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-10,333,250.94</w:t>
            </w:r>
          </w:p>
        </w:tc>
        <w:tc>
          <w:tcPr>
            <w:tcW w:w="16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-48.13%</w:t>
            </w:r>
          </w:p>
        </w:tc>
        <w:tc>
          <w:tcPr>
            <w:tcW w:w="23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主要为本期合资公司项目投资亏损所致</w:t>
            </w:r>
          </w:p>
        </w:tc>
        <w:tc>
          <w:tcPr>
            <w:tcW w:w="17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公允价值变动损益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23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7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资产减值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-1,421,708.49</w:t>
            </w:r>
          </w:p>
        </w:tc>
        <w:tc>
          <w:tcPr>
            <w:tcW w:w="16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-6.62%</w:t>
            </w:r>
          </w:p>
        </w:tc>
        <w:tc>
          <w:tcPr>
            <w:tcW w:w="23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主要为本期计提存货减值</w:t>
            </w:r>
          </w:p>
        </w:tc>
        <w:tc>
          <w:tcPr>
            <w:tcW w:w="17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营业外收入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14,720.00</w:t>
            </w:r>
          </w:p>
        </w:tc>
        <w:tc>
          <w:tcPr>
            <w:tcW w:w="16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0.07%</w:t>
            </w:r>
          </w:p>
        </w:tc>
        <w:tc>
          <w:tcPr>
            <w:tcW w:w="23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7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营业外支出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72,262.54</w:t>
            </w:r>
          </w:p>
        </w:tc>
        <w:tc>
          <w:tcPr>
            <w:tcW w:w="16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0.34%</w:t>
            </w:r>
          </w:p>
        </w:tc>
        <w:tc>
          <w:tcPr>
            <w:tcW w:w="23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7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信用减值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-2,804,937.92</w:t>
            </w:r>
          </w:p>
        </w:tc>
        <w:tc>
          <w:tcPr>
            <w:tcW w:w="16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-13.07%</w:t>
            </w:r>
          </w:p>
        </w:tc>
        <w:tc>
          <w:tcPr>
            <w:tcW w:w="23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为本期计提应收账款、应收票据及其他应收款坏账准备所致</w:t>
            </w:r>
          </w:p>
        </w:tc>
        <w:tc>
          <w:tcPr>
            <w:tcW w:w="17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bl>
    <w:p>
      <w:pPr>
        <w:keepNext/>
        <w:keepLines/>
        <w:spacing w:before="300" w:after="300" w:line="320" w:lineRule="exact"/>
        <w:jc w:val="left"/>
        <w:outlineLvl w:val="1"/>
        <w:rPr>
          <w:rFonts w:ascii="宋体" w:hAnsi="宋体" w:eastAsia="宋体" w:cs="宋体"/>
          <w:b/>
          <w:bCs/>
          <w:sz w:val="24"/>
          <w:szCs w:val="24"/>
        </w:rPr>
      </w:pPr>
      <w:bookmarkStart w:id="18" w:name="_Toc988907"/>
      <w:r>
        <w:rPr>
          <w:rFonts w:ascii="宋体" w:hAnsi="宋体" w:eastAsia="宋体" w:cs="宋体"/>
          <w:b/>
          <w:bCs/>
          <w:sz w:val="24"/>
          <w:szCs w:val="24"/>
        </w:rPr>
        <w:t>五、资产及负债状况分析</w:t>
      </w:r>
      <w:bookmarkEnd w:id="18"/>
    </w:p>
    <w:p>
      <w:pPr>
        <w:keepNext/>
        <w:keepLines/>
        <w:spacing w:before="300" w:after="300" w:line="280" w:lineRule="exact"/>
        <w:jc w:val="left"/>
        <w:outlineLvl w:val="2"/>
        <w:rPr>
          <w:rFonts w:ascii="宋体" w:hAnsi="宋体" w:eastAsia="宋体" w:cs="宋体"/>
          <w:b/>
          <w:bCs/>
          <w:sz w:val="21"/>
          <w:szCs w:val="21"/>
        </w:rPr>
      </w:pPr>
      <w:bookmarkStart w:id="19" w:name="_Toc988908"/>
      <w:r>
        <w:rPr>
          <w:rFonts w:ascii="宋体" w:hAnsi="宋体" w:eastAsia="宋体" w:cs="宋体"/>
          <w:b/>
          <w:bCs/>
          <w:sz w:val="21"/>
          <w:szCs w:val="21"/>
        </w:rPr>
        <w:t>1、资产构成重大变动情况</w:t>
      </w:r>
      <w:bookmarkEnd w:id="1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8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622"/>
        <w:gridCol w:w="1132"/>
        <w:gridCol w:w="1718"/>
        <w:gridCol w:w="1036"/>
        <w:gridCol w:w="989"/>
        <w:gridCol w:w="19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上年末</w:t>
            </w:r>
          </w:p>
        </w:tc>
        <w:tc>
          <w:tcPr>
            <w:tcW w:w="98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比重增减</w:t>
            </w:r>
          </w:p>
        </w:tc>
        <w:tc>
          <w:tcPr>
            <w:tcW w:w="193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重大变动说明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2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1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占总资产比例</w:t>
            </w:r>
          </w:p>
        </w:tc>
        <w:tc>
          <w:tcPr>
            <w:tcW w:w="17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0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占总资产比例</w:t>
            </w:r>
          </w:p>
        </w:tc>
        <w:tc>
          <w:tcPr>
            <w:tcW w:w="98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3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16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606,149,885.27</w:t>
            </w:r>
          </w:p>
        </w:tc>
        <w:tc>
          <w:tcPr>
            <w:tcW w:w="11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22.70%</w:t>
            </w:r>
          </w:p>
        </w:tc>
        <w:tc>
          <w:tcPr>
            <w:tcW w:w="17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550,165,529.46</w:t>
            </w:r>
          </w:p>
        </w:tc>
        <w:tc>
          <w:tcPr>
            <w:tcW w:w="10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21.05%</w:t>
            </w:r>
          </w:p>
        </w:tc>
        <w:tc>
          <w:tcPr>
            <w:tcW w:w="9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w:t>
            </w:r>
          </w:p>
        </w:tc>
        <w:tc>
          <w:tcPr>
            <w:tcW w:w="19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6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227,081,105.72</w:t>
            </w:r>
          </w:p>
        </w:tc>
        <w:tc>
          <w:tcPr>
            <w:tcW w:w="11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8.50%</w:t>
            </w:r>
          </w:p>
        </w:tc>
        <w:tc>
          <w:tcPr>
            <w:tcW w:w="17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113,650,979.47</w:t>
            </w:r>
          </w:p>
        </w:tc>
        <w:tc>
          <w:tcPr>
            <w:tcW w:w="10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4.35%</w:t>
            </w:r>
          </w:p>
        </w:tc>
        <w:tc>
          <w:tcPr>
            <w:tcW w:w="9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4.15%</w:t>
            </w:r>
          </w:p>
        </w:tc>
        <w:tc>
          <w:tcPr>
            <w:tcW w:w="19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比年初增长99.81%，主要为本期营业收入增长及行业年末回款较集中特点所致。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合同资产</w:t>
            </w:r>
          </w:p>
        </w:tc>
        <w:tc>
          <w:tcPr>
            <w:tcW w:w="16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379,206.31</w:t>
            </w:r>
          </w:p>
        </w:tc>
        <w:tc>
          <w:tcPr>
            <w:tcW w:w="11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w:t>
            </w:r>
          </w:p>
        </w:tc>
        <w:tc>
          <w:tcPr>
            <w:tcW w:w="17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920,332.82</w:t>
            </w:r>
          </w:p>
        </w:tc>
        <w:tc>
          <w:tcPr>
            <w:tcW w:w="10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0.04%</w:t>
            </w:r>
          </w:p>
        </w:tc>
        <w:tc>
          <w:tcPr>
            <w:tcW w:w="9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w:t>
            </w:r>
          </w:p>
        </w:tc>
        <w:tc>
          <w:tcPr>
            <w:tcW w:w="19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存货</w:t>
            </w:r>
          </w:p>
        </w:tc>
        <w:tc>
          <w:tcPr>
            <w:tcW w:w="16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431,492,919.65</w:t>
            </w:r>
          </w:p>
        </w:tc>
        <w:tc>
          <w:tcPr>
            <w:tcW w:w="11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16.16%</w:t>
            </w:r>
          </w:p>
        </w:tc>
        <w:tc>
          <w:tcPr>
            <w:tcW w:w="17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400,809,609.43</w:t>
            </w:r>
          </w:p>
        </w:tc>
        <w:tc>
          <w:tcPr>
            <w:tcW w:w="10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15.33%</w:t>
            </w:r>
          </w:p>
        </w:tc>
        <w:tc>
          <w:tcPr>
            <w:tcW w:w="9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0.83%</w:t>
            </w:r>
          </w:p>
        </w:tc>
        <w:tc>
          <w:tcPr>
            <w:tcW w:w="19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长期股权投资</w:t>
            </w:r>
          </w:p>
        </w:tc>
        <w:tc>
          <w:tcPr>
            <w:tcW w:w="16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43,979,096.79</w:t>
            </w:r>
          </w:p>
        </w:tc>
        <w:tc>
          <w:tcPr>
            <w:tcW w:w="11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w:t>
            </w:r>
          </w:p>
        </w:tc>
        <w:tc>
          <w:tcPr>
            <w:tcW w:w="17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27,717,711.80</w:t>
            </w:r>
          </w:p>
        </w:tc>
        <w:tc>
          <w:tcPr>
            <w:tcW w:w="10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w:t>
            </w:r>
          </w:p>
        </w:tc>
        <w:tc>
          <w:tcPr>
            <w:tcW w:w="9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0.59%</w:t>
            </w:r>
          </w:p>
        </w:tc>
        <w:tc>
          <w:tcPr>
            <w:tcW w:w="19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比年初增长58.67%，主要为本期向合资公司增资所致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16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591,301,748.47</w:t>
            </w:r>
          </w:p>
        </w:tc>
        <w:tc>
          <w:tcPr>
            <w:tcW w:w="11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22.14%</w:t>
            </w:r>
          </w:p>
        </w:tc>
        <w:tc>
          <w:tcPr>
            <w:tcW w:w="17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609,827,964.40</w:t>
            </w:r>
          </w:p>
        </w:tc>
        <w:tc>
          <w:tcPr>
            <w:tcW w:w="10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23.33%</w:t>
            </w:r>
          </w:p>
        </w:tc>
        <w:tc>
          <w:tcPr>
            <w:tcW w:w="9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w:t>
            </w:r>
          </w:p>
        </w:tc>
        <w:tc>
          <w:tcPr>
            <w:tcW w:w="19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在建工程</w:t>
            </w:r>
          </w:p>
        </w:tc>
        <w:tc>
          <w:tcPr>
            <w:tcW w:w="16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185,484,751.68</w:t>
            </w:r>
          </w:p>
        </w:tc>
        <w:tc>
          <w:tcPr>
            <w:tcW w:w="11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6.95%</w:t>
            </w:r>
          </w:p>
        </w:tc>
        <w:tc>
          <w:tcPr>
            <w:tcW w:w="17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115,912,178.21</w:t>
            </w:r>
          </w:p>
        </w:tc>
        <w:tc>
          <w:tcPr>
            <w:tcW w:w="10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4.43%</w:t>
            </w:r>
          </w:p>
        </w:tc>
        <w:tc>
          <w:tcPr>
            <w:tcW w:w="9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w:t>
            </w:r>
          </w:p>
        </w:tc>
        <w:tc>
          <w:tcPr>
            <w:tcW w:w="19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比年初增长60.02%，主要为本期子公司博云东方麓谷基地产业化项目投入增加所致。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合同负债</w:t>
            </w:r>
          </w:p>
        </w:tc>
        <w:tc>
          <w:tcPr>
            <w:tcW w:w="16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9,420,042.54</w:t>
            </w:r>
          </w:p>
        </w:tc>
        <w:tc>
          <w:tcPr>
            <w:tcW w:w="11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0.35%</w:t>
            </w:r>
          </w:p>
        </w:tc>
        <w:tc>
          <w:tcPr>
            <w:tcW w:w="17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9,924,497.97</w:t>
            </w:r>
          </w:p>
        </w:tc>
        <w:tc>
          <w:tcPr>
            <w:tcW w:w="10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0.38%</w:t>
            </w:r>
          </w:p>
        </w:tc>
        <w:tc>
          <w:tcPr>
            <w:tcW w:w="9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w:t>
            </w:r>
          </w:p>
        </w:tc>
        <w:tc>
          <w:tcPr>
            <w:tcW w:w="19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长期借款</w:t>
            </w:r>
          </w:p>
        </w:tc>
        <w:tc>
          <w:tcPr>
            <w:tcW w:w="16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77,065,450.00</w:t>
            </w:r>
          </w:p>
        </w:tc>
        <w:tc>
          <w:tcPr>
            <w:tcW w:w="11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2.89%</w:t>
            </w:r>
          </w:p>
        </w:tc>
        <w:tc>
          <w:tcPr>
            <w:tcW w:w="17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78,058,933.33</w:t>
            </w:r>
          </w:p>
        </w:tc>
        <w:tc>
          <w:tcPr>
            <w:tcW w:w="10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2.99%</w:t>
            </w:r>
          </w:p>
        </w:tc>
        <w:tc>
          <w:tcPr>
            <w:tcW w:w="9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-0.10%</w:t>
            </w:r>
          </w:p>
        </w:tc>
        <w:tc>
          <w:tcPr>
            <w:tcW w:w="19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bl>
    <w:p>
      <w:pPr>
        <w:keepNext/>
        <w:keepLines/>
        <w:spacing w:before="300" w:after="300" w:line="280" w:lineRule="exact"/>
        <w:jc w:val="left"/>
        <w:outlineLvl w:val="2"/>
        <w:rPr>
          <w:rFonts w:ascii="宋体" w:hAnsi="宋体" w:eastAsia="宋体" w:cs="宋体"/>
          <w:b/>
          <w:bCs/>
          <w:sz w:val="21"/>
          <w:szCs w:val="21"/>
        </w:rPr>
      </w:pPr>
      <w:bookmarkStart w:id="20" w:name="_Toc988909"/>
      <w:r>
        <w:rPr>
          <w:rFonts w:ascii="宋体" w:hAnsi="宋体" w:eastAsia="宋体" w:cs="宋体"/>
          <w:b/>
          <w:bCs/>
          <w:sz w:val="21"/>
          <w:szCs w:val="21"/>
        </w:rPr>
        <w:t>2、主要境外资产情况</w:t>
      </w:r>
      <w:bookmarkEnd w:id="20"/>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1" w:name="_Toc988910"/>
      <w:r>
        <w:rPr>
          <w:rFonts w:ascii="宋体" w:hAnsi="宋体" w:eastAsia="宋体" w:cs="宋体"/>
          <w:b/>
          <w:bCs/>
          <w:sz w:val="21"/>
          <w:szCs w:val="21"/>
        </w:rPr>
        <w:t>3、以公允价值计量的资产和负债</w:t>
      </w:r>
      <w:bookmarkEnd w:id="21"/>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211"/>
        <w:gridCol w:w="93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本期公允价值变动损益</w:t>
            </w:r>
          </w:p>
        </w:tc>
        <w:tc>
          <w:tcPr>
            <w:tcW w:w="12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计入权益的累计公允价值变动</w:t>
            </w:r>
          </w:p>
        </w:tc>
        <w:tc>
          <w:tcPr>
            <w:tcW w:w="93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本期计提的减值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本期购买金额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本期出售金额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金融资产</w:t>
            </w:r>
          </w:p>
        </w:tc>
        <w:tc>
          <w:tcPr>
            <w:tcW w:w="8568"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1.交易性金融资产（不含衍生金融资产）</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215,983,345.52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1,537,255.57</w:t>
            </w:r>
          </w:p>
        </w:tc>
        <w:tc>
          <w:tcPr>
            <w:tcW w:w="12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217,520,601.09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2.衍生金融资产</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3.其他债权投资</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4.其他权益工具投资</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47,534,875.94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222,971.00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77,311,904.94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金融资产小计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263,518,221.46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1,537,255.57</w:t>
            </w:r>
          </w:p>
        </w:tc>
        <w:tc>
          <w:tcPr>
            <w:tcW w:w="12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9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217,520,601.09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222,971.00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77,311,904.94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3.应收款项融资</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22,075,670.99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99,452,538.30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92,714,224.92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28,813,984.37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上述合计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285,593,892.45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1,537,255.57</w:t>
            </w:r>
          </w:p>
        </w:tc>
        <w:tc>
          <w:tcPr>
            <w:tcW w:w="12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9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129,452,538.30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310,234,826.01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222,971.00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106,125,889.31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金融负债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其他变动的内容</w:t>
      </w:r>
    </w:p>
    <w:p>
      <w:pPr>
        <w:pStyle w:val="3"/>
        <w:keepNext w:val="0"/>
        <w:keepLines w:val="0"/>
        <w:widowControl/>
        <w:suppressLineNumbers w:val="0"/>
      </w:pPr>
      <w:r>
        <w:rPr>
          <w:rFonts w:hint="eastAsia" w:ascii="宋体" w:hAnsi="宋体" w:eastAsia="宋体" w:cs="宋体"/>
          <w:sz w:val="18"/>
          <w:szCs w:val="18"/>
        </w:rPr>
        <w:t>其他权益工具投资本金收回</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报告期内公司主要资产计量属性是否发生重大变化</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280" w:lineRule="exact"/>
        <w:jc w:val="left"/>
        <w:outlineLvl w:val="2"/>
        <w:rPr>
          <w:rFonts w:ascii="宋体" w:hAnsi="宋体" w:eastAsia="宋体" w:cs="宋体"/>
          <w:b/>
          <w:bCs/>
          <w:sz w:val="21"/>
          <w:szCs w:val="21"/>
        </w:rPr>
      </w:pPr>
      <w:bookmarkStart w:id="22" w:name="_Toc988911"/>
      <w:r>
        <w:rPr>
          <w:rFonts w:ascii="宋体" w:hAnsi="宋体" w:eastAsia="宋体" w:cs="宋体"/>
          <w:b/>
          <w:bCs/>
          <w:sz w:val="21"/>
          <w:szCs w:val="21"/>
        </w:rPr>
        <w:t>4、截至报告期末的资产权利受限情况</w:t>
      </w:r>
      <w:bookmarkEnd w:id="22"/>
    </w:p>
    <w:p>
      <w:pPr>
        <w:pStyle w:val="3"/>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eastAsia" w:ascii="宋体" w:hAnsi="宋体" w:eastAsia="宋体" w:cs="宋体"/>
          <w:sz w:val="18"/>
          <w:szCs w:val="18"/>
        </w:rPr>
        <w:t>详见第十节“财务报告”中七、合并财务报表注释“</w:t>
      </w:r>
      <w:r>
        <w:rPr>
          <w:rStyle w:val="6"/>
          <w:rFonts w:hint="eastAsia" w:ascii="宋体" w:hAnsi="宋体" w:eastAsia="宋体" w:cs="宋体"/>
          <w:b/>
          <w:sz w:val="18"/>
          <w:szCs w:val="18"/>
        </w:rPr>
        <w:t>第57点</w:t>
      </w:r>
      <w:r>
        <w:rPr>
          <w:rFonts w:hint="eastAsia" w:ascii="宋体" w:hAnsi="宋体" w:eastAsia="宋体" w:cs="宋体"/>
          <w:sz w:val="18"/>
          <w:szCs w:val="18"/>
        </w:rPr>
        <w:t>”所有权或使用权受到限制的资产</w:t>
      </w:r>
    </w:p>
    <w:p>
      <w:pPr>
        <w:keepNext/>
        <w:keepLines/>
        <w:spacing w:before="300" w:after="300" w:line="320" w:lineRule="exact"/>
        <w:jc w:val="left"/>
        <w:outlineLvl w:val="1"/>
        <w:rPr>
          <w:rFonts w:ascii="宋体" w:hAnsi="宋体" w:eastAsia="宋体" w:cs="宋体"/>
          <w:b/>
          <w:bCs/>
          <w:sz w:val="24"/>
          <w:szCs w:val="24"/>
        </w:rPr>
      </w:pPr>
      <w:bookmarkStart w:id="23" w:name="_Toc988912"/>
      <w:r>
        <w:rPr>
          <w:rFonts w:ascii="宋体" w:hAnsi="宋体" w:eastAsia="宋体" w:cs="宋体"/>
          <w:b/>
          <w:bCs/>
          <w:sz w:val="24"/>
          <w:szCs w:val="24"/>
        </w:rPr>
        <w:t>六、投资状况分析</w:t>
      </w:r>
      <w:bookmarkEnd w:id="23"/>
    </w:p>
    <w:p>
      <w:pPr>
        <w:keepNext/>
        <w:keepLines/>
        <w:spacing w:before="300" w:after="300" w:line="280" w:lineRule="exact"/>
        <w:jc w:val="left"/>
        <w:outlineLvl w:val="2"/>
        <w:rPr>
          <w:rFonts w:ascii="宋体" w:hAnsi="宋体" w:eastAsia="宋体" w:cs="宋体"/>
          <w:b/>
          <w:bCs/>
          <w:sz w:val="21"/>
          <w:szCs w:val="21"/>
        </w:rPr>
      </w:pPr>
      <w:bookmarkStart w:id="24" w:name="_Toc988913"/>
      <w:r>
        <w:rPr>
          <w:rFonts w:ascii="宋体" w:hAnsi="宋体" w:eastAsia="宋体" w:cs="宋体"/>
          <w:b/>
          <w:bCs/>
          <w:sz w:val="21"/>
          <w:szCs w:val="21"/>
        </w:rPr>
        <w:t>1、总体情况</w:t>
      </w:r>
      <w:bookmarkEnd w:id="24"/>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5" w:name="_Toc988914"/>
      <w:r>
        <w:rPr>
          <w:rFonts w:ascii="宋体" w:hAnsi="宋体" w:eastAsia="宋体" w:cs="宋体"/>
          <w:b/>
          <w:bCs/>
          <w:sz w:val="21"/>
          <w:szCs w:val="21"/>
        </w:rPr>
        <w:t>2、报告期内获取的重大的股权投资情况</w:t>
      </w:r>
      <w:bookmarkEnd w:id="25"/>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6" w:name="_Toc988915"/>
      <w:r>
        <w:rPr>
          <w:rFonts w:ascii="宋体" w:hAnsi="宋体" w:eastAsia="宋体" w:cs="宋体"/>
          <w:b/>
          <w:bCs/>
          <w:sz w:val="21"/>
          <w:szCs w:val="21"/>
        </w:rPr>
        <w:t>3、报告期内正在进行的重大的非股权投资情况</w:t>
      </w:r>
      <w:bookmarkEnd w:id="26"/>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7" w:name="_Toc988916"/>
      <w:r>
        <w:rPr>
          <w:rFonts w:ascii="宋体" w:hAnsi="宋体" w:eastAsia="宋体" w:cs="宋体"/>
          <w:b/>
          <w:bCs/>
          <w:sz w:val="21"/>
          <w:szCs w:val="21"/>
        </w:rPr>
        <w:t>4、金融资产投资</w:t>
      </w:r>
      <w:bookmarkEnd w:id="27"/>
    </w:p>
    <w:p>
      <w:pPr>
        <w:keepNext/>
        <w:keepLines/>
        <w:spacing w:before="300" w:after="300" w:line="280" w:lineRule="exact"/>
        <w:jc w:val="left"/>
        <w:outlineLvl w:val="3"/>
        <w:rPr>
          <w:rFonts w:ascii="宋体" w:hAnsi="宋体" w:eastAsia="宋体" w:cs="宋体"/>
          <w:b/>
          <w:bCs/>
          <w:sz w:val="18"/>
          <w:szCs w:val="18"/>
        </w:rPr>
      </w:pPr>
      <w:bookmarkStart w:id="28" w:name="_Toc988917"/>
      <w:r>
        <w:rPr>
          <w:rFonts w:ascii="宋体" w:hAnsi="宋体" w:eastAsia="宋体" w:cs="宋体"/>
          <w:b/>
          <w:bCs/>
          <w:sz w:val="18"/>
          <w:szCs w:val="18"/>
        </w:rPr>
        <w:t>（1） 证券投资情况</w:t>
      </w:r>
      <w:bookmarkEnd w:id="28"/>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公司报告期不存在证券投资。</w:t>
      </w:r>
    </w:p>
    <w:p>
      <w:pPr>
        <w:keepNext/>
        <w:keepLines/>
        <w:spacing w:before="300" w:after="300" w:line="280" w:lineRule="exact"/>
        <w:jc w:val="left"/>
        <w:outlineLvl w:val="3"/>
        <w:rPr>
          <w:rFonts w:ascii="宋体" w:hAnsi="宋体" w:eastAsia="宋体" w:cs="宋体"/>
          <w:b/>
          <w:bCs/>
          <w:sz w:val="18"/>
          <w:szCs w:val="18"/>
        </w:rPr>
      </w:pPr>
      <w:bookmarkStart w:id="29" w:name="_Toc988918"/>
      <w:r>
        <w:rPr>
          <w:rFonts w:ascii="宋体" w:hAnsi="宋体" w:eastAsia="宋体" w:cs="宋体"/>
          <w:b/>
          <w:bCs/>
          <w:sz w:val="18"/>
          <w:szCs w:val="18"/>
        </w:rPr>
        <w:t>（2） 衍生品投资情况</w:t>
      </w:r>
      <w:bookmarkEnd w:id="29"/>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公司报告期不存在衍生品投资。</w:t>
      </w:r>
    </w:p>
    <w:p>
      <w:pPr>
        <w:keepNext/>
        <w:keepLines/>
        <w:spacing w:before="300" w:after="300" w:line="280" w:lineRule="exact"/>
        <w:jc w:val="left"/>
        <w:outlineLvl w:val="2"/>
        <w:rPr>
          <w:rFonts w:ascii="宋体" w:hAnsi="宋体" w:eastAsia="宋体" w:cs="宋体"/>
          <w:b/>
          <w:bCs/>
          <w:sz w:val="21"/>
          <w:szCs w:val="21"/>
        </w:rPr>
      </w:pPr>
      <w:bookmarkStart w:id="30" w:name="_Toc988919"/>
      <w:r>
        <w:rPr>
          <w:rFonts w:ascii="宋体" w:hAnsi="宋体" w:eastAsia="宋体" w:cs="宋体"/>
          <w:b/>
          <w:bCs/>
          <w:sz w:val="21"/>
          <w:szCs w:val="21"/>
        </w:rPr>
        <w:t>5、募集资金使用情况</w:t>
      </w:r>
      <w:bookmarkEnd w:id="30"/>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keepNext/>
        <w:keepLines/>
        <w:spacing w:before="300" w:after="300" w:line="280" w:lineRule="exact"/>
        <w:jc w:val="left"/>
        <w:outlineLvl w:val="3"/>
        <w:rPr>
          <w:rFonts w:ascii="宋体" w:hAnsi="宋体" w:eastAsia="宋体" w:cs="宋体"/>
          <w:b/>
          <w:bCs/>
          <w:sz w:val="18"/>
          <w:szCs w:val="18"/>
        </w:rPr>
      </w:pPr>
      <w:bookmarkStart w:id="31" w:name="_Toc988920"/>
      <w:r>
        <w:rPr>
          <w:rFonts w:ascii="宋体" w:hAnsi="宋体" w:eastAsia="宋体" w:cs="宋体"/>
          <w:b/>
          <w:bCs/>
          <w:sz w:val="18"/>
          <w:szCs w:val="18"/>
        </w:rPr>
        <w:t>（1） 募集资金总体使用情况</w:t>
      </w:r>
      <w:bookmarkEnd w:id="31"/>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4"/>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764"/>
        <w:gridCol w:w="825"/>
        <w:gridCol w:w="825"/>
        <w:gridCol w:w="675"/>
        <w:gridCol w:w="1410"/>
        <w:gridCol w:w="75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募集年份</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募集方式</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募集资金总额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本期已使用募集资金总额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已累计使用募集资金总额</w:t>
            </w:r>
          </w:p>
        </w:tc>
        <w:tc>
          <w:tcPr>
            <w:tcW w:w="7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报告期内变更用途的募集资金总额</w:t>
            </w:r>
          </w:p>
        </w:tc>
        <w:tc>
          <w:tcPr>
            <w:tcW w:w="8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累计变更用途的募集资金总额</w:t>
            </w:r>
          </w:p>
        </w:tc>
        <w:tc>
          <w:tcPr>
            <w:tcW w:w="8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累计变更用途的募集资金总额比例</w:t>
            </w:r>
          </w:p>
        </w:tc>
        <w:tc>
          <w:tcPr>
            <w:tcW w:w="6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尚未使用募集资金总额</w:t>
            </w:r>
          </w:p>
        </w:tc>
        <w:tc>
          <w:tcPr>
            <w:tcW w:w="1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尚未使用募集资金用途及去向</w:t>
            </w:r>
          </w:p>
        </w:tc>
        <w:tc>
          <w:tcPr>
            <w:tcW w:w="75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闲置两年以上募集资金金额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非公开发行</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9,519.21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37,190.75</w:t>
            </w:r>
          </w:p>
        </w:tc>
        <w:tc>
          <w:tcPr>
            <w:tcW w:w="7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25,782.8</w:t>
            </w: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截至2022年6月30日，尚未使用的募集资金合计25,782.80万元，其中非公开发行募集资金专用账户存放余额为10,782.80万元,暂时补充流动资金15,000.00万元。尚未使用的募集资金将用于高效精密硬质合金工模具与高强韧性特粗晶硬质合金掘进刀具麓谷基地产业化项目。</w:t>
            </w:r>
          </w:p>
        </w:tc>
        <w:tc>
          <w:tcPr>
            <w:tcW w:w="7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9,519.21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37,190.75</w:t>
            </w:r>
          </w:p>
        </w:tc>
        <w:tc>
          <w:tcPr>
            <w:tcW w:w="7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25,782.8</w:t>
            </w:r>
          </w:p>
        </w:tc>
        <w:tc>
          <w:tcPr>
            <w:tcW w:w="1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7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募集资金总体使用情况说明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本次非公开发行股票募集资金总额为人民币63,109.66万元，扣除与本次发行有关的费用人民币493.68万元（不含增值税），实际募集资金净额为人民币62,615.98万元。截至2022年6月30日，本公司累计使用募集资金人民币37,190.75万元，（其中：高效精密硬质合金工模具与高强韧性特粗晶硬质合金掘进刀具麓谷基地产业化项目使用30,617.85万元，补充流动资金使用6,572.9万元），非公开发行募集资金专用账户存放余额为10,782.80万元。与实际募集资金净额余额人民币25,425.23万元的差异金额为14,642.43万元，其中15,000.00万元系公司使用部分闲置募集资金暂时补充流动资金，357.57万元系募集资金累计利息收入扣除银行手续费支出后的净额。</w:t>
            </w:r>
          </w:p>
        </w:tc>
      </w:tr>
    </w:tbl>
    <w:p>
      <w:pPr>
        <w:keepNext/>
        <w:keepLines/>
        <w:spacing w:before="300" w:after="300" w:line="280" w:lineRule="exact"/>
        <w:jc w:val="left"/>
        <w:outlineLvl w:val="3"/>
        <w:rPr>
          <w:rFonts w:ascii="宋体" w:hAnsi="宋体" w:eastAsia="宋体" w:cs="宋体"/>
          <w:b/>
          <w:bCs/>
          <w:sz w:val="18"/>
          <w:szCs w:val="18"/>
        </w:rPr>
      </w:pPr>
      <w:bookmarkStart w:id="32" w:name="_Toc988921"/>
      <w:r>
        <w:rPr>
          <w:rFonts w:ascii="宋体" w:hAnsi="宋体" w:eastAsia="宋体" w:cs="宋体"/>
          <w:b/>
          <w:bCs/>
          <w:sz w:val="18"/>
          <w:szCs w:val="18"/>
        </w:rPr>
        <w:t>（2） 募集资金承诺项目情况</w:t>
      </w:r>
      <w:bookmarkEnd w:id="32"/>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4"/>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14"/>
        <w:gridCol w:w="690"/>
        <w:gridCol w:w="900"/>
        <w:gridCol w:w="810"/>
        <w:gridCol w:w="930"/>
        <w:gridCol w:w="1155"/>
        <w:gridCol w:w="735"/>
        <w:gridCol w:w="870"/>
        <w:gridCol w:w="580"/>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1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承诺投资项目和超募资金投向</w:t>
            </w:r>
          </w:p>
        </w:tc>
        <w:tc>
          <w:tcPr>
            <w:tcW w:w="69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是否已变更项目(含部分变更)</w:t>
            </w:r>
          </w:p>
        </w:tc>
        <w:tc>
          <w:tcPr>
            <w:tcW w:w="9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募集资金承诺投资总额</w:t>
            </w:r>
          </w:p>
        </w:tc>
        <w:tc>
          <w:tcPr>
            <w:tcW w:w="8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调整后投资总额(1)</w:t>
            </w:r>
          </w:p>
        </w:tc>
        <w:tc>
          <w:tcPr>
            <w:tcW w:w="93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本报告期投入金额</w:t>
            </w:r>
          </w:p>
        </w:tc>
        <w:tc>
          <w:tcPr>
            <w:tcW w:w="11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截至期末累计投入金额(2)</w:t>
            </w:r>
          </w:p>
        </w:tc>
        <w:tc>
          <w:tcPr>
            <w:tcW w:w="7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截至期末投资进度(3)＝(2)/(1)</w:t>
            </w:r>
          </w:p>
        </w:tc>
        <w:tc>
          <w:tcPr>
            <w:tcW w:w="8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项目达到预定可使用状态日期</w:t>
            </w:r>
          </w:p>
        </w:tc>
        <w:tc>
          <w:tcPr>
            <w:tcW w:w="58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本报告期实现的效益</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是否达到预计效益</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项目可行性是否发生重大变化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承诺投资项目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高效精密硬质合金工模具与高强韧性特粗晶硬质合金掘进刀具麓谷基地产业化项目</w:t>
            </w:r>
          </w:p>
        </w:tc>
        <w:tc>
          <w:tcPr>
            <w:tcW w:w="6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56,109.66</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56,109.66</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9,519.21</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30,617.85</w:t>
            </w:r>
          </w:p>
        </w:tc>
        <w:tc>
          <w:tcPr>
            <w:tcW w:w="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54.57%</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2024年12月31日</w:t>
            </w:r>
          </w:p>
        </w:tc>
        <w:tc>
          <w:tcPr>
            <w:tcW w:w="5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补充流动资金</w:t>
            </w:r>
          </w:p>
        </w:tc>
        <w:tc>
          <w:tcPr>
            <w:tcW w:w="6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7,000</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6,506.32</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6,572.9</w:t>
            </w:r>
          </w:p>
        </w:tc>
        <w:tc>
          <w:tcPr>
            <w:tcW w:w="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5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1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承诺投资项目小计</w:t>
            </w:r>
          </w:p>
        </w:tc>
        <w:tc>
          <w:tcPr>
            <w:tcW w:w="69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63,109.66</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9,519.21</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37,190.75</w:t>
            </w:r>
          </w:p>
        </w:tc>
        <w:tc>
          <w:tcPr>
            <w:tcW w:w="7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5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超募资金投向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高效精密硬质合金工模具与高强韧性特粗晶硬质合金掘进刀具麓谷基地产业化项目</w:t>
            </w:r>
          </w:p>
        </w:tc>
        <w:tc>
          <w:tcPr>
            <w:tcW w:w="6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5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1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69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63,109.66</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9,519.21</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37,190.75</w:t>
            </w:r>
          </w:p>
        </w:tc>
        <w:tc>
          <w:tcPr>
            <w:tcW w:w="7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5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0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未达到计划进度或预计收益的情况和原因（分具体项目）</w:t>
            </w:r>
          </w:p>
        </w:tc>
        <w:tc>
          <w:tcPr>
            <w:tcW w:w="7732"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0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项目可行性发生重大变化的情况说明</w:t>
            </w:r>
          </w:p>
        </w:tc>
        <w:tc>
          <w:tcPr>
            <w:tcW w:w="7732"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0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超募资金的金额、用途及使用进展情况</w:t>
            </w:r>
          </w:p>
        </w:tc>
        <w:tc>
          <w:tcPr>
            <w:tcW w:w="7732"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0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募集资金投资项目实施地点变更情况</w:t>
            </w:r>
          </w:p>
        </w:tc>
        <w:tc>
          <w:tcPr>
            <w:tcW w:w="7732"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04"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募集资金投资项目实施方式调整情况</w:t>
            </w:r>
          </w:p>
        </w:tc>
        <w:tc>
          <w:tcPr>
            <w:tcW w:w="7732"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04"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732"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报告期内发生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04"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732"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月24日，本公司第六届董事会第二十三次会议和第六届监事会第十五次会议审议并通过了《湖南博云新材料股份有限公司关于调整募集资金投资项目部分实施内容的议案》，同意对博云东方对麓谷基地产业化项目部分实施内容进行调整，独立董事发表了明确同意的独立意见。招商证券股份有限公司出具了《招商证券股份有限公司关于湖南博云新材料股份有限公司调整募集资金投资项目部分实施内容的核查意见》，对公司本次调整募集资金投资项目部分实施内容的事项无异议。2022年2月10日，本公司2022年第一次临时股东大会审议通过了《湖南博云新材料股份有限公司关于调整募集资金投资项目部分实施内容的议案》，公司履行了相应公告程序。2022年1月24日，本公司第六届董事会第二十三次会议审议并通过了《湖南博云新材料股份有限公司关于调整募集资金投资项目部分实施内容的议案》，同意对博云东方拟对麓谷基地产业化项目实施内容进行调整。本次调整系由于高端硬质合金棒材市场当前整体处于供销两旺的状态，且博云东方在高端硬质合金棒材产品的市场及技术基础较整体刀具而言更好，鉴于此，为响应市场变化，并基于博云东方在相关产品领域目前所具备的现实竞争力情况，博云东方对麓谷基地产业化项目实施内容进行调整。调整内容主要为：新增年产430吨硬质合金棒材，取消年产30万支整体刀具项目，将原用于刀具项目的设备投资款改用于购置新增年产430吨棒材所需设备，除此之外，募投项目整体保持不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04"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募集资金投资项目先期投入及置换情况</w:t>
            </w:r>
          </w:p>
        </w:tc>
        <w:tc>
          <w:tcPr>
            <w:tcW w:w="7732"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04"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732"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天职国际会计师事务所有限公司于2021年8月6日出具了“天职业字[2021]35872号”《关于湖南博云新材料股份有限公司以募集资金置换预先投入募投项目及已支付发行费用的自筹资金的专项鉴证报告》，截至2021年8月5日，公司预先投入募集资金投资项目及以自筹资金支付的发行费用合计为人民币15,641.29万元。本公司于2021年8月18日召开了第六届董事会第十九次会议，审议并通过了《关于以募集资金置换预先投入募投项目及已支付发行费用的自筹资金的议案》，同意公司使用募集资金置换预先投入募投项目及已支付发行费用的自筹资金15,641.29万元。针对上述事项，监事会与独立董事发表了同意意见，招商证券股份有限公司出具了无异议的核查意见，公司并履行了相应公告程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04"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用闲置募集资金暂时补充流动资金情况</w:t>
            </w:r>
          </w:p>
        </w:tc>
        <w:tc>
          <w:tcPr>
            <w:tcW w:w="7732"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04"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732"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8月18日，公司第六届董事会第十九次会议审议通过了《湖南博云新材料股份有限公司关于使用部分闲置募集资金暂时补充流动资金的议案》，同意公司及子公司使用不超过15,000万元的部分闲置募集资金暂时补充流动资金，使用期限自公司董事会审议通过之日起不超过12个月。针对上述事项，监事会与独立董事发表了同意意见，招商证券股份有限公司出具了无异议的核查意见，公司并履行了相应公告程序。截至2021年12月31日，公司使用闲置募集资金暂时补充流动资金的金额为15,000.00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0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项目实施出现募集资金结余的金额及原因</w:t>
            </w:r>
          </w:p>
        </w:tc>
        <w:tc>
          <w:tcPr>
            <w:tcW w:w="7732"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0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尚未使用的募集资金用途及去向</w:t>
            </w:r>
          </w:p>
        </w:tc>
        <w:tc>
          <w:tcPr>
            <w:tcW w:w="7732"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截至2022年6月30日，尚未使用的募集资金合计25,782.80万元，其中非公开发行募集资金专用账户存放余额为10,782.80万元,暂时补充流动资金15,000.00万元。尚未使用的募集资金将用于高效精密硬质合金工模具与高强韧性特粗晶硬质合金掘进刀具麓谷基地产业化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0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募集资金使用及披露中存在的问题或其他情况</w:t>
            </w:r>
          </w:p>
        </w:tc>
        <w:tc>
          <w:tcPr>
            <w:tcW w:w="7732"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bl>
    <w:p>
      <w:pPr>
        <w:keepNext/>
        <w:keepLines/>
        <w:spacing w:before="300" w:after="300" w:line="280" w:lineRule="exact"/>
        <w:jc w:val="left"/>
        <w:outlineLvl w:val="3"/>
        <w:rPr>
          <w:rFonts w:ascii="宋体" w:hAnsi="宋体" w:eastAsia="宋体" w:cs="宋体"/>
          <w:b/>
          <w:bCs/>
          <w:sz w:val="18"/>
          <w:szCs w:val="18"/>
        </w:rPr>
      </w:pPr>
      <w:bookmarkStart w:id="33" w:name="_Toc988922"/>
      <w:r>
        <w:rPr>
          <w:rFonts w:ascii="宋体" w:hAnsi="宋体" w:eastAsia="宋体" w:cs="宋体"/>
          <w:b/>
          <w:bCs/>
          <w:sz w:val="18"/>
          <w:szCs w:val="18"/>
        </w:rPr>
        <w:t>（3） 募集资金变更项目情况</w:t>
      </w:r>
      <w:bookmarkEnd w:id="33"/>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公司报告期不存在募集资金变更项目情况。</w:t>
      </w:r>
    </w:p>
    <w:p>
      <w:pPr>
        <w:keepNext/>
        <w:keepLines/>
        <w:spacing w:before="300" w:after="300" w:line="320" w:lineRule="exact"/>
        <w:jc w:val="left"/>
        <w:outlineLvl w:val="1"/>
        <w:rPr>
          <w:rFonts w:ascii="宋体" w:hAnsi="宋体" w:eastAsia="宋体" w:cs="宋体"/>
          <w:b/>
          <w:bCs/>
          <w:sz w:val="24"/>
          <w:szCs w:val="24"/>
        </w:rPr>
      </w:pPr>
      <w:bookmarkStart w:id="34" w:name="_Toc988923"/>
      <w:r>
        <w:rPr>
          <w:rFonts w:ascii="宋体" w:hAnsi="宋体" w:eastAsia="宋体" w:cs="宋体"/>
          <w:b/>
          <w:bCs/>
          <w:sz w:val="24"/>
          <w:szCs w:val="24"/>
        </w:rPr>
        <w:t>七、重大资产和股权出售</w:t>
      </w:r>
      <w:bookmarkEnd w:id="34"/>
    </w:p>
    <w:p>
      <w:pPr>
        <w:keepNext/>
        <w:keepLines/>
        <w:spacing w:before="300" w:after="300" w:line="280" w:lineRule="exact"/>
        <w:jc w:val="left"/>
        <w:outlineLvl w:val="2"/>
        <w:rPr>
          <w:rFonts w:ascii="宋体" w:hAnsi="宋体" w:eastAsia="宋体" w:cs="宋体"/>
          <w:b/>
          <w:bCs/>
          <w:sz w:val="21"/>
          <w:szCs w:val="21"/>
        </w:rPr>
      </w:pPr>
      <w:bookmarkStart w:id="35" w:name="_Toc988924"/>
      <w:r>
        <w:rPr>
          <w:rFonts w:ascii="宋体" w:hAnsi="宋体" w:eastAsia="宋体" w:cs="宋体"/>
          <w:b/>
          <w:bCs/>
          <w:sz w:val="21"/>
          <w:szCs w:val="21"/>
        </w:rPr>
        <w:t>1、出售重大资产情况</w:t>
      </w:r>
      <w:bookmarkEnd w:id="35"/>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公司报告期未出售重大资产。</w:t>
      </w:r>
    </w:p>
    <w:p>
      <w:pPr>
        <w:keepNext/>
        <w:keepLines/>
        <w:spacing w:before="300" w:after="300" w:line="280" w:lineRule="exact"/>
        <w:jc w:val="left"/>
        <w:outlineLvl w:val="2"/>
        <w:rPr>
          <w:rFonts w:ascii="宋体" w:hAnsi="宋体" w:eastAsia="宋体" w:cs="宋体"/>
          <w:b/>
          <w:bCs/>
          <w:sz w:val="21"/>
          <w:szCs w:val="21"/>
        </w:rPr>
      </w:pPr>
      <w:bookmarkStart w:id="36" w:name="_Toc988925"/>
      <w:r>
        <w:rPr>
          <w:rFonts w:ascii="宋体" w:hAnsi="宋体" w:eastAsia="宋体" w:cs="宋体"/>
          <w:b/>
          <w:bCs/>
          <w:sz w:val="21"/>
          <w:szCs w:val="21"/>
        </w:rPr>
        <w:t>2、出售重大股权情况</w:t>
      </w:r>
      <w:bookmarkEnd w:id="36"/>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9"/>
        <w:gridCol w:w="689"/>
        <w:gridCol w:w="689"/>
        <w:gridCol w:w="689"/>
        <w:gridCol w:w="689"/>
        <w:gridCol w:w="689"/>
        <w:gridCol w:w="6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交易对方</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被出售股权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出售日</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交易价格（万元）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本期初起至出售日该股权为上市公司贡献的净利润（万元）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出售对公司的影响</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股权出售为上市公司贡献的净利润占净利润总额的比例</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股权出售定价原则</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是否为关联交易</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与交易对方的关联关系</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所涉及的股权是否已全部过户</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是否按计划如期实施，如未按计划实施，应当说明原因及公司已采取的措施</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8"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粉冶中心</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霍尼韦尔博云航空系统（湖南）有限公司（简称“合资公司”）31%的股权</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2021年12月28日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有助于降低博云新材的亏损额及对合资公司的资金持续投入压力，提升博云新材的竞争力。</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转让价格不得低于评估结果</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控股股东</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hint="eastAsia" w:ascii="宋体" w:hAnsi="宋体" w:eastAsia="宋体" w:cs="宋体"/>
                <w:i w:val="0"/>
                <w:caps w:val="0"/>
                <w:color w:val="333333"/>
                <w:spacing w:val="0"/>
                <w:sz w:val="18"/>
                <w:szCs w:val="18"/>
                <w:shd w:val="clear" w:fill="FFFFFF"/>
                <w:vertAlign w:val="baseline"/>
              </w:rPr>
              <w:t>因该企业为中美合资公司，股权转让办理流程较长，尚未完成工商登记变更</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2021年12月13日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巨潮资讯网上《关于拟转让参股公司部分股权暨关联交易的公告》（公告编号：2021-097）</w:t>
            </w:r>
          </w:p>
        </w:tc>
      </w:tr>
    </w:tbl>
    <w:p>
      <w:pPr>
        <w:keepNext/>
        <w:keepLines/>
        <w:spacing w:before="300" w:after="300" w:line="320" w:lineRule="exact"/>
        <w:jc w:val="left"/>
        <w:outlineLvl w:val="1"/>
        <w:rPr>
          <w:rFonts w:ascii="宋体" w:hAnsi="宋体" w:eastAsia="宋体" w:cs="宋体"/>
          <w:b/>
          <w:bCs/>
          <w:sz w:val="24"/>
          <w:szCs w:val="24"/>
        </w:rPr>
      </w:pPr>
      <w:bookmarkStart w:id="37" w:name="_Toc988926"/>
      <w:r>
        <w:rPr>
          <w:rFonts w:ascii="宋体" w:hAnsi="宋体" w:eastAsia="宋体" w:cs="宋体"/>
          <w:b/>
          <w:bCs/>
          <w:sz w:val="24"/>
          <w:szCs w:val="24"/>
        </w:rPr>
        <w:t>八、主要控股参股公司分析</w:t>
      </w:r>
      <w:bookmarkEnd w:id="37"/>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主要子公司及对公司净利润影响达10%以上的参股公司情况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主要业务</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总资产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高性能硬质合金材料</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307,298,955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946,951,683.60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782,633,115.55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136,595,351.58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13,040,110.56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11,295,682.17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飞机机轮刹车系统及零部件</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377,000,000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665,560,336.72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248,607,750.09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31,935,015.02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-11,217,334.32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-11,175,578.80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长沙伟徽高科技新材料股份有限公司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高新材料的生产、加工和销售</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239,836,894.76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204,658,302.17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49,319,878.22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5,914,115.67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5,026,998.31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参股公司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飞机刹车、机轮及其相关结构件和控制系统</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9,800.00万美元</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308,980,379.81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90,035,802.17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872,084.90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-24,234,853.76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-24,197,500.00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报告期内取得和处置子公司的情况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主要控股参股公司情况说明</w:t>
      </w:r>
    </w:p>
    <w:p>
      <w:pPr>
        <w:keepNext/>
        <w:keepLines/>
        <w:spacing w:before="300" w:after="300" w:line="320" w:lineRule="exact"/>
        <w:jc w:val="left"/>
        <w:outlineLvl w:val="1"/>
        <w:rPr>
          <w:rFonts w:ascii="宋体" w:hAnsi="宋体" w:eastAsia="宋体" w:cs="宋体"/>
          <w:b/>
          <w:bCs/>
          <w:sz w:val="24"/>
          <w:szCs w:val="24"/>
        </w:rPr>
      </w:pPr>
      <w:bookmarkStart w:id="38" w:name="_Toc988927"/>
      <w:r>
        <w:rPr>
          <w:rFonts w:ascii="宋体" w:hAnsi="宋体" w:eastAsia="宋体" w:cs="宋体"/>
          <w:b/>
          <w:bCs/>
          <w:sz w:val="24"/>
          <w:szCs w:val="24"/>
        </w:rPr>
        <w:t>九、公司控制的结构化主体情况</w:t>
      </w:r>
      <w:bookmarkEnd w:id="38"/>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39" w:name="_Toc988928"/>
      <w:r>
        <w:rPr>
          <w:rFonts w:ascii="宋体" w:hAnsi="宋体" w:eastAsia="宋体" w:cs="宋体"/>
          <w:b/>
          <w:bCs/>
          <w:sz w:val="24"/>
          <w:szCs w:val="24"/>
        </w:rPr>
        <w:t>十、公司面临的风险和应对措施</w:t>
      </w:r>
      <w:bookmarkEnd w:id="39"/>
    </w:p>
    <w:p>
      <w:pPr>
        <w:pStyle w:val="3"/>
        <w:keepNext w:val="0"/>
        <w:keepLines w:val="0"/>
        <w:widowControl/>
        <w:suppressLineNumbers w:val="0"/>
        <w:spacing w:before="0" w:beforeAutospacing="0" w:after="0" w:afterAutospacing="0" w:line="360" w:lineRule="atLeast"/>
        <w:ind w:left="0" w:firstLine="420"/>
        <w:jc w:val="both"/>
        <w:rPr>
          <w:rFonts w:hint="eastAsia" w:ascii="宋体" w:hAnsi="宋体" w:eastAsia="宋体" w:cs="宋体"/>
          <w:sz w:val="18"/>
          <w:szCs w:val="18"/>
        </w:rPr>
      </w:pPr>
      <w:r>
        <w:rPr>
          <w:rFonts w:hint="eastAsia" w:ascii="宋体" w:hAnsi="宋体" w:eastAsia="宋体" w:cs="宋体"/>
          <w:sz w:val="21"/>
          <w:szCs w:val="21"/>
        </w:rPr>
        <w:t>1、经营管理风险</w:t>
      </w:r>
    </w:p>
    <w:p>
      <w:pPr>
        <w:pStyle w:val="3"/>
        <w:keepNext w:val="0"/>
        <w:keepLines w:val="0"/>
        <w:widowControl/>
        <w:suppressLineNumbers w:val="0"/>
        <w:spacing w:before="0" w:beforeAutospacing="0" w:after="0" w:afterAutospacing="0" w:line="360" w:lineRule="atLeast"/>
        <w:ind w:left="0" w:firstLine="420"/>
        <w:jc w:val="both"/>
        <w:rPr>
          <w:rFonts w:hint="eastAsia" w:ascii="宋体" w:hAnsi="宋体" w:eastAsia="宋体" w:cs="宋体"/>
          <w:sz w:val="18"/>
          <w:szCs w:val="18"/>
        </w:rPr>
      </w:pPr>
      <w:r>
        <w:rPr>
          <w:rFonts w:hint="eastAsia" w:ascii="宋体" w:hAnsi="宋体" w:eastAsia="宋体" w:cs="宋体"/>
          <w:sz w:val="21"/>
          <w:szCs w:val="21"/>
        </w:rPr>
        <w:t>随着公司项目建设的推进，产能逐步增加，公司在战略规划、制度建设、组织设置、运营管理、资金管理和内部控制等方面将面临更大的挑战。尽管公司建立了相对规范的法人治理结构、质量管理体系，生产经营能保持有序运行，但存在现有管理体系不能完全适应公司发展的可能性，给企业的生产经营带来风险。</w:t>
      </w:r>
    </w:p>
    <w:p>
      <w:pPr>
        <w:pStyle w:val="3"/>
        <w:keepNext w:val="0"/>
        <w:keepLines w:val="0"/>
        <w:widowControl/>
        <w:suppressLineNumbers w:val="0"/>
        <w:spacing w:before="0" w:beforeAutospacing="0" w:after="0" w:afterAutospacing="0" w:line="360" w:lineRule="atLeast"/>
        <w:ind w:left="0" w:firstLine="420"/>
        <w:jc w:val="both"/>
        <w:rPr>
          <w:rFonts w:hint="eastAsia" w:ascii="宋体" w:hAnsi="宋体" w:eastAsia="宋体" w:cs="宋体"/>
          <w:sz w:val="18"/>
          <w:szCs w:val="18"/>
        </w:rPr>
      </w:pPr>
      <w:r>
        <w:rPr>
          <w:rFonts w:hint="eastAsia" w:ascii="宋体" w:hAnsi="宋体" w:eastAsia="宋体" w:cs="宋体"/>
          <w:sz w:val="21"/>
          <w:szCs w:val="21"/>
        </w:rPr>
        <w:t>对策：本公司根据战略规划，不断完善各项制度，建立有效的内部控制制度；制定科学的人力资源政策，加大对员工培训的力度；加强对资金的管理，拓宽融资的渠道；加强子公司业务管理，从而降低经营管理风险。</w:t>
      </w:r>
    </w:p>
    <w:p>
      <w:pPr>
        <w:pStyle w:val="3"/>
        <w:keepNext w:val="0"/>
        <w:keepLines w:val="0"/>
        <w:widowControl/>
        <w:suppressLineNumbers w:val="0"/>
        <w:spacing w:before="0" w:beforeAutospacing="0" w:after="0" w:afterAutospacing="0" w:line="360" w:lineRule="atLeast"/>
        <w:ind w:left="0" w:firstLine="420"/>
        <w:jc w:val="both"/>
        <w:rPr>
          <w:rFonts w:hint="eastAsia" w:ascii="宋体" w:hAnsi="宋体" w:eastAsia="宋体" w:cs="宋体"/>
          <w:sz w:val="18"/>
          <w:szCs w:val="18"/>
        </w:rPr>
      </w:pPr>
      <w:r>
        <w:rPr>
          <w:rFonts w:hint="eastAsia" w:ascii="宋体" w:hAnsi="宋体" w:eastAsia="宋体" w:cs="宋体"/>
          <w:sz w:val="21"/>
          <w:szCs w:val="21"/>
        </w:rPr>
        <w:t>2、存货较大的风险</w:t>
      </w:r>
    </w:p>
    <w:p>
      <w:pPr>
        <w:pStyle w:val="3"/>
        <w:keepNext w:val="0"/>
        <w:keepLines w:val="0"/>
        <w:widowControl/>
        <w:suppressLineNumbers w:val="0"/>
        <w:spacing w:before="0" w:beforeAutospacing="0" w:after="0" w:afterAutospacing="0" w:line="360" w:lineRule="atLeast"/>
        <w:ind w:left="0" w:firstLine="420"/>
        <w:jc w:val="both"/>
        <w:rPr>
          <w:rFonts w:hint="eastAsia" w:ascii="宋体" w:hAnsi="宋体" w:eastAsia="宋体" w:cs="宋体"/>
          <w:sz w:val="18"/>
          <w:szCs w:val="18"/>
        </w:rPr>
      </w:pPr>
      <w:r>
        <w:rPr>
          <w:rFonts w:hint="eastAsia" w:ascii="宋体" w:hAnsi="宋体" w:eastAsia="宋体" w:cs="宋体"/>
          <w:sz w:val="21"/>
          <w:szCs w:val="21"/>
        </w:rPr>
        <w:t>公司产品的生产周期较长，客户要求的供货时间短，为满足客户需求，公司保持了较高的安全库存量。但是较高的安全库存量一方面占用公司大量的资金，造成资金短缺的风险；另一方面，一旦市场需求发生变化，或者客户订单达不到预期，大量的存货将会成为公司的负担，给公司的经营带来风险。</w:t>
      </w:r>
    </w:p>
    <w:p>
      <w:pPr>
        <w:pStyle w:val="3"/>
        <w:keepNext w:val="0"/>
        <w:keepLines w:val="0"/>
        <w:widowControl/>
        <w:suppressLineNumbers w:val="0"/>
        <w:spacing w:before="0" w:beforeAutospacing="0" w:after="0" w:afterAutospacing="0" w:line="360" w:lineRule="atLeast"/>
        <w:ind w:left="0" w:firstLine="420"/>
        <w:jc w:val="both"/>
        <w:rPr>
          <w:rFonts w:hint="eastAsia" w:ascii="宋体" w:hAnsi="宋体" w:eastAsia="宋体" w:cs="宋体"/>
          <w:sz w:val="18"/>
          <w:szCs w:val="18"/>
        </w:rPr>
      </w:pPr>
      <w:r>
        <w:rPr>
          <w:rFonts w:hint="eastAsia" w:ascii="宋体" w:hAnsi="宋体" w:eastAsia="宋体" w:cs="宋体"/>
          <w:sz w:val="21"/>
          <w:szCs w:val="21"/>
        </w:rPr>
        <w:t>对策：关注主要产品的市场发展趋势，与主要客户保持密切联系，增强对产品市场的预测能力，加强采购管理。加大产品研发力度，保持本公司产品在行业中的技术优势，优化产品结构，减少对少数主要客户的依赖程度，优化库存周转效率，同时关注主要产品的价格波动，降低存货发生损失的风险。</w:t>
      </w:r>
    </w:p>
    <w:p>
      <w:pPr>
        <w:pStyle w:val="3"/>
        <w:keepNext w:val="0"/>
        <w:keepLines w:val="0"/>
        <w:widowControl/>
        <w:suppressLineNumbers w:val="0"/>
        <w:spacing w:before="0" w:beforeAutospacing="0" w:after="0" w:afterAutospacing="0" w:line="360" w:lineRule="atLeast"/>
        <w:ind w:left="0" w:firstLine="420"/>
        <w:jc w:val="both"/>
        <w:rPr>
          <w:rFonts w:hint="eastAsia" w:ascii="宋体" w:hAnsi="宋体" w:eastAsia="宋体" w:cs="宋体"/>
          <w:sz w:val="18"/>
          <w:szCs w:val="18"/>
        </w:rPr>
      </w:pPr>
      <w:r>
        <w:rPr>
          <w:rFonts w:hint="eastAsia" w:ascii="宋体" w:hAnsi="宋体" w:eastAsia="宋体" w:cs="宋体"/>
          <w:sz w:val="21"/>
          <w:szCs w:val="21"/>
        </w:rPr>
        <w:t>3、应收账款较大的风险</w:t>
      </w:r>
    </w:p>
    <w:p>
      <w:pPr>
        <w:pStyle w:val="3"/>
        <w:keepNext w:val="0"/>
        <w:keepLines w:val="0"/>
        <w:widowControl/>
        <w:suppressLineNumbers w:val="0"/>
        <w:spacing w:before="0" w:beforeAutospacing="0" w:after="0" w:afterAutospacing="0" w:line="360" w:lineRule="atLeast"/>
        <w:jc w:val="both"/>
        <w:rPr>
          <w:rFonts w:hint="eastAsia" w:ascii="宋体" w:hAnsi="宋体" w:eastAsia="宋体" w:cs="宋体"/>
          <w:sz w:val="18"/>
          <w:szCs w:val="18"/>
        </w:rPr>
      </w:pPr>
      <w:r>
        <w:rPr>
          <w:rFonts w:hint="eastAsia" w:ascii="宋体" w:hAnsi="宋体" w:eastAsia="宋体" w:cs="宋体"/>
          <w:sz w:val="21"/>
          <w:szCs w:val="21"/>
        </w:rPr>
        <w:t>  公司报告期内应收账款金额绝对值仍较大，应收账款占比较高主要有两方面原因：一方面根据公司所处航空航天业务及军工产品政策的特点，公司一般采用签订长期销售合同、按需供货的销售模式，由于逐笔供货，逐笔结算的手续繁琐，客户一般采用大额结算制度；另一方面为了开拓市场，公司对军方、航空公司等实力雄厚、信誉较好的重点客户给予一定的延期付款优惠。</w:t>
      </w:r>
    </w:p>
    <w:p>
      <w:pPr>
        <w:pStyle w:val="3"/>
        <w:keepNext w:val="0"/>
        <w:keepLines w:val="0"/>
        <w:widowControl/>
        <w:suppressLineNumbers w:val="0"/>
        <w:spacing w:before="0" w:beforeAutospacing="0" w:after="0" w:afterAutospacing="0" w:line="360" w:lineRule="atLeast"/>
        <w:ind w:left="0" w:firstLine="420"/>
        <w:jc w:val="both"/>
        <w:rPr>
          <w:rFonts w:hint="eastAsia" w:ascii="宋体" w:hAnsi="宋体" w:eastAsia="宋体" w:cs="宋体"/>
          <w:sz w:val="18"/>
          <w:szCs w:val="18"/>
        </w:rPr>
      </w:pPr>
      <w:r>
        <w:rPr>
          <w:rFonts w:hint="eastAsia" w:ascii="宋体" w:hAnsi="宋体" w:eastAsia="宋体" w:cs="宋体"/>
          <w:sz w:val="21"/>
          <w:szCs w:val="21"/>
        </w:rPr>
        <w:t>对策：公司考虑到自身客户的特点，将制定更合理的资金管理制度和客户信用管理制度，以降低相关风险。</w:t>
      </w:r>
    </w:p>
    <w:p>
      <w:pPr>
        <w:pStyle w:val="3"/>
        <w:keepNext w:val="0"/>
        <w:keepLines w:val="0"/>
        <w:widowControl/>
        <w:suppressLineNumbers w:val="0"/>
        <w:spacing w:before="0" w:beforeAutospacing="0" w:after="0" w:afterAutospacing="0" w:line="360" w:lineRule="atLeast"/>
        <w:ind w:left="0" w:firstLine="420"/>
        <w:jc w:val="both"/>
        <w:rPr>
          <w:rFonts w:hint="eastAsia" w:ascii="宋体" w:hAnsi="宋体" w:eastAsia="宋体" w:cs="宋体"/>
          <w:sz w:val="18"/>
          <w:szCs w:val="18"/>
        </w:rPr>
      </w:pPr>
      <w:r>
        <w:rPr>
          <w:rFonts w:hint="eastAsia" w:ascii="宋体" w:hAnsi="宋体" w:eastAsia="宋体" w:cs="宋体"/>
          <w:sz w:val="21"/>
          <w:szCs w:val="21"/>
        </w:rPr>
        <w:t>4、人力资源风险</w:t>
      </w:r>
    </w:p>
    <w:p>
      <w:pPr>
        <w:pStyle w:val="3"/>
        <w:keepNext w:val="0"/>
        <w:keepLines w:val="0"/>
        <w:widowControl/>
        <w:suppressLineNumbers w:val="0"/>
        <w:spacing w:before="0" w:beforeAutospacing="0" w:after="0" w:afterAutospacing="0" w:line="360" w:lineRule="atLeast"/>
        <w:ind w:left="0" w:firstLine="420"/>
        <w:jc w:val="both"/>
        <w:rPr>
          <w:rFonts w:hint="eastAsia" w:ascii="宋体" w:hAnsi="宋体" w:eastAsia="宋体" w:cs="宋体"/>
          <w:sz w:val="18"/>
          <w:szCs w:val="18"/>
        </w:rPr>
      </w:pPr>
      <w:r>
        <w:rPr>
          <w:rFonts w:hint="eastAsia" w:ascii="宋体" w:hAnsi="宋体" w:eastAsia="宋体" w:cs="宋体"/>
          <w:sz w:val="21"/>
          <w:szCs w:val="21"/>
        </w:rPr>
        <w:t>核心技术人员与营销管理人员是企业、品牌生存和发展的关键力量，也是获得持续竞争优势的基础。随着公司的新项目和新产品开发、生产、销售业务的增加，公司对专业技术人员的需求量持续增加，公司未来发展将面临一定的人力资源压力。同时，随着近年来我国劳动力成本逐年上升，也导致了公司经营成本的上升。如果公司不能完善各类激励机制，不断吸纳和培养适合公司发展所需的技术和管理人员，将可能导致公司存在一定的人才流失及人力成本风险。</w:t>
      </w:r>
    </w:p>
    <w:p>
      <w:pPr>
        <w:pStyle w:val="3"/>
        <w:keepNext w:val="0"/>
        <w:keepLines w:val="0"/>
        <w:widowControl/>
        <w:suppressLineNumbers w:val="0"/>
        <w:spacing w:before="0" w:beforeAutospacing="0" w:after="0" w:afterAutospacing="0" w:line="360" w:lineRule="atLeast"/>
        <w:ind w:left="0" w:firstLine="420"/>
        <w:jc w:val="both"/>
        <w:rPr>
          <w:rFonts w:hint="eastAsia" w:ascii="宋体" w:hAnsi="宋体" w:eastAsia="宋体" w:cs="宋体"/>
          <w:sz w:val="18"/>
          <w:szCs w:val="18"/>
        </w:rPr>
      </w:pPr>
      <w:r>
        <w:rPr>
          <w:rFonts w:hint="eastAsia" w:ascii="宋体" w:hAnsi="宋体" w:eastAsia="宋体" w:cs="宋体"/>
          <w:sz w:val="21"/>
          <w:szCs w:val="21"/>
        </w:rPr>
        <w:t>对策：继续完善薪酬制度，创造一个公平公正的职位晋升渠道，尽量让有能力的人能够发挥所长，获得适合的岗位和薪酬待遇，员工通过努力工作能够实现自身价值。</w:t>
      </w:r>
    </w:p>
    <w:p>
      <w:pPr>
        <w:pStyle w:val="3"/>
        <w:keepNext w:val="0"/>
        <w:keepLines w:val="0"/>
        <w:widowControl/>
        <w:suppressLineNumbers w:val="0"/>
        <w:spacing w:before="0" w:beforeAutospacing="0" w:after="0" w:afterAutospacing="0" w:line="360" w:lineRule="atLeast"/>
        <w:ind w:left="0" w:firstLine="420"/>
        <w:jc w:val="both"/>
        <w:rPr>
          <w:rFonts w:hint="eastAsia" w:ascii="宋体" w:hAnsi="宋体" w:eastAsia="宋体" w:cs="宋体"/>
          <w:sz w:val="18"/>
          <w:szCs w:val="18"/>
        </w:rPr>
      </w:pPr>
      <w:r>
        <w:rPr>
          <w:rFonts w:hint="eastAsia" w:ascii="宋体" w:hAnsi="宋体" w:eastAsia="宋体" w:cs="宋体"/>
          <w:sz w:val="21"/>
          <w:szCs w:val="21"/>
        </w:rPr>
        <w:t>5、市场开拓风险</w:t>
      </w:r>
    </w:p>
    <w:p>
      <w:pPr>
        <w:pStyle w:val="3"/>
        <w:keepNext w:val="0"/>
        <w:keepLines w:val="0"/>
        <w:widowControl/>
        <w:suppressLineNumbers w:val="0"/>
        <w:spacing w:before="0" w:beforeAutospacing="0" w:after="0" w:afterAutospacing="0" w:line="360" w:lineRule="atLeast"/>
        <w:ind w:left="0" w:firstLine="420"/>
        <w:jc w:val="both"/>
        <w:rPr>
          <w:rFonts w:hint="eastAsia" w:ascii="宋体" w:hAnsi="宋体" w:eastAsia="宋体" w:cs="宋体"/>
          <w:sz w:val="18"/>
          <w:szCs w:val="18"/>
        </w:rPr>
      </w:pPr>
      <w:r>
        <w:rPr>
          <w:rFonts w:hint="eastAsia" w:ascii="宋体" w:hAnsi="宋体" w:eastAsia="宋体" w:cs="宋体"/>
          <w:sz w:val="21"/>
          <w:szCs w:val="21"/>
        </w:rPr>
        <w:t>公司在建及拟建设项目投产后公司产能将会大幅提升，需要公司加大市场拓展力度，以消化新增产能。如果未来行业内竞争加剧，或公司市场拓展不达预期，将会造成公司产销率、产能利用率下降，因而会对公司经营业绩提升产生不利影响。</w:t>
      </w:r>
    </w:p>
    <w:p>
      <w:pPr>
        <w:pStyle w:val="3"/>
        <w:keepNext w:val="0"/>
        <w:keepLines w:val="0"/>
        <w:widowControl/>
        <w:suppressLineNumbers w:val="0"/>
        <w:spacing w:before="0" w:beforeAutospacing="0" w:after="0" w:afterAutospacing="0" w:line="360" w:lineRule="atLeast"/>
        <w:ind w:left="0" w:firstLine="420"/>
        <w:jc w:val="both"/>
        <w:rPr>
          <w:rFonts w:hint="eastAsia" w:ascii="宋体" w:hAnsi="宋体" w:eastAsia="宋体" w:cs="宋体"/>
          <w:sz w:val="18"/>
          <w:szCs w:val="18"/>
        </w:rPr>
      </w:pPr>
      <w:r>
        <w:rPr>
          <w:rFonts w:hint="eastAsia" w:ascii="宋体" w:hAnsi="宋体" w:eastAsia="宋体" w:cs="宋体"/>
          <w:sz w:val="21"/>
          <w:szCs w:val="21"/>
        </w:rPr>
        <w:t>对策：公司将不断提升产品竞争力，提高产品性价比，提高销售人员业务能力；在稳固原有市场基础上，进一步开拓市场份额，提升综合竞争力。</w:t>
      </w:r>
    </w:p>
    <w:p>
      <w:r>
        <w:br w:type="page"/>
      </w:r>
    </w:p>
    <w:p>
      <w:pPr>
        <w:keepNext/>
        <w:keepLines/>
        <w:spacing w:before="340" w:after="330" w:line="773" w:lineRule="exact"/>
        <w:jc w:val="center"/>
        <w:outlineLvl w:val="0"/>
        <w:rPr>
          <w:rFonts w:ascii="宋体" w:hAnsi="宋体" w:eastAsia="宋体" w:cs="宋体"/>
          <w:b/>
          <w:bCs/>
          <w:sz w:val="32"/>
          <w:szCs w:val="32"/>
        </w:rPr>
      </w:pPr>
      <w:bookmarkStart w:id="40" w:name="_Toc988929"/>
      <w:r>
        <w:rPr>
          <w:rFonts w:ascii="宋体" w:hAnsi="宋体" w:eastAsia="宋体" w:cs="宋体"/>
          <w:b/>
          <w:bCs/>
          <w:sz w:val="32"/>
          <w:szCs w:val="32"/>
        </w:rPr>
        <w:t>第四节 公司治理</w:t>
      </w:r>
      <w:bookmarkEnd w:id="40"/>
    </w:p>
    <w:p>
      <w:pPr>
        <w:keepNext/>
        <w:keepLines/>
        <w:spacing w:before="300" w:after="300" w:line="320" w:lineRule="exact"/>
        <w:jc w:val="left"/>
        <w:outlineLvl w:val="1"/>
        <w:rPr>
          <w:rFonts w:ascii="宋体" w:hAnsi="宋体" w:eastAsia="宋体" w:cs="宋体"/>
          <w:b/>
          <w:bCs/>
          <w:sz w:val="24"/>
          <w:szCs w:val="24"/>
        </w:rPr>
      </w:pPr>
      <w:bookmarkStart w:id="41" w:name="_Toc988930"/>
      <w:r>
        <w:rPr>
          <w:rFonts w:ascii="宋体" w:hAnsi="宋体" w:eastAsia="宋体" w:cs="宋体"/>
          <w:b/>
          <w:bCs/>
          <w:sz w:val="24"/>
          <w:szCs w:val="24"/>
        </w:rPr>
        <w:t>一、报告期内召开的年度股东大会和临时股东大会的有关情况</w:t>
      </w:r>
      <w:bookmarkEnd w:id="41"/>
    </w:p>
    <w:p>
      <w:pPr>
        <w:keepNext/>
        <w:keepLines/>
        <w:spacing w:before="300" w:after="300" w:line="280" w:lineRule="exact"/>
        <w:jc w:val="left"/>
        <w:outlineLvl w:val="2"/>
        <w:rPr>
          <w:rFonts w:ascii="宋体" w:hAnsi="宋体" w:eastAsia="宋体" w:cs="宋体"/>
          <w:b/>
          <w:bCs/>
          <w:sz w:val="21"/>
          <w:szCs w:val="21"/>
        </w:rPr>
      </w:pPr>
      <w:bookmarkStart w:id="42" w:name="_Toc988931"/>
      <w:r>
        <w:rPr>
          <w:rFonts w:ascii="宋体" w:hAnsi="宋体" w:eastAsia="宋体" w:cs="宋体"/>
          <w:b/>
          <w:bCs/>
          <w:sz w:val="21"/>
          <w:szCs w:val="21"/>
        </w:rPr>
        <w:t>1、本报告期股东大会情况</w:t>
      </w:r>
      <w:bookmarkEnd w:id="42"/>
    </w:p>
    <w:tbl>
      <w:tblPr>
        <w:tblStyle w:val="4"/>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182"/>
        <w:gridCol w:w="1425"/>
        <w:gridCol w:w="1155"/>
        <w:gridCol w:w="495"/>
        <w:gridCol w:w="21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会议届次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会议类型</w:t>
            </w:r>
          </w:p>
        </w:tc>
        <w:tc>
          <w:tcPr>
            <w:tcW w:w="118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投资者参与比例</w:t>
            </w:r>
          </w:p>
        </w:tc>
        <w:tc>
          <w:tcPr>
            <w:tcW w:w="14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召开日期</w:t>
            </w:r>
          </w:p>
        </w:tc>
        <w:tc>
          <w:tcPr>
            <w:tcW w:w="165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w:t>
            </w:r>
          </w:p>
        </w:tc>
        <w:tc>
          <w:tcPr>
            <w:tcW w:w="21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会议决议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2022年第一次临时股东大会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临时股东大会</w:t>
            </w:r>
          </w:p>
        </w:tc>
        <w:tc>
          <w:tcPr>
            <w:tcW w:w="11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30.31%</w:t>
            </w:r>
          </w:p>
        </w:tc>
        <w:tc>
          <w:tcPr>
            <w:tcW w:w="14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2022年02月10日</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2022年02月11日</w:t>
            </w:r>
          </w:p>
        </w:tc>
        <w:tc>
          <w:tcPr>
            <w:tcW w:w="266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详见刊登于指定媒体和巨潮资讯网的《湖南博云新材料股份有限公司2022年第一次临时股东大会决议公告 》（公告编号为2022-010）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2021年年度股东大会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年度股东大会</w:t>
            </w:r>
          </w:p>
        </w:tc>
        <w:tc>
          <w:tcPr>
            <w:tcW w:w="11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31.23%</w:t>
            </w:r>
          </w:p>
        </w:tc>
        <w:tc>
          <w:tcPr>
            <w:tcW w:w="14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2022年06月28日</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2022年06月29日</w:t>
            </w:r>
          </w:p>
        </w:tc>
        <w:tc>
          <w:tcPr>
            <w:tcW w:w="266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详见刊登于指定媒体和巨潮资讯网的《湖南博云新材料股份有限公司2021年年度股东大会决议公告 》（公告编号为2022-041）</w:t>
            </w:r>
          </w:p>
        </w:tc>
      </w:tr>
    </w:tbl>
    <w:p>
      <w:pPr>
        <w:keepNext/>
        <w:keepLines/>
        <w:spacing w:before="300" w:after="300" w:line="280" w:lineRule="exact"/>
        <w:jc w:val="left"/>
        <w:outlineLvl w:val="2"/>
        <w:rPr>
          <w:rFonts w:ascii="宋体" w:hAnsi="宋体" w:eastAsia="宋体" w:cs="宋体"/>
          <w:b/>
          <w:bCs/>
          <w:sz w:val="21"/>
          <w:szCs w:val="21"/>
        </w:rPr>
      </w:pPr>
      <w:bookmarkStart w:id="43" w:name="_Toc988932"/>
      <w:r>
        <w:rPr>
          <w:rFonts w:ascii="宋体" w:hAnsi="宋体" w:eastAsia="宋体" w:cs="宋体"/>
          <w:b/>
          <w:bCs/>
          <w:sz w:val="21"/>
          <w:szCs w:val="21"/>
        </w:rPr>
        <w:t>2、表决权恢复的优先股股东请求召开临时股东大会</w:t>
      </w:r>
      <w:bookmarkEnd w:id="43"/>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44" w:name="_Toc988933"/>
      <w:r>
        <w:rPr>
          <w:rFonts w:ascii="宋体" w:hAnsi="宋体" w:eastAsia="宋体" w:cs="宋体"/>
          <w:b/>
          <w:bCs/>
          <w:sz w:val="24"/>
          <w:szCs w:val="24"/>
        </w:rPr>
        <w:t>二、公司董事、监事、高级管理人员变动情况</w:t>
      </w:r>
      <w:bookmarkEnd w:id="44"/>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姓名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担任的职务</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日期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徐浪</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副董事长</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2022年06月06日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因工作原因辞职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吴厚平</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任免</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2022年06月28日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被选举</w:t>
            </w:r>
          </w:p>
        </w:tc>
      </w:tr>
    </w:tbl>
    <w:p>
      <w:pPr>
        <w:keepNext/>
        <w:keepLines/>
        <w:spacing w:before="300" w:after="300" w:line="320" w:lineRule="exact"/>
        <w:jc w:val="left"/>
        <w:outlineLvl w:val="1"/>
        <w:rPr>
          <w:rFonts w:ascii="宋体" w:hAnsi="宋体" w:eastAsia="宋体" w:cs="宋体"/>
          <w:b/>
          <w:bCs/>
          <w:sz w:val="24"/>
          <w:szCs w:val="24"/>
        </w:rPr>
      </w:pPr>
      <w:bookmarkStart w:id="45" w:name="_Toc988934"/>
      <w:r>
        <w:rPr>
          <w:rFonts w:ascii="宋体" w:hAnsi="宋体" w:eastAsia="宋体" w:cs="宋体"/>
          <w:b/>
          <w:bCs/>
          <w:sz w:val="24"/>
          <w:szCs w:val="24"/>
        </w:rPr>
        <w:t>三、本报告期利润分配及资本公积金转增股本情况</w:t>
      </w:r>
      <w:bookmarkEnd w:id="45"/>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公司计划半年度不派发现金红利，不送红股，不以公积金转增股本。</w:t>
      </w:r>
    </w:p>
    <w:p>
      <w:pPr>
        <w:keepNext/>
        <w:keepLines/>
        <w:spacing w:before="300" w:after="300" w:line="320" w:lineRule="exact"/>
        <w:jc w:val="left"/>
        <w:outlineLvl w:val="1"/>
        <w:rPr>
          <w:rFonts w:ascii="宋体" w:hAnsi="宋体" w:eastAsia="宋体" w:cs="宋体"/>
          <w:b/>
          <w:bCs/>
          <w:sz w:val="24"/>
          <w:szCs w:val="24"/>
        </w:rPr>
      </w:pPr>
      <w:bookmarkStart w:id="46" w:name="_Toc988935"/>
      <w:r>
        <w:rPr>
          <w:rFonts w:ascii="宋体" w:hAnsi="宋体" w:eastAsia="宋体" w:cs="宋体"/>
          <w:b/>
          <w:bCs/>
          <w:sz w:val="24"/>
          <w:szCs w:val="24"/>
        </w:rPr>
        <w:t>四、公司股权激励计划、员工持股计划或其他员工激励措施的实施情况</w:t>
      </w:r>
      <w:bookmarkEnd w:id="46"/>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公司报告期无股权激励计划、员工持股计划或其他员工激励措施及其实施情况。</w:t>
      </w:r>
    </w:p>
    <w:p>
      <w:r>
        <w:br w:type="page"/>
      </w:r>
    </w:p>
    <w:p>
      <w:pPr>
        <w:keepNext/>
        <w:keepLines/>
        <w:spacing w:before="340" w:after="330" w:line="773" w:lineRule="exact"/>
        <w:jc w:val="center"/>
        <w:outlineLvl w:val="0"/>
        <w:rPr>
          <w:rFonts w:ascii="宋体" w:hAnsi="宋体" w:eastAsia="宋体" w:cs="宋体"/>
          <w:b/>
          <w:bCs/>
          <w:sz w:val="32"/>
          <w:szCs w:val="32"/>
        </w:rPr>
      </w:pPr>
      <w:bookmarkStart w:id="47" w:name="_Toc988936"/>
      <w:r>
        <w:rPr>
          <w:rFonts w:ascii="宋体" w:hAnsi="宋体" w:eastAsia="宋体" w:cs="宋体"/>
          <w:b/>
          <w:bCs/>
          <w:sz w:val="32"/>
          <w:szCs w:val="32"/>
        </w:rPr>
        <w:t>第五节 环境和社会责任</w:t>
      </w:r>
      <w:bookmarkEnd w:id="47"/>
    </w:p>
    <w:p>
      <w:pPr>
        <w:keepNext/>
        <w:keepLines/>
        <w:spacing w:before="300" w:after="300" w:line="320" w:lineRule="exact"/>
        <w:jc w:val="left"/>
        <w:outlineLvl w:val="1"/>
        <w:rPr>
          <w:rFonts w:ascii="宋体" w:hAnsi="宋体" w:eastAsia="宋体" w:cs="宋体"/>
          <w:b/>
          <w:bCs/>
          <w:sz w:val="24"/>
          <w:szCs w:val="24"/>
        </w:rPr>
      </w:pPr>
      <w:bookmarkStart w:id="48" w:name="_Toc988937"/>
      <w:r>
        <w:rPr>
          <w:rFonts w:ascii="宋体" w:hAnsi="宋体" w:eastAsia="宋体" w:cs="宋体"/>
          <w:b/>
          <w:bCs/>
          <w:sz w:val="24"/>
          <w:szCs w:val="24"/>
        </w:rPr>
        <w:t>一、重大环保问题情况</w:t>
      </w:r>
      <w:bookmarkEnd w:id="48"/>
    </w:p>
    <w:p>
      <w:pPr>
        <w:spacing w:before="40" w:after="40" w:line="240" w:lineRule="exact"/>
        <w:jc w:val="left"/>
        <w:rPr>
          <w:rFonts w:ascii="宋体" w:hAnsi="宋体" w:eastAsia="宋体" w:cs="宋体"/>
          <w:sz w:val="18"/>
          <w:szCs w:val="18"/>
        </w:rPr>
      </w:pPr>
      <w:r>
        <w:rPr>
          <w:rFonts w:ascii="宋体" w:hAnsi="宋体" w:eastAsia="宋体" w:cs="宋体"/>
          <w:sz w:val="18"/>
          <w:szCs w:val="18"/>
        </w:rPr>
        <w:t>上市公司及其子公司是否属于环境保护部门公布的重点排污单位</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报告期内因环境问题受到行政处罚的情况</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公司或子公司名称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处罚原因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违规情形</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处罚结果</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对上市公司生产经营的影响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公司的整改措施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参照重点排污单位披露的其他环境信息</w:t>
      </w:r>
    </w:p>
    <w:p>
      <w:pPr>
        <w:pStyle w:val="3"/>
        <w:keepNext w:val="0"/>
        <w:keepLines w:val="0"/>
        <w:widowControl/>
        <w:suppressLineNumbers w:val="0"/>
      </w:pPr>
      <w:r>
        <w:rPr>
          <w:rFonts w:hint="eastAsia" w:ascii="宋体" w:hAnsi="宋体" w:eastAsia="宋体" w:cs="宋体"/>
          <w:sz w:val="18"/>
          <w:szCs w:val="18"/>
        </w:rPr>
        <w:t>不适用</w:t>
      </w:r>
    </w:p>
    <w:p>
      <w:pPr>
        <w:spacing w:before="100" w:after="40" w:line="240" w:lineRule="exact"/>
        <w:jc w:val="left"/>
        <w:rPr>
          <w:rFonts w:ascii="宋体" w:hAnsi="宋体" w:eastAsia="宋体" w:cs="宋体"/>
          <w:sz w:val="18"/>
          <w:szCs w:val="18"/>
        </w:rPr>
      </w:pPr>
      <w:r>
        <w:rPr>
          <w:rFonts w:ascii="宋体" w:hAnsi="宋体" w:eastAsia="宋体" w:cs="宋体"/>
          <w:sz w:val="18"/>
          <w:szCs w:val="18"/>
        </w:rPr>
        <w:t>在报告期内为减少其碳排放所采取的措施及效果</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未披露其他环境信息的原因</w:t>
      </w:r>
    </w:p>
    <w:p>
      <w:pPr>
        <w:pStyle w:val="3"/>
        <w:keepNext w:val="0"/>
        <w:keepLines w:val="0"/>
        <w:widowControl/>
        <w:suppressLineNumbers w:val="0"/>
      </w:pPr>
      <w:r>
        <w:rPr>
          <w:rFonts w:hint="eastAsia"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49" w:name="_Toc988938"/>
      <w:r>
        <w:rPr>
          <w:rFonts w:ascii="宋体" w:hAnsi="宋体" w:eastAsia="宋体" w:cs="宋体"/>
          <w:b/>
          <w:bCs/>
          <w:sz w:val="24"/>
          <w:szCs w:val="24"/>
        </w:rPr>
        <w:t>二、社会责任情况</w:t>
      </w:r>
      <w:bookmarkEnd w:id="49"/>
    </w:p>
    <w:p>
      <w:pPr>
        <w:pStyle w:val="3"/>
        <w:keepNext w:val="0"/>
        <w:keepLines w:val="0"/>
        <w:widowControl/>
        <w:suppressLineNumbers w:val="0"/>
      </w:pPr>
      <w:r>
        <w:rPr>
          <w:rFonts w:hint="eastAsia" w:ascii="宋体" w:hAnsi="宋体" w:eastAsia="宋体" w:cs="宋体"/>
          <w:sz w:val="18"/>
          <w:szCs w:val="18"/>
        </w:rPr>
        <w:t>无</w:t>
      </w:r>
    </w:p>
    <w:p>
      <w:r>
        <w:br w:type="page"/>
      </w:r>
    </w:p>
    <w:p>
      <w:pPr>
        <w:keepNext/>
        <w:keepLines/>
        <w:spacing w:before="340" w:after="330" w:line="773" w:lineRule="exact"/>
        <w:jc w:val="center"/>
        <w:outlineLvl w:val="0"/>
        <w:rPr>
          <w:rFonts w:ascii="宋体" w:hAnsi="宋体" w:eastAsia="宋体" w:cs="宋体"/>
          <w:b/>
          <w:bCs/>
          <w:sz w:val="32"/>
          <w:szCs w:val="32"/>
        </w:rPr>
      </w:pPr>
      <w:bookmarkStart w:id="50" w:name="_Toc988939"/>
      <w:r>
        <w:rPr>
          <w:rFonts w:ascii="宋体" w:hAnsi="宋体" w:eastAsia="宋体" w:cs="宋体"/>
          <w:b/>
          <w:bCs/>
          <w:sz w:val="32"/>
          <w:szCs w:val="32"/>
        </w:rPr>
        <w:t>第六节 重要事项</w:t>
      </w:r>
      <w:bookmarkEnd w:id="50"/>
    </w:p>
    <w:p>
      <w:pPr>
        <w:keepNext/>
        <w:keepLines/>
        <w:spacing w:before="300" w:after="300" w:line="320" w:lineRule="exact"/>
        <w:jc w:val="left"/>
        <w:outlineLvl w:val="1"/>
        <w:rPr>
          <w:rFonts w:ascii="宋体" w:hAnsi="宋体" w:eastAsia="宋体" w:cs="宋体"/>
          <w:b/>
          <w:bCs/>
          <w:sz w:val="24"/>
          <w:szCs w:val="24"/>
        </w:rPr>
      </w:pPr>
      <w:bookmarkStart w:id="51" w:name="_Toc988940"/>
      <w:r>
        <w:rPr>
          <w:rFonts w:ascii="宋体" w:hAnsi="宋体" w:eastAsia="宋体" w:cs="宋体"/>
          <w:b/>
          <w:bCs/>
          <w:sz w:val="24"/>
          <w:szCs w:val="24"/>
        </w:rPr>
        <w:t>一、公司实际控制人、股东、关联方、收购人以及公司等承诺相关方在报告期内履行完毕及截至报告期末超期未履行完毕的承诺事项</w:t>
      </w:r>
      <w:bookmarkEnd w:id="51"/>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2627"/>
        <w:gridCol w:w="1230"/>
        <w:gridCol w:w="1800"/>
        <w:gridCol w:w="870"/>
        <w:gridCol w:w="840"/>
        <w:gridCol w:w="89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承诺事由</w:t>
            </w:r>
          </w:p>
        </w:tc>
        <w:tc>
          <w:tcPr>
            <w:tcW w:w="26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承诺方</w:t>
            </w:r>
          </w:p>
        </w:tc>
        <w:tc>
          <w:tcPr>
            <w:tcW w:w="123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承诺类型</w:t>
            </w:r>
          </w:p>
        </w:tc>
        <w:tc>
          <w:tcPr>
            <w:tcW w:w="18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承诺内容</w:t>
            </w:r>
          </w:p>
        </w:tc>
        <w:tc>
          <w:tcPr>
            <w:tcW w:w="8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承诺时间</w:t>
            </w:r>
          </w:p>
        </w:tc>
        <w:tc>
          <w:tcPr>
            <w:tcW w:w="8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承诺期限</w:t>
            </w:r>
          </w:p>
        </w:tc>
        <w:tc>
          <w:tcPr>
            <w:tcW w:w="8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首次公开发行或再融资时所作承诺</w:t>
            </w:r>
          </w:p>
        </w:tc>
        <w:tc>
          <w:tcPr>
            <w:tcW w:w="2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东共青城华建新希望投资管理合伙企业（有限合伙）、湖州爱道铭泉企业管理合伙企业（有限合伙）、华泰证券资管－民生加银基金嘉泰2期单一资产管理计划－华泰新悦7号单一资产管理计划、中国黄金集团资产管理有限公司、北京誉华基金管理有限公司-航空产业融合发展（青岛）股权投资基金合伙企业（有限合伙）、湖南天惠投资基金管理有限公司-湖南省天惠军民融合投资基金合伙企业（有限合伙）、国家军民融合产业投资基金有限责任公司</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2020年非公开发行股份限售承诺</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本人承诺在本次发行过程中认购的博云新材股票自新增股份上市之日起6个月内不得转让。本公司/本人特申请将在本次发行过程中认购的博云新材股票进行锁定处理，锁定期自博云新材新增股份上市之日起满6个月。</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2021年08月06日</w:t>
            </w: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2021年8月6日至2022年2月6日</w:t>
            </w:r>
          </w:p>
        </w:tc>
        <w:tc>
          <w:tcPr>
            <w:tcW w:w="8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已切实履行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首次公开发行或再融资时所作承诺</w:t>
            </w:r>
          </w:p>
        </w:tc>
        <w:tc>
          <w:tcPr>
            <w:tcW w:w="2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间接控股股东湖南兴湘投资控股集团有限公司</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2020年非公开发行股份限售承诺</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本人承诺在本次发行过程中认购的博云新材股票自新增股份上市之日起18个月内不得转让。本公司/本人特申请将在本次发行过程中认购的博云新材股票进行锁定处理，锁定期自博云新材新增股份上市之日起满18个月。</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2021年08月06日</w:t>
            </w: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2021年8月6日至2023年2月6日</w:t>
            </w:r>
          </w:p>
        </w:tc>
        <w:tc>
          <w:tcPr>
            <w:tcW w:w="8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正切实履行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其他对公司中小股东所作承诺</w:t>
            </w:r>
          </w:p>
        </w:tc>
        <w:tc>
          <w:tcPr>
            <w:tcW w:w="2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控股股东粉冶中心及股东高创投</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关于避免同业竞争的承诺</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作出避免同业竞争承诺，除在公司投资外，将不在任何区域投资或从事与公司相同或相近的业务。</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2008年01月18日</w:t>
            </w: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长期有效</w:t>
            </w:r>
          </w:p>
        </w:tc>
        <w:tc>
          <w:tcPr>
            <w:tcW w:w="8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正切实履行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承诺是否按时履行</w:t>
            </w:r>
          </w:p>
        </w:tc>
        <w:tc>
          <w:tcPr>
            <w:tcW w:w="8262" w:type="dxa"/>
            <w:gridSpan w:val="6"/>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bl>
    <w:p>
      <w:pPr>
        <w:keepNext/>
        <w:keepLines/>
        <w:spacing w:before="300" w:after="300" w:line="320" w:lineRule="exact"/>
        <w:jc w:val="left"/>
        <w:outlineLvl w:val="1"/>
        <w:rPr>
          <w:rFonts w:ascii="宋体" w:hAnsi="宋体" w:eastAsia="宋体" w:cs="宋体"/>
          <w:b/>
          <w:bCs/>
          <w:sz w:val="24"/>
          <w:szCs w:val="24"/>
        </w:rPr>
      </w:pPr>
      <w:bookmarkStart w:id="52" w:name="_Toc988941"/>
      <w:r>
        <w:rPr>
          <w:rFonts w:ascii="宋体" w:hAnsi="宋体" w:eastAsia="宋体" w:cs="宋体"/>
          <w:b/>
          <w:bCs/>
          <w:sz w:val="24"/>
          <w:szCs w:val="24"/>
        </w:rPr>
        <w:t>二、控股股东及其他关联方对上市公司的非经营性占用资金情况</w:t>
      </w:r>
      <w:bookmarkEnd w:id="52"/>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公司报告期不存在控股股东及其他关联方对上市公司的非经营性占用资金。</w:t>
      </w:r>
    </w:p>
    <w:p>
      <w:pPr>
        <w:keepNext/>
        <w:keepLines/>
        <w:spacing w:before="300" w:after="300" w:line="320" w:lineRule="exact"/>
        <w:jc w:val="left"/>
        <w:outlineLvl w:val="1"/>
        <w:rPr>
          <w:rFonts w:ascii="宋体" w:hAnsi="宋体" w:eastAsia="宋体" w:cs="宋体"/>
          <w:b/>
          <w:bCs/>
          <w:sz w:val="24"/>
          <w:szCs w:val="24"/>
        </w:rPr>
      </w:pPr>
      <w:bookmarkStart w:id="53" w:name="_Toc988942"/>
      <w:r>
        <w:rPr>
          <w:rFonts w:ascii="宋体" w:hAnsi="宋体" w:eastAsia="宋体" w:cs="宋体"/>
          <w:b/>
          <w:bCs/>
          <w:sz w:val="24"/>
          <w:szCs w:val="24"/>
        </w:rPr>
        <w:t>三、违规对外担保情况</w:t>
      </w:r>
      <w:bookmarkEnd w:id="53"/>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公司报告期无违规对外担保情况。</w:t>
      </w:r>
    </w:p>
    <w:p>
      <w:pPr>
        <w:keepNext/>
        <w:keepLines/>
        <w:spacing w:before="300" w:after="300" w:line="320" w:lineRule="exact"/>
        <w:jc w:val="left"/>
        <w:outlineLvl w:val="1"/>
        <w:rPr>
          <w:rFonts w:ascii="宋体" w:hAnsi="宋体" w:eastAsia="宋体" w:cs="宋体"/>
          <w:b/>
          <w:bCs/>
          <w:sz w:val="24"/>
          <w:szCs w:val="24"/>
        </w:rPr>
      </w:pPr>
      <w:bookmarkStart w:id="54" w:name="_Toc988943"/>
      <w:r>
        <w:rPr>
          <w:rFonts w:ascii="宋体" w:hAnsi="宋体" w:eastAsia="宋体" w:cs="宋体"/>
          <w:b/>
          <w:bCs/>
          <w:sz w:val="24"/>
          <w:szCs w:val="24"/>
        </w:rPr>
        <w:t>四、聘任、解聘会计师事务所情况</w:t>
      </w:r>
      <w:bookmarkEnd w:id="54"/>
    </w:p>
    <w:p>
      <w:pPr>
        <w:spacing w:before="100" w:after="100" w:line="240" w:lineRule="exact"/>
        <w:jc w:val="left"/>
        <w:rPr>
          <w:rFonts w:ascii="宋体" w:hAnsi="宋体" w:eastAsia="宋体" w:cs="宋体"/>
          <w:sz w:val="18"/>
          <w:szCs w:val="18"/>
        </w:rPr>
      </w:pPr>
      <w:r>
        <w:rPr>
          <w:rFonts w:ascii="宋体" w:hAnsi="宋体" w:eastAsia="宋体" w:cs="宋体"/>
          <w:sz w:val="18"/>
          <w:szCs w:val="18"/>
        </w:rPr>
        <w:t>半年度财务报告是否已经审计</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公司半年度报告未经审计。</w:t>
      </w:r>
    </w:p>
    <w:p>
      <w:pPr>
        <w:keepNext/>
        <w:keepLines/>
        <w:spacing w:before="300" w:after="300" w:line="320" w:lineRule="exact"/>
        <w:jc w:val="left"/>
        <w:outlineLvl w:val="1"/>
        <w:rPr>
          <w:rFonts w:ascii="宋体" w:hAnsi="宋体" w:eastAsia="宋体" w:cs="宋体"/>
          <w:b/>
          <w:bCs/>
          <w:sz w:val="24"/>
          <w:szCs w:val="24"/>
        </w:rPr>
      </w:pPr>
      <w:bookmarkStart w:id="55" w:name="_Toc988944"/>
      <w:r>
        <w:rPr>
          <w:rFonts w:ascii="宋体" w:hAnsi="宋体" w:eastAsia="宋体" w:cs="宋体"/>
          <w:b/>
          <w:bCs/>
          <w:sz w:val="24"/>
          <w:szCs w:val="24"/>
        </w:rPr>
        <w:t>五、董事会、监事会对会计师事务所本报告期“非标准审计报告”的说明</w:t>
      </w:r>
      <w:bookmarkEnd w:id="5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56" w:name="_Toc988945"/>
      <w:r>
        <w:rPr>
          <w:rFonts w:ascii="宋体" w:hAnsi="宋体" w:eastAsia="宋体" w:cs="宋体"/>
          <w:b/>
          <w:bCs/>
          <w:sz w:val="24"/>
          <w:szCs w:val="24"/>
        </w:rPr>
        <w:t>六、董事会对上年度“非标准审计报告”相关情况的说明</w:t>
      </w:r>
      <w:bookmarkEnd w:id="5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57" w:name="_Toc988946"/>
      <w:r>
        <w:rPr>
          <w:rFonts w:ascii="宋体" w:hAnsi="宋体" w:eastAsia="宋体" w:cs="宋体"/>
          <w:b/>
          <w:bCs/>
          <w:sz w:val="24"/>
          <w:szCs w:val="24"/>
        </w:rPr>
        <w:t>七、破产重整相关事项</w:t>
      </w:r>
      <w:bookmarkEnd w:id="5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公司报告期未发生破产重整相关事项。</w:t>
      </w:r>
    </w:p>
    <w:p>
      <w:pPr>
        <w:keepNext/>
        <w:keepLines/>
        <w:spacing w:before="300" w:after="300" w:line="320" w:lineRule="exact"/>
        <w:jc w:val="left"/>
        <w:outlineLvl w:val="1"/>
        <w:rPr>
          <w:rFonts w:ascii="宋体" w:hAnsi="宋体" w:eastAsia="宋体" w:cs="宋体"/>
          <w:b/>
          <w:bCs/>
          <w:sz w:val="24"/>
          <w:szCs w:val="24"/>
        </w:rPr>
      </w:pPr>
      <w:bookmarkStart w:id="58" w:name="_Toc988947"/>
      <w:r>
        <w:rPr>
          <w:rFonts w:ascii="宋体" w:hAnsi="宋体" w:eastAsia="宋体" w:cs="宋体"/>
          <w:b/>
          <w:bCs/>
          <w:sz w:val="24"/>
          <w:szCs w:val="24"/>
        </w:rPr>
        <w:t>八、诉讼事项</w:t>
      </w:r>
      <w:bookmarkEnd w:id="58"/>
    </w:p>
    <w:p>
      <w:pPr>
        <w:spacing w:before="100" w:after="100" w:line="240" w:lineRule="exact"/>
        <w:jc w:val="left"/>
        <w:rPr>
          <w:rFonts w:ascii="宋体" w:hAnsi="宋体" w:eastAsia="宋体" w:cs="宋体"/>
          <w:sz w:val="18"/>
          <w:szCs w:val="18"/>
        </w:rPr>
      </w:pPr>
      <w:r>
        <w:rPr>
          <w:rFonts w:ascii="宋体" w:hAnsi="宋体" w:eastAsia="宋体" w:cs="宋体"/>
          <w:sz w:val="18"/>
          <w:szCs w:val="18"/>
        </w:rPr>
        <w:t>重大诉讼仲裁事项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本报告期公司无重大诉讼、仲裁事项。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其他诉讼事项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59" w:name="_Toc988948"/>
      <w:r>
        <w:rPr>
          <w:rFonts w:ascii="宋体" w:hAnsi="宋体" w:eastAsia="宋体" w:cs="宋体"/>
          <w:b/>
          <w:bCs/>
          <w:sz w:val="24"/>
          <w:szCs w:val="24"/>
        </w:rPr>
        <w:t>九、处罚及整改情况</w:t>
      </w:r>
      <w:bookmarkEnd w:id="5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60" w:name="_Toc988949"/>
      <w:r>
        <w:rPr>
          <w:rFonts w:ascii="宋体" w:hAnsi="宋体" w:eastAsia="宋体" w:cs="宋体"/>
          <w:b/>
          <w:bCs/>
          <w:sz w:val="24"/>
          <w:szCs w:val="24"/>
        </w:rPr>
        <w:t>十、公司及其控股股东、实际控制人的诚信状况</w:t>
      </w:r>
      <w:bookmarkEnd w:id="6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61" w:name="_Toc988950"/>
      <w:r>
        <w:rPr>
          <w:rFonts w:ascii="宋体" w:hAnsi="宋体" w:eastAsia="宋体" w:cs="宋体"/>
          <w:b/>
          <w:bCs/>
          <w:sz w:val="24"/>
          <w:szCs w:val="24"/>
        </w:rPr>
        <w:t>十一、重大关联交易</w:t>
      </w:r>
      <w:bookmarkEnd w:id="61"/>
    </w:p>
    <w:p>
      <w:pPr>
        <w:keepNext/>
        <w:keepLines/>
        <w:spacing w:before="300" w:after="300" w:line="280" w:lineRule="exact"/>
        <w:jc w:val="left"/>
        <w:outlineLvl w:val="2"/>
        <w:rPr>
          <w:rFonts w:ascii="宋体" w:hAnsi="宋体" w:eastAsia="宋体" w:cs="宋体"/>
          <w:b/>
          <w:bCs/>
          <w:sz w:val="21"/>
          <w:szCs w:val="21"/>
        </w:rPr>
      </w:pPr>
      <w:bookmarkStart w:id="62" w:name="_Toc988951"/>
      <w:r>
        <w:rPr>
          <w:rFonts w:ascii="宋体" w:hAnsi="宋体" w:eastAsia="宋体" w:cs="宋体"/>
          <w:b/>
          <w:bCs/>
          <w:sz w:val="21"/>
          <w:szCs w:val="21"/>
        </w:rPr>
        <w:t>1、与日常经营相关的关联交易</w:t>
      </w:r>
      <w:bookmarkEnd w:id="6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公司报告期未发生与日常经营相关的关联交易。</w:t>
      </w:r>
    </w:p>
    <w:p>
      <w:pPr>
        <w:keepNext/>
        <w:keepLines/>
        <w:spacing w:before="300" w:after="300" w:line="280" w:lineRule="exact"/>
        <w:jc w:val="left"/>
        <w:outlineLvl w:val="2"/>
        <w:rPr>
          <w:rFonts w:ascii="宋体" w:hAnsi="宋体" w:eastAsia="宋体" w:cs="宋体"/>
          <w:b/>
          <w:bCs/>
          <w:sz w:val="21"/>
          <w:szCs w:val="21"/>
        </w:rPr>
      </w:pPr>
      <w:bookmarkStart w:id="63" w:name="_Toc988952"/>
      <w:r>
        <w:rPr>
          <w:rFonts w:ascii="宋体" w:hAnsi="宋体" w:eastAsia="宋体" w:cs="宋体"/>
          <w:b/>
          <w:bCs/>
          <w:sz w:val="21"/>
          <w:szCs w:val="21"/>
        </w:rPr>
        <w:t>2、资产或股权收购、出售发生的关联交易</w:t>
      </w:r>
      <w:bookmarkEnd w:id="6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公司报告期未发生资产或股权收购、出售的关联交易。</w:t>
      </w:r>
    </w:p>
    <w:p>
      <w:pPr>
        <w:keepNext/>
        <w:keepLines/>
        <w:spacing w:before="300" w:after="300" w:line="280" w:lineRule="exact"/>
        <w:jc w:val="left"/>
        <w:outlineLvl w:val="2"/>
        <w:rPr>
          <w:rFonts w:ascii="宋体" w:hAnsi="宋体" w:eastAsia="宋体" w:cs="宋体"/>
          <w:b/>
          <w:bCs/>
          <w:sz w:val="21"/>
          <w:szCs w:val="21"/>
        </w:rPr>
      </w:pPr>
      <w:bookmarkStart w:id="64" w:name="_Toc988953"/>
      <w:r>
        <w:rPr>
          <w:rFonts w:ascii="宋体" w:hAnsi="宋体" w:eastAsia="宋体" w:cs="宋体"/>
          <w:b/>
          <w:bCs/>
          <w:sz w:val="21"/>
          <w:szCs w:val="21"/>
        </w:rPr>
        <w:t>3、共同对外投资的关联交易</w:t>
      </w:r>
      <w:bookmarkEnd w:id="6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公司报告期未发生共同对外投资的关联交易。</w:t>
      </w:r>
    </w:p>
    <w:p>
      <w:pPr>
        <w:keepNext/>
        <w:keepLines/>
        <w:spacing w:before="300" w:after="300" w:line="280" w:lineRule="exact"/>
        <w:jc w:val="left"/>
        <w:outlineLvl w:val="2"/>
        <w:rPr>
          <w:rFonts w:ascii="宋体" w:hAnsi="宋体" w:eastAsia="宋体" w:cs="宋体"/>
          <w:b/>
          <w:bCs/>
          <w:sz w:val="21"/>
          <w:szCs w:val="21"/>
        </w:rPr>
      </w:pPr>
      <w:bookmarkStart w:id="65" w:name="_Toc988954"/>
      <w:r>
        <w:rPr>
          <w:rFonts w:ascii="宋体" w:hAnsi="宋体" w:eastAsia="宋体" w:cs="宋体"/>
          <w:b/>
          <w:bCs/>
          <w:sz w:val="21"/>
          <w:szCs w:val="21"/>
        </w:rPr>
        <w:t>4、关联债权债务往来</w:t>
      </w:r>
      <w:bookmarkEnd w:id="6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公司报告期不存在关联债权债务往来。</w:t>
      </w:r>
    </w:p>
    <w:p>
      <w:pPr>
        <w:keepNext/>
        <w:keepLines/>
        <w:spacing w:before="300" w:after="300" w:line="280" w:lineRule="exact"/>
        <w:jc w:val="left"/>
        <w:outlineLvl w:val="2"/>
        <w:rPr>
          <w:rFonts w:ascii="宋体" w:hAnsi="宋体" w:eastAsia="宋体" w:cs="宋体"/>
          <w:b/>
          <w:bCs/>
          <w:sz w:val="21"/>
          <w:szCs w:val="21"/>
        </w:rPr>
      </w:pPr>
      <w:bookmarkStart w:id="66" w:name="_Toc988955"/>
      <w:r>
        <w:rPr>
          <w:rFonts w:ascii="宋体" w:hAnsi="宋体" w:eastAsia="宋体" w:cs="宋体"/>
          <w:b/>
          <w:bCs/>
          <w:sz w:val="21"/>
          <w:szCs w:val="21"/>
        </w:rPr>
        <w:t>5、与存在关联关系的财务公司的往来情况</w:t>
      </w:r>
      <w:bookmarkEnd w:id="6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公司与存在关联关系的财务公司与关联方之间不存在存款、贷款、授信或其他金融业务。</w:t>
      </w:r>
    </w:p>
    <w:p>
      <w:pPr>
        <w:keepNext/>
        <w:keepLines/>
        <w:spacing w:before="300" w:after="300" w:line="280" w:lineRule="exact"/>
        <w:jc w:val="left"/>
        <w:outlineLvl w:val="2"/>
        <w:rPr>
          <w:rFonts w:ascii="宋体" w:hAnsi="宋体" w:eastAsia="宋体" w:cs="宋体"/>
          <w:b/>
          <w:bCs/>
          <w:sz w:val="21"/>
          <w:szCs w:val="21"/>
        </w:rPr>
      </w:pPr>
      <w:bookmarkStart w:id="67" w:name="_Toc988956"/>
      <w:r>
        <w:rPr>
          <w:rFonts w:ascii="宋体" w:hAnsi="宋体" w:eastAsia="宋体" w:cs="宋体"/>
          <w:b/>
          <w:bCs/>
          <w:sz w:val="21"/>
          <w:szCs w:val="21"/>
        </w:rPr>
        <w:t>6、公司控股的财务公司与关联方的往来情况</w:t>
      </w:r>
      <w:bookmarkEnd w:id="6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公司控股的财务公司与关联方之间不存在存款、贷款、授信或其他金融业务。</w:t>
      </w:r>
    </w:p>
    <w:p>
      <w:pPr>
        <w:keepNext/>
        <w:keepLines/>
        <w:spacing w:before="300" w:after="300" w:line="280" w:lineRule="exact"/>
        <w:jc w:val="left"/>
        <w:outlineLvl w:val="2"/>
        <w:rPr>
          <w:rFonts w:ascii="宋体" w:hAnsi="宋体" w:eastAsia="宋体" w:cs="宋体"/>
          <w:b/>
          <w:bCs/>
          <w:sz w:val="21"/>
          <w:szCs w:val="21"/>
        </w:rPr>
      </w:pPr>
      <w:bookmarkStart w:id="68" w:name="_Toc988957"/>
      <w:r>
        <w:rPr>
          <w:rFonts w:ascii="宋体" w:hAnsi="宋体" w:eastAsia="宋体" w:cs="宋体"/>
          <w:b/>
          <w:bCs/>
          <w:sz w:val="21"/>
          <w:szCs w:val="21"/>
        </w:rPr>
        <w:t>7、其他重大关联交易</w:t>
      </w:r>
      <w:bookmarkEnd w:id="6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公司报告期无其他重大关联交易。</w:t>
      </w:r>
    </w:p>
    <w:p>
      <w:pPr>
        <w:keepNext/>
        <w:keepLines/>
        <w:spacing w:before="300" w:after="300" w:line="320" w:lineRule="exact"/>
        <w:jc w:val="left"/>
        <w:outlineLvl w:val="1"/>
        <w:rPr>
          <w:rFonts w:ascii="宋体" w:hAnsi="宋体" w:eastAsia="宋体" w:cs="宋体"/>
          <w:b/>
          <w:bCs/>
          <w:sz w:val="24"/>
          <w:szCs w:val="24"/>
        </w:rPr>
      </w:pPr>
      <w:bookmarkStart w:id="69" w:name="_Toc988958"/>
      <w:r>
        <w:rPr>
          <w:rFonts w:ascii="宋体" w:hAnsi="宋体" w:eastAsia="宋体" w:cs="宋体"/>
          <w:b/>
          <w:bCs/>
          <w:sz w:val="24"/>
          <w:szCs w:val="24"/>
        </w:rPr>
        <w:t>十二、重大合同及其履行情况</w:t>
      </w:r>
      <w:bookmarkEnd w:id="69"/>
    </w:p>
    <w:p>
      <w:pPr>
        <w:keepNext/>
        <w:keepLines/>
        <w:spacing w:before="300" w:after="300" w:line="280" w:lineRule="exact"/>
        <w:jc w:val="left"/>
        <w:outlineLvl w:val="2"/>
        <w:rPr>
          <w:rFonts w:ascii="宋体" w:hAnsi="宋体" w:eastAsia="宋体" w:cs="宋体"/>
          <w:b/>
          <w:bCs/>
          <w:sz w:val="21"/>
          <w:szCs w:val="21"/>
        </w:rPr>
      </w:pPr>
      <w:bookmarkStart w:id="70" w:name="_Toc988959"/>
      <w:r>
        <w:rPr>
          <w:rFonts w:ascii="宋体" w:hAnsi="宋体" w:eastAsia="宋体" w:cs="宋体"/>
          <w:b/>
          <w:bCs/>
          <w:sz w:val="21"/>
          <w:szCs w:val="21"/>
        </w:rPr>
        <w:t>1、托管、承包、租赁事项情况</w:t>
      </w:r>
      <w:bookmarkEnd w:id="70"/>
    </w:p>
    <w:p>
      <w:pPr>
        <w:keepNext/>
        <w:keepLines/>
        <w:spacing w:before="300" w:after="300" w:line="280" w:lineRule="exact"/>
        <w:jc w:val="left"/>
        <w:outlineLvl w:val="3"/>
        <w:rPr>
          <w:rFonts w:ascii="宋体" w:hAnsi="宋体" w:eastAsia="宋体" w:cs="宋体"/>
          <w:b/>
          <w:bCs/>
          <w:sz w:val="18"/>
          <w:szCs w:val="18"/>
        </w:rPr>
      </w:pPr>
      <w:bookmarkStart w:id="71" w:name="_Toc988960"/>
      <w:r>
        <w:rPr>
          <w:rFonts w:ascii="宋体" w:hAnsi="宋体" w:eastAsia="宋体" w:cs="宋体"/>
          <w:b/>
          <w:bCs/>
          <w:sz w:val="18"/>
          <w:szCs w:val="18"/>
        </w:rPr>
        <w:t>（1） 托管情况</w:t>
      </w:r>
      <w:bookmarkEnd w:id="7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公司报告期不存在托管情况。</w:t>
      </w:r>
    </w:p>
    <w:p>
      <w:pPr>
        <w:keepNext/>
        <w:keepLines/>
        <w:spacing w:before="300" w:after="300" w:line="280" w:lineRule="exact"/>
        <w:jc w:val="left"/>
        <w:outlineLvl w:val="3"/>
        <w:rPr>
          <w:rFonts w:ascii="宋体" w:hAnsi="宋体" w:eastAsia="宋体" w:cs="宋体"/>
          <w:b/>
          <w:bCs/>
          <w:sz w:val="18"/>
          <w:szCs w:val="18"/>
        </w:rPr>
      </w:pPr>
      <w:bookmarkStart w:id="72" w:name="_Toc988961"/>
      <w:r>
        <w:rPr>
          <w:rFonts w:ascii="宋体" w:hAnsi="宋体" w:eastAsia="宋体" w:cs="宋体"/>
          <w:b/>
          <w:bCs/>
          <w:sz w:val="18"/>
          <w:szCs w:val="18"/>
        </w:rPr>
        <w:t>（2） 承包情况</w:t>
      </w:r>
      <w:bookmarkEnd w:id="7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公司报告期不存在承包情况。</w:t>
      </w:r>
    </w:p>
    <w:p>
      <w:pPr>
        <w:keepNext/>
        <w:keepLines/>
        <w:spacing w:before="300" w:after="300" w:line="280" w:lineRule="exact"/>
        <w:jc w:val="left"/>
        <w:outlineLvl w:val="3"/>
        <w:rPr>
          <w:rFonts w:ascii="宋体" w:hAnsi="宋体" w:eastAsia="宋体" w:cs="宋体"/>
          <w:b/>
          <w:bCs/>
          <w:sz w:val="18"/>
          <w:szCs w:val="18"/>
        </w:rPr>
      </w:pPr>
      <w:bookmarkStart w:id="73" w:name="_Toc988962"/>
      <w:r>
        <w:rPr>
          <w:rFonts w:ascii="宋体" w:hAnsi="宋体" w:eastAsia="宋体" w:cs="宋体"/>
          <w:b/>
          <w:bCs/>
          <w:sz w:val="18"/>
          <w:szCs w:val="18"/>
        </w:rPr>
        <w:t>（3） 租赁情况</w:t>
      </w:r>
      <w:bookmarkEnd w:id="7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公司报告期不存在租赁情况。</w:t>
      </w:r>
    </w:p>
    <w:p>
      <w:pPr>
        <w:keepNext/>
        <w:keepLines/>
        <w:spacing w:before="300" w:after="300" w:line="280" w:lineRule="exact"/>
        <w:jc w:val="left"/>
        <w:outlineLvl w:val="2"/>
        <w:rPr>
          <w:rFonts w:ascii="宋体" w:hAnsi="宋体" w:eastAsia="宋体" w:cs="宋体"/>
          <w:b/>
          <w:bCs/>
          <w:sz w:val="21"/>
          <w:szCs w:val="21"/>
        </w:rPr>
      </w:pPr>
      <w:bookmarkStart w:id="74" w:name="_Toc988963"/>
      <w:r>
        <w:rPr>
          <w:rFonts w:ascii="宋体" w:hAnsi="宋体" w:eastAsia="宋体" w:cs="宋体"/>
          <w:b/>
          <w:bCs/>
          <w:sz w:val="21"/>
          <w:szCs w:val="21"/>
        </w:rPr>
        <w:t>2、重大担保</w:t>
      </w:r>
      <w:bookmarkEnd w:id="74"/>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4"/>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44"/>
        <w:gridCol w:w="855"/>
        <w:gridCol w:w="840"/>
        <w:gridCol w:w="675"/>
        <w:gridCol w:w="885"/>
        <w:gridCol w:w="930"/>
        <w:gridCol w:w="765"/>
        <w:gridCol w:w="814"/>
        <w:gridCol w:w="1031"/>
        <w:gridCol w:w="721"/>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公司及其子公司对外担保情况（不包括对子公司的担保）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担保对象名称</w:t>
            </w:r>
          </w:p>
        </w:tc>
        <w:tc>
          <w:tcPr>
            <w:tcW w:w="8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担保额度相关公告披露日期</w:t>
            </w:r>
          </w:p>
        </w:tc>
        <w:tc>
          <w:tcPr>
            <w:tcW w:w="8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w:t>
            </w:r>
          </w:p>
        </w:tc>
        <w:tc>
          <w:tcPr>
            <w:tcW w:w="6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实际发生日期</w:t>
            </w:r>
          </w:p>
        </w:tc>
        <w:tc>
          <w:tcPr>
            <w:tcW w:w="8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实际担保金额</w:t>
            </w:r>
          </w:p>
        </w:tc>
        <w:tc>
          <w:tcPr>
            <w:tcW w:w="93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担保类型</w:t>
            </w:r>
          </w:p>
        </w:tc>
        <w:tc>
          <w:tcPr>
            <w:tcW w:w="76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担保物（如有）</w:t>
            </w:r>
          </w:p>
        </w:tc>
        <w:tc>
          <w:tcPr>
            <w:tcW w:w="81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反担保情况（如有）</w:t>
            </w:r>
          </w:p>
        </w:tc>
        <w:tc>
          <w:tcPr>
            <w:tcW w:w="103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担保期</w:t>
            </w:r>
          </w:p>
        </w:tc>
        <w:tc>
          <w:tcPr>
            <w:tcW w:w="72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公司对子公司的担保情况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担保对象名称</w:t>
            </w:r>
          </w:p>
        </w:tc>
        <w:tc>
          <w:tcPr>
            <w:tcW w:w="8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担保额度相关公告披露日期</w:t>
            </w:r>
          </w:p>
        </w:tc>
        <w:tc>
          <w:tcPr>
            <w:tcW w:w="8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w:t>
            </w:r>
          </w:p>
        </w:tc>
        <w:tc>
          <w:tcPr>
            <w:tcW w:w="6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实际发生日期</w:t>
            </w:r>
          </w:p>
        </w:tc>
        <w:tc>
          <w:tcPr>
            <w:tcW w:w="8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实际担保金额</w:t>
            </w:r>
          </w:p>
        </w:tc>
        <w:tc>
          <w:tcPr>
            <w:tcW w:w="93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担保类型</w:t>
            </w:r>
          </w:p>
        </w:tc>
        <w:tc>
          <w:tcPr>
            <w:tcW w:w="76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担保物（如有）</w:t>
            </w:r>
          </w:p>
        </w:tc>
        <w:tc>
          <w:tcPr>
            <w:tcW w:w="81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反担保情况（如有）</w:t>
            </w:r>
          </w:p>
        </w:tc>
        <w:tc>
          <w:tcPr>
            <w:tcW w:w="103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担保期</w:t>
            </w:r>
          </w:p>
        </w:tc>
        <w:tc>
          <w:tcPr>
            <w:tcW w:w="72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w:t>
            </w:r>
          </w:p>
        </w:tc>
        <w:tc>
          <w:tcPr>
            <w:tcW w:w="6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3,960</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2020年8月21日至2025年8月21日</w:t>
            </w:r>
          </w:p>
        </w:tc>
        <w:tc>
          <w:tcPr>
            <w:tcW w:w="7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c>
          <w:tcPr>
            <w:tcW w:w="6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2022年4月26到2023年4月26日</w:t>
            </w:r>
          </w:p>
        </w:tc>
        <w:tc>
          <w:tcPr>
            <w:tcW w:w="7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w:t>
            </w:r>
          </w:p>
        </w:tc>
        <w:tc>
          <w:tcPr>
            <w:tcW w:w="6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1,101.28</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2021年6月7日至2022年12月31日</w:t>
            </w:r>
          </w:p>
        </w:tc>
        <w:tc>
          <w:tcPr>
            <w:tcW w:w="7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w:t>
            </w:r>
          </w:p>
        </w:tc>
        <w:tc>
          <w:tcPr>
            <w:tcW w:w="6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1,844.51</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2021年8月6日至2022年9月6日</w:t>
            </w:r>
          </w:p>
        </w:tc>
        <w:tc>
          <w:tcPr>
            <w:tcW w:w="7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w:t>
            </w:r>
          </w:p>
        </w:tc>
        <w:tc>
          <w:tcPr>
            <w:tcW w:w="6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1,180.27</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2021年7月5日至2023年7月4日</w:t>
            </w:r>
          </w:p>
        </w:tc>
        <w:tc>
          <w:tcPr>
            <w:tcW w:w="7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c>
          <w:tcPr>
            <w:tcW w:w="6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101.7</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2021年9月10日至2022年9月10日</w:t>
            </w:r>
          </w:p>
        </w:tc>
        <w:tc>
          <w:tcPr>
            <w:tcW w:w="7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c>
          <w:tcPr>
            <w:tcW w:w="6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2020年4月26日至2023年4月26日</w:t>
            </w:r>
          </w:p>
        </w:tc>
        <w:tc>
          <w:tcPr>
            <w:tcW w:w="7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9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报告期内审批对子公司担保额度合计（B1）</w:t>
            </w:r>
          </w:p>
        </w:tc>
        <w:tc>
          <w:tcPr>
            <w:tcW w:w="151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w:t>
            </w:r>
          </w:p>
        </w:tc>
        <w:tc>
          <w:tcPr>
            <w:tcW w:w="181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报告期内对子公司担保实际发生额合计（B2）</w:t>
            </w:r>
          </w:p>
        </w:tc>
        <w:tc>
          <w:tcPr>
            <w:tcW w:w="4207"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8,187.76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9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报告期末已审批的对子公司担保额度合计（B3）</w:t>
            </w:r>
          </w:p>
        </w:tc>
        <w:tc>
          <w:tcPr>
            <w:tcW w:w="151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w:t>
            </w:r>
          </w:p>
        </w:tc>
        <w:tc>
          <w:tcPr>
            <w:tcW w:w="181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报告期末对子公司实际担保余额合计（B4）</w:t>
            </w:r>
          </w:p>
        </w:tc>
        <w:tc>
          <w:tcPr>
            <w:tcW w:w="4207"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8,187.76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子公司对子公司的担保情况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担保对象名称</w:t>
            </w:r>
          </w:p>
        </w:tc>
        <w:tc>
          <w:tcPr>
            <w:tcW w:w="8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担保额度相关公告披露日期</w:t>
            </w:r>
          </w:p>
        </w:tc>
        <w:tc>
          <w:tcPr>
            <w:tcW w:w="8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w:t>
            </w:r>
          </w:p>
        </w:tc>
        <w:tc>
          <w:tcPr>
            <w:tcW w:w="6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实际发生日期</w:t>
            </w:r>
          </w:p>
        </w:tc>
        <w:tc>
          <w:tcPr>
            <w:tcW w:w="8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实际担保金额</w:t>
            </w:r>
          </w:p>
        </w:tc>
        <w:tc>
          <w:tcPr>
            <w:tcW w:w="93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担保类型</w:t>
            </w:r>
          </w:p>
        </w:tc>
        <w:tc>
          <w:tcPr>
            <w:tcW w:w="76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担保物（如有）</w:t>
            </w:r>
          </w:p>
        </w:tc>
        <w:tc>
          <w:tcPr>
            <w:tcW w:w="81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反担保情况（如有）</w:t>
            </w:r>
          </w:p>
        </w:tc>
        <w:tc>
          <w:tcPr>
            <w:tcW w:w="103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担保期</w:t>
            </w:r>
          </w:p>
        </w:tc>
        <w:tc>
          <w:tcPr>
            <w:tcW w:w="72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公司担保总额（即前三大项的合计）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9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报告期内审批担保额度合计（A1+B1+C1）</w:t>
            </w:r>
          </w:p>
        </w:tc>
        <w:tc>
          <w:tcPr>
            <w:tcW w:w="151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w:t>
            </w:r>
          </w:p>
        </w:tc>
        <w:tc>
          <w:tcPr>
            <w:tcW w:w="181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报告期内担保实际发生额合计（A2+B2+C2）</w:t>
            </w:r>
          </w:p>
        </w:tc>
        <w:tc>
          <w:tcPr>
            <w:tcW w:w="4207"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8,187.76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9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报告期末已审批的担保额度合计（A3+B3+C3）</w:t>
            </w:r>
          </w:p>
        </w:tc>
        <w:tc>
          <w:tcPr>
            <w:tcW w:w="151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w:t>
            </w:r>
          </w:p>
        </w:tc>
        <w:tc>
          <w:tcPr>
            <w:tcW w:w="181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报告期末实际担保余额合计（A4+B4+C4）</w:t>
            </w:r>
          </w:p>
        </w:tc>
        <w:tc>
          <w:tcPr>
            <w:tcW w:w="4207"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8,187.76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1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实际担保总额（即A4+B4+C4）占公司净资产的比例</w:t>
            </w:r>
          </w:p>
        </w:tc>
        <w:tc>
          <w:tcPr>
            <w:tcW w:w="6022"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采用复合方式担保的具体情况说明</w:t>
      </w:r>
    </w:p>
    <w:p>
      <w:pPr>
        <w:keepNext/>
        <w:keepLines/>
        <w:spacing w:before="300" w:after="300" w:line="280" w:lineRule="exact"/>
        <w:jc w:val="left"/>
        <w:outlineLvl w:val="2"/>
        <w:rPr>
          <w:rFonts w:ascii="宋体" w:hAnsi="宋体" w:eastAsia="宋体" w:cs="宋体"/>
          <w:b/>
          <w:bCs/>
          <w:sz w:val="21"/>
          <w:szCs w:val="21"/>
        </w:rPr>
      </w:pPr>
      <w:bookmarkStart w:id="75" w:name="_Toc988964"/>
      <w:r>
        <w:rPr>
          <w:rFonts w:ascii="宋体" w:hAnsi="宋体" w:eastAsia="宋体" w:cs="宋体"/>
          <w:b/>
          <w:bCs/>
          <w:sz w:val="21"/>
          <w:szCs w:val="21"/>
        </w:rPr>
        <w:t>3、委托理财</w:t>
      </w:r>
      <w:bookmarkEnd w:id="7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公司报告期不存在委托理财。</w:t>
      </w:r>
    </w:p>
    <w:p>
      <w:pPr>
        <w:keepNext/>
        <w:keepLines/>
        <w:spacing w:before="300" w:after="300" w:line="280" w:lineRule="exact"/>
        <w:jc w:val="left"/>
        <w:outlineLvl w:val="2"/>
        <w:rPr>
          <w:rFonts w:ascii="宋体" w:hAnsi="宋体" w:eastAsia="宋体" w:cs="宋体"/>
          <w:b/>
          <w:bCs/>
          <w:sz w:val="21"/>
          <w:szCs w:val="21"/>
        </w:rPr>
      </w:pPr>
      <w:bookmarkStart w:id="76" w:name="_Toc988965"/>
      <w:r>
        <w:rPr>
          <w:rFonts w:ascii="宋体" w:hAnsi="宋体" w:eastAsia="宋体" w:cs="宋体"/>
          <w:b/>
          <w:bCs/>
          <w:sz w:val="21"/>
          <w:szCs w:val="21"/>
        </w:rPr>
        <w:t>4、其他重大合同</w:t>
      </w:r>
      <w:bookmarkEnd w:id="7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公司报告期不存在其他重大合同。</w:t>
      </w:r>
    </w:p>
    <w:p>
      <w:pPr>
        <w:keepNext/>
        <w:keepLines/>
        <w:spacing w:before="300" w:after="300" w:line="320" w:lineRule="exact"/>
        <w:jc w:val="left"/>
        <w:outlineLvl w:val="1"/>
        <w:rPr>
          <w:rFonts w:ascii="宋体" w:hAnsi="宋体" w:eastAsia="宋体" w:cs="宋体"/>
          <w:b/>
          <w:bCs/>
          <w:sz w:val="24"/>
          <w:szCs w:val="24"/>
        </w:rPr>
      </w:pPr>
      <w:bookmarkStart w:id="77" w:name="_Toc988966"/>
      <w:r>
        <w:rPr>
          <w:rFonts w:ascii="宋体" w:hAnsi="宋体" w:eastAsia="宋体" w:cs="宋体"/>
          <w:b/>
          <w:bCs/>
          <w:sz w:val="24"/>
          <w:szCs w:val="24"/>
        </w:rPr>
        <w:t>十三、其他重大事项的说明</w:t>
      </w:r>
      <w:bookmarkEnd w:id="7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公司报告期不存在需要说明的其他重大事项。</w:t>
      </w:r>
    </w:p>
    <w:p>
      <w:pPr>
        <w:keepNext/>
        <w:keepLines/>
        <w:spacing w:before="300" w:after="300" w:line="320" w:lineRule="exact"/>
        <w:jc w:val="left"/>
        <w:outlineLvl w:val="1"/>
        <w:rPr>
          <w:rFonts w:ascii="宋体" w:hAnsi="宋体" w:eastAsia="宋体" w:cs="宋体"/>
          <w:b/>
          <w:bCs/>
          <w:sz w:val="24"/>
          <w:szCs w:val="24"/>
        </w:rPr>
      </w:pPr>
      <w:bookmarkStart w:id="78" w:name="_Toc988967"/>
      <w:r>
        <w:rPr>
          <w:rFonts w:ascii="宋体" w:hAnsi="宋体" w:eastAsia="宋体" w:cs="宋体"/>
          <w:b/>
          <w:bCs/>
          <w:sz w:val="24"/>
          <w:szCs w:val="24"/>
        </w:rPr>
        <w:t>十四、公司子公司重大事项</w:t>
      </w:r>
      <w:bookmarkEnd w:id="7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r>
        <w:br w:type="page"/>
      </w:r>
    </w:p>
    <w:p>
      <w:pPr>
        <w:keepNext/>
        <w:keepLines/>
        <w:spacing w:before="340" w:after="330" w:line="773" w:lineRule="exact"/>
        <w:jc w:val="center"/>
        <w:outlineLvl w:val="0"/>
        <w:rPr>
          <w:rFonts w:ascii="宋体" w:hAnsi="宋体" w:eastAsia="宋体" w:cs="宋体"/>
          <w:b/>
          <w:bCs/>
          <w:sz w:val="32"/>
          <w:szCs w:val="32"/>
        </w:rPr>
      </w:pPr>
      <w:bookmarkStart w:id="79" w:name="_Toc988968"/>
      <w:r>
        <w:rPr>
          <w:rFonts w:ascii="宋体" w:hAnsi="宋体" w:eastAsia="宋体" w:cs="宋体"/>
          <w:b/>
          <w:bCs/>
          <w:sz w:val="32"/>
          <w:szCs w:val="32"/>
        </w:rPr>
        <w:t>第七节 股份变动及股东情况</w:t>
      </w:r>
      <w:bookmarkEnd w:id="79"/>
    </w:p>
    <w:p>
      <w:pPr>
        <w:keepNext/>
        <w:keepLines/>
        <w:spacing w:before="300" w:after="300" w:line="320" w:lineRule="exact"/>
        <w:jc w:val="left"/>
        <w:outlineLvl w:val="1"/>
        <w:rPr>
          <w:rFonts w:ascii="宋体" w:hAnsi="宋体" w:eastAsia="宋体" w:cs="宋体"/>
          <w:b/>
          <w:bCs/>
          <w:sz w:val="24"/>
          <w:szCs w:val="24"/>
        </w:rPr>
      </w:pPr>
      <w:bookmarkStart w:id="80" w:name="_Toc988969"/>
      <w:r>
        <w:rPr>
          <w:rFonts w:ascii="宋体" w:hAnsi="宋体" w:eastAsia="宋体" w:cs="宋体"/>
          <w:b/>
          <w:bCs/>
          <w:sz w:val="24"/>
          <w:szCs w:val="24"/>
        </w:rPr>
        <w:t>一、股份变动情况</w:t>
      </w:r>
      <w:bookmarkEnd w:id="80"/>
    </w:p>
    <w:p>
      <w:pPr>
        <w:keepNext/>
        <w:keepLines/>
        <w:spacing w:before="300" w:after="300" w:line="280" w:lineRule="exact"/>
        <w:jc w:val="left"/>
        <w:outlineLvl w:val="2"/>
        <w:rPr>
          <w:rFonts w:ascii="宋体" w:hAnsi="宋体" w:eastAsia="宋体" w:cs="宋体"/>
          <w:b/>
          <w:bCs/>
          <w:sz w:val="21"/>
          <w:szCs w:val="21"/>
        </w:rPr>
      </w:pPr>
      <w:bookmarkStart w:id="81" w:name="_Toc988970"/>
      <w:r>
        <w:rPr>
          <w:rFonts w:ascii="宋体" w:hAnsi="宋体" w:eastAsia="宋体" w:cs="宋体"/>
          <w:b/>
          <w:bCs/>
          <w:sz w:val="21"/>
          <w:szCs w:val="21"/>
        </w:rPr>
        <w:t>1、股份变动情况</w:t>
      </w:r>
      <w:bookmarkEnd w:id="8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单位：股
</w:t>
      </w:r>
    </w:p>
    <w:tbl>
      <w:tblPr>
        <w:tblStyle w:val="4"/>
        <w:tblW w:w="982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44"/>
        <w:gridCol w:w="1275"/>
        <w:gridCol w:w="810"/>
        <w:gridCol w:w="660"/>
        <w:gridCol w:w="390"/>
        <w:gridCol w:w="810"/>
        <w:gridCol w:w="1215"/>
        <w:gridCol w:w="1230"/>
        <w:gridCol w:w="1275"/>
        <w:gridCol w:w="9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208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本次变动前</w:t>
            </w:r>
          </w:p>
        </w:tc>
        <w:tc>
          <w:tcPr>
            <w:tcW w:w="4305"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本次变动增减（＋，－）</w:t>
            </w:r>
          </w:p>
        </w:tc>
        <w:tc>
          <w:tcPr>
            <w:tcW w:w="219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8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6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发行新股</w:t>
            </w:r>
          </w:p>
        </w:tc>
        <w:tc>
          <w:tcPr>
            <w:tcW w:w="39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送股</w:t>
            </w:r>
          </w:p>
        </w:tc>
        <w:tc>
          <w:tcPr>
            <w:tcW w:w="8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公积金转股</w:t>
            </w:r>
          </w:p>
        </w:tc>
        <w:tc>
          <w:tcPr>
            <w:tcW w:w="12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23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9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一、有限售条件股份</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101,789,774</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17.76%</w:t>
            </w: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-77,596,226</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-77,596,226</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1、国家持股</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2、国有法人持股</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64,822,034</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11.31%</w:t>
            </w: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-40,628,486</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-40,628,486</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3、其他内资持股</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36,967,740</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w:t>
            </w: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-36,967,740</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-36,967,740</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其中：境内法人持股</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36,967,740</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w:t>
            </w: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-36,967,740</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-36,967,740</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境内自然人持股</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4、外资持股</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其中：境外法人持股</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境外自然人持股</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二、无限售条件股份</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471,315,045</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82.24%</w:t>
            </w: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77,596,226</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77,596,226</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548,911,271</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1、人民币普通股</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471,315,045</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82.24%</w:t>
            </w: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77,596,226</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77,596,226</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548,911,271</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2、境内上市的外资股</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3、境外上市的外资股</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4、其他</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三、股份总数</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股份变动的原因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firstLineChars="200"/>
        <w:jc w:val="both"/>
        <w:rPr>
          <w:rFonts w:ascii="Calibri" w:hAnsi="Calibri" w:cs="Calibri"/>
          <w:sz w:val="24"/>
          <w:szCs w:val="24"/>
        </w:rPr>
      </w:pPr>
      <w:r>
        <w:rPr>
          <w:rFonts w:hint="eastAsia" w:ascii="宋体" w:hAnsi="宋体" w:eastAsia="宋体" w:cs="宋体"/>
          <w:i w:val="0"/>
          <w:caps w:val="0"/>
          <w:color w:val="000000"/>
          <w:spacing w:val="0"/>
          <w:sz w:val="21"/>
          <w:szCs w:val="21"/>
        </w:rPr>
        <w:t>2022年1月25日，公司申请将</w:t>
      </w:r>
      <w:r>
        <w:rPr>
          <w:rFonts w:hint="eastAsia" w:ascii="宋体" w:hAnsi="宋体" w:eastAsia="宋体" w:cs="宋体"/>
          <w:b w:val="0"/>
          <w:i w:val="0"/>
          <w:caps w:val="0"/>
          <w:color w:val="000000"/>
          <w:spacing w:val="0"/>
          <w:sz w:val="21"/>
          <w:szCs w:val="21"/>
        </w:rPr>
        <w:t>2020年非公开发行</w:t>
      </w:r>
      <w:r>
        <w:rPr>
          <w:rFonts w:hint="eastAsia" w:ascii="宋体" w:hAnsi="宋体" w:eastAsia="宋体" w:cs="宋体"/>
          <w:sz w:val="21"/>
          <w:szCs w:val="21"/>
        </w:rPr>
        <w:t>限售股份</w:t>
      </w:r>
      <w:r>
        <w:rPr>
          <w:rFonts w:hint="eastAsia" w:ascii="宋体" w:hAnsi="宋体" w:eastAsia="宋体" w:cs="宋体"/>
          <w:b w:val="0"/>
          <w:i w:val="0"/>
          <w:caps w:val="0"/>
          <w:color w:val="000000"/>
          <w:spacing w:val="0"/>
          <w:sz w:val="21"/>
          <w:szCs w:val="21"/>
        </w:rPr>
        <w:t>77,596,226股解除限售，占公司股份总数的13.54%。该限售股份已于2022年2月7日上市流通，详见公司2022年1月26日刊登于指定媒体和巨潮资讯网上的《湖南博云新材料股份有限公司关于2020年非公开发行限售股份上市流通提示性公告》公告编号 2022-007）。</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股份变动的批准情况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股份变动的过户情况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股份回购的实施进展情况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采用集中竞价方式减持回购股份的实施进展情况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股份变动对最近一年和最近一期基本每股收益和稀释每股收益、归属于公司普通股股东的每股净资产等财务指标的影响</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公司认为必要或证券监管机构要求披露的其他内容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82" w:name="_Toc988971"/>
      <w:r>
        <w:rPr>
          <w:rFonts w:ascii="宋体" w:hAnsi="宋体" w:eastAsia="宋体" w:cs="宋体"/>
          <w:b/>
          <w:bCs/>
          <w:sz w:val="21"/>
          <w:szCs w:val="21"/>
        </w:rPr>
        <w:t>2、限售股份变动情况</w:t>
      </w:r>
      <w:bookmarkEnd w:id="82"/>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29"/>
        <w:gridCol w:w="1185"/>
        <w:gridCol w:w="1215"/>
        <w:gridCol w:w="945"/>
        <w:gridCol w:w="1111"/>
        <w:gridCol w:w="1169"/>
        <w:gridCol w:w="15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1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期初限售股数</w:t>
            </w:r>
          </w:p>
        </w:tc>
        <w:tc>
          <w:tcPr>
            <w:tcW w:w="12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本期解除限售股数</w:t>
            </w:r>
          </w:p>
        </w:tc>
        <w:tc>
          <w:tcPr>
            <w:tcW w:w="9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本期增加限售股数</w:t>
            </w:r>
          </w:p>
        </w:tc>
        <w:tc>
          <w:tcPr>
            <w:tcW w:w="1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期末限售股数</w:t>
            </w:r>
          </w:p>
        </w:tc>
        <w:tc>
          <w:tcPr>
            <w:tcW w:w="11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限售原因</w:t>
            </w:r>
          </w:p>
        </w:tc>
        <w:tc>
          <w:tcPr>
            <w:tcW w:w="15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解除限售日期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2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中国黄金集团资产管理有限公司</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3,225,806</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3,225,806</w:t>
            </w: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解除限售</w:t>
            </w:r>
          </w:p>
        </w:tc>
        <w:tc>
          <w:tcPr>
            <w:tcW w:w="1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2022年2月7日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2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11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非公开发行股份</w:t>
            </w:r>
          </w:p>
        </w:tc>
        <w:tc>
          <w:tcPr>
            <w:tcW w:w="1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2023年2月7日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2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国家军民融合产业投资基金有限责任公司</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37,402,680</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37,402,680</w:t>
            </w: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解除限售</w:t>
            </w:r>
          </w:p>
        </w:tc>
        <w:tc>
          <w:tcPr>
            <w:tcW w:w="1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2022年2月7日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2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华泰证券资管－民生加银基金嘉泰2期单一资产管理计划－华泰新悦7号单一资产管理计划</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4,838,709</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4,838,709</w:t>
            </w: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解除限售</w:t>
            </w:r>
          </w:p>
        </w:tc>
        <w:tc>
          <w:tcPr>
            <w:tcW w:w="1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2022年2月7日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2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共青城华建新希望投资管理合伙企业（有限合伙）</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6,322,580</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6,322,580</w:t>
            </w: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解除限售</w:t>
            </w:r>
          </w:p>
        </w:tc>
        <w:tc>
          <w:tcPr>
            <w:tcW w:w="1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2022年2月7日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2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湖南天惠投资基金管理有限公司－湖南省天惠军民融合投资基金合伙企业（有限合伙）</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14,516,129</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14,516,129</w:t>
            </w: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解除限售</w:t>
            </w:r>
          </w:p>
        </w:tc>
        <w:tc>
          <w:tcPr>
            <w:tcW w:w="1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2022年2月7日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2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湖州爱道铭泉企业管理合伙企业（有限合伙）</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3,225,806</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3,225,806</w:t>
            </w: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解除限售</w:t>
            </w:r>
          </w:p>
        </w:tc>
        <w:tc>
          <w:tcPr>
            <w:tcW w:w="1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2022年2月7日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2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北京誉华基金管理有限公司－航空产业融合发展（青岛）股权投资基金合伙企业（有限合伙）</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8,064,516</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8,064,516</w:t>
            </w: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解除限售</w:t>
            </w:r>
          </w:p>
        </w:tc>
        <w:tc>
          <w:tcPr>
            <w:tcW w:w="1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2022年2月7日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101,789,774</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77,596,226</w:t>
            </w: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1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11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5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keepNext/>
        <w:keepLines/>
        <w:spacing w:before="300" w:after="300" w:line="320" w:lineRule="exact"/>
        <w:jc w:val="left"/>
        <w:outlineLvl w:val="1"/>
        <w:rPr>
          <w:rFonts w:ascii="宋体" w:hAnsi="宋体" w:eastAsia="宋体" w:cs="宋体"/>
          <w:b/>
          <w:bCs/>
          <w:sz w:val="24"/>
          <w:szCs w:val="24"/>
        </w:rPr>
      </w:pPr>
      <w:bookmarkStart w:id="83" w:name="_Toc988972"/>
      <w:r>
        <w:rPr>
          <w:rFonts w:ascii="宋体" w:hAnsi="宋体" w:eastAsia="宋体" w:cs="宋体"/>
          <w:b/>
          <w:bCs/>
          <w:sz w:val="24"/>
          <w:szCs w:val="24"/>
        </w:rPr>
        <w:t>二、证券发行与上市情况</w:t>
      </w:r>
      <w:bookmarkEnd w:id="8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84" w:name="_Toc988973"/>
      <w:r>
        <w:rPr>
          <w:rFonts w:ascii="宋体" w:hAnsi="宋体" w:eastAsia="宋体" w:cs="宋体"/>
          <w:b/>
          <w:bCs/>
          <w:sz w:val="24"/>
          <w:szCs w:val="24"/>
        </w:rPr>
        <w:t>三、公司股东数量及持股情况</w:t>
      </w:r>
      <w:bookmarkEnd w:id="84"/>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44"/>
        <w:gridCol w:w="870"/>
        <w:gridCol w:w="780"/>
        <w:gridCol w:w="1380"/>
        <w:gridCol w:w="795"/>
        <w:gridCol w:w="330"/>
        <w:gridCol w:w="1155"/>
        <w:gridCol w:w="825"/>
        <w:gridCol w:w="315"/>
        <w:gridCol w:w="750"/>
        <w:gridCol w:w="59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1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216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61,987</w:t>
            </w:r>
          </w:p>
        </w:tc>
        <w:tc>
          <w:tcPr>
            <w:tcW w:w="3420"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报告期末表决权恢复的优先股股东总数（如有）（参见注8）</w:t>
            </w:r>
          </w:p>
        </w:tc>
        <w:tc>
          <w:tcPr>
            <w:tcW w:w="134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持股5%以上的普通股股东或前10名普通股股东持股情况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4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87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78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38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报告期末持有的普通股数量</w:t>
            </w:r>
          </w:p>
        </w:tc>
        <w:tc>
          <w:tcPr>
            <w:tcW w:w="1125"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报告期内增减变动情况</w:t>
            </w:r>
          </w:p>
        </w:tc>
        <w:tc>
          <w:tcPr>
            <w:tcW w:w="115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持有有限售条件的普通股数量</w:t>
            </w:r>
          </w:p>
        </w:tc>
        <w:tc>
          <w:tcPr>
            <w:tcW w:w="1140"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持有无限售条件的普通股数量</w:t>
            </w:r>
          </w:p>
        </w:tc>
        <w:tc>
          <w:tcPr>
            <w:tcW w:w="134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4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8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8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125"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15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140"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5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4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12.65%</w:t>
            </w:r>
          </w:p>
        </w:tc>
        <w:tc>
          <w:tcPr>
            <w:tcW w:w="13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72,472,129</w:t>
            </w:r>
          </w:p>
        </w:tc>
        <w:tc>
          <w:tcPr>
            <w:tcW w:w="112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72,472,129</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5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4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湖南湘投高科技创业投资有限公司</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7.81%</w:t>
            </w:r>
          </w:p>
        </w:tc>
        <w:tc>
          <w:tcPr>
            <w:tcW w:w="13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44,780,202</w:t>
            </w:r>
          </w:p>
        </w:tc>
        <w:tc>
          <w:tcPr>
            <w:tcW w:w="112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5,400,000</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44,780,202</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5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4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国家军民融合产业投资基金有限责任公司</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6.53%</w:t>
            </w:r>
          </w:p>
        </w:tc>
        <w:tc>
          <w:tcPr>
            <w:tcW w:w="13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37,402,680</w:t>
            </w:r>
          </w:p>
        </w:tc>
        <w:tc>
          <w:tcPr>
            <w:tcW w:w="112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37,402,680</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5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4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w:t>
            </w:r>
          </w:p>
        </w:tc>
        <w:tc>
          <w:tcPr>
            <w:tcW w:w="13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112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114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5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4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郭伟</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0.97%</w:t>
            </w:r>
          </w:p>
        </w:tc>
        <w:tc>
          <w:tcPr>
            <w:tcW w:w="13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5,577,672</w:t>
            </w:r>
          </w:p>
        </w:tc>
        <w:tc>
          <w:tcPr>
            <w:tcW w:w="112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5,577,672</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5,577,672</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5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4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北京誉华基金管理有限公司－航空产业融合发展（青岛）股权投资基金合伙企业（有限合伙）</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0.93%</w:t>
            </w:r>
          </w:p>
        </w:tc>
        <w:tc>
          <w:tcPr>
            <w:tcW w:w="13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5,319,216</w:t>
            </w:r>
          </w:p>
        </w:tc>
        <w:tc>
          <w:tcPr>
            <w:tcW w:w="112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-2,745,300</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5,319,216</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5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4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应光亮</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0.77%</w:t>
            </w:r>
          </w:p>
        </w:tc>
        <w:tc>
          <w:tcPr>
            <w:tcW w:w="13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4,400,000</w:t>
            </w:r>
          </w:p>
        </w:tc>
        <w:tc>
          <w:tcPr>
            <w:tcW w:w="112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-100,000</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4,400,000</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5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4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胡鑫锋</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0.38%</w:t>
            </w:r>
          </w:p>
        </w:tc>
        <w:tc>
          <w:tcPr>
            <w:tcW w:w="13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2,190,800</w:t>
            </w:r>
          </w:p>
        </w:tc>
        <w:tc>
          <w:tcPr>
            <w:tcW w:w="112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2,190,800</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2,190,800</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5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4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王爽</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0.35%</w:t>
            </w:r>
          </w:p>
        </w:tc>
        <w:tc>
          <w:tcPr>
            <w:tcW w:w="13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2,029,500</w:t>
            </w:r>
          </w:p>
        </w:tc>
        <w:tc>
          <w:tcPr>
            <w:tcW w:w="112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2,029,500</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5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4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中国黄金集团资产管理有限公司</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0.35%</w:t>
            </w:r>
          </w:p>
        </w:tc>
        <w:tc>
          <w:tcPr>
            <w:tcW w:w="13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w:t>
            </w:r>
          </w:p>
        </w:tc>
        <w:tc>
          <w:tcPr>
            <w:tcW w:w="112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-1,225,806</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5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1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战略投资者或一般法人因配售新股成为前10名普通股股东的情况（如有）（参见注3）</w:t>
            </w:r>
          </w:p>
        </w:tc>
        <w:tc>
          <w:tcPr>
            <w:tcW w:w="6925"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1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6925"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持有中南大学粉末冶金工程研究中心有限公司51%股权，为中南大学粉末冶金工程研究中心有限公司控股股东。除此以外未知上述其他股东之间是否存在关联关系，也未知以上其他股东是否属于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1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上述股东涉及委托/受托表决权、放弃表决权情况的说明</w:t>
            </w:r>
          </w:p>
        </w:tc>
        <w:tc>
          <w:tcPr>
            <w:tcW w:w="6925"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1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前10名股东中存在回购专户的特别说明（如有）（参见注11）</w:t>
            </w:r>
          </w:p>
        </w:tc>
        <w:tc>
          <w:tcPr>
            <w:tcW w:w="6925"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前10名无限售条件普通股股东持股情况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14"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2955"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报告期末持有无限售条件普通股股份数量</w:t>
            </w:r>
          </w:p>
        </w:tc>
        <w:tc>
          <w:tcPr>
            <w:tcW w:w="3970"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14"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955"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3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股份种类</w:t>
            </w:r>
          </w:p>
        </w:tc>
        <w:tc>
          <w:tcPr>
            <w:tcW w:w="166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1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295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72,472,129</w:t>
            </w:r>
          </w:p>
        </w:tc>
        <w:tc>
          <w:tcPr>
            <w:tcW w:w="231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6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72,472,129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1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湖南湘投高科技创业投资有限公司</w:t>
            </w:r>
          </w:p>
        </w:tc>
        <w:tc>
          <w:tcPr>
            <w:tcW w:w="295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44,780,202</w:t>
            </w:r>
          </w:p>
        </w:tc>
        <w:tc>
          <w:tcPr>
            <w:tcW w:w="231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6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44,780,202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1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国家军民融合产业投资基金有限责任公司</w:t>
            </w:r>
          </w:p>
        </w:tc>
        <w:tc>
          <w:tcPr>
            <w:tcW w:w="295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37,402,680</w:t>
            </w:r>
          </w:p>
        </w:tc>
        <w:tc>
          <w:tcPr>
            <w:tcW w:w="231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6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37,402,680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1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郭伟</w:t>
            </w:r>
          </w:p>
        </w:tc>
        <w:tc>
          <w:tcPr>
            <w:tcW w:w="295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5,577,672</w:t>
            </w:r>
          </w:p>
        </w:tc>
        <w:tc>
          <w:tcPr>
            <w:tcW w:w="231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6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5,577,672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1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北京誉华基金管理有限公司－航空产业融合发展（青岛）股权投资基金合伙企业（有限合伙）</w:t>
            </w:r>
          </w:p>
        </w:tc>
        <w:tc>
          <w:tcPr>
            <w:tcW w:w="295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5,319,216</w:t>
            </w:r>
          </w:p>
        </w:tc>
        <w:tc>
          <w:tcPr>
            <w:tcW w:w="231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6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5,319,216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1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应光亮</w:t>
            </w:r>
          </w:p>
        </w:tc>
        <w:tc>
          <w:tcPr>
            <w:tcW w:w="295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4,400,000</w:t>
            </w:r>
          </w:p>
        </w:tc>
        <w:tc>
          <w:tcPr>
            <w:tcW w:w="231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6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1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胡鑫锋</w:t>
            </w:r>
          </w:p>
        </w:tc>
        <w:tc>
          <w:tcPr>
            <w:tcW w:w="295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2,190,800</w:t>
            </w:r>
          </w:p>
        </w:tc>
        <w:tc>
          <w:tcPr>
            <w:tcW w:w="231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6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2,190,800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1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王爽</w:t>
            </w:r>
          </w:p>
        </w:tc>
        <w:tc>
          <w:tcPr>
            <w:tcW w:w="295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2,029,500</w:t>
            </w:r>
          </w:p>
        </w:tc>
        <w:tc>
          <w:tcPr>
            <w:tcW w:w="231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6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2,029,500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1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中国黄金集团资产管理有限公司</w:t>
            </w:r>
          </w:p>
        </w:tc>
        <w:tc>
          <w:tcPr>
            <w:tcW w:w="295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w:t>
            </w:r>
          </w:p>
        </w:tc>
        <w:tc>
          <w:tcPr>
            <w:tcW w:w="231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6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1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熊翔</w:t>
            </w:r>
          </w:p>
        </w:tc>
        <w:tc>
          <w:tcPr>
            <w:tcW w:w="295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1,836,000</w:t>
            </w:r>
          </w:p>
        </w:tc>
        <w:tc>
          <w:tcPr>
            <w:tcW w:w="231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6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1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前10名无限售条件普通股股东之间，以及前10名无限售条件普通股股东和前10名普通股股东之间关联关系或一致行动的说明</w:t>
            </w:r>
          </w:p>
        </w:tc>
        <w:tc>
          <w:tcPr>
            <w:tcW w:w="6925"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持有中南大学粉末冶金工程研究中心有限公司51%股权，为中南大学粉末冶金工程研究中心有限公司控股股东。除此以外未知上述其他股东之间是否存在关联关系，也未知以上其他股东是否属于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1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前10名普通股股东参与融资融券业务情况说明（如有）（参见注4）</w:t>
            </w:r>
          </w:p>
        </w:tc>
        <w:tc>
          <w:tcPr>
            <w:tcW w:w="6925"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前10名股东应光亮通过投资者信用账户持有公司股票1,000,000股，通过普通证券账户持有3,400,000股，普通证券账户及投资者信用账户合计持有4,400,000股；股东胡鑫锋通过投资者信用账户持有公司股票2,178,000股，通过普通证券账户持有12,800股，普通证券账户及投资者信用账户合计持有2,190,800股。</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公司前10名普通股股东、前10名无限售条件普通股股东在报告期内是否进行约定购回交易</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公司前10名普通股股东、前10名无限售条件普通股股东在报告期内未进行约定购回交易。</w:t>
      </w:r>
    </w:p>
    <w:p>
      <w:pPr>
        <w:keepNext/>
        <w:keepLines/>
        <w:spacing w:before="300" w:after="300" w:line="320" w:lineRule="exact"/>
        <w:jc w:val="left"/>
        <w:outlineLvl w:val="1"/>
        <w:rPr>
          <w:rFonts w:ascii="宋体" w:hAnsi="宋体" w:eastAsia="宋体" w:cs="宋体"/>
          <w:b/>
          <w:bCs/>
          <w:sz w:val="24"/>
          <w:szCs w:val="24"/>
        </w:rPr>
      </w:pPr>
      <w:bookmarkStart w:id="85" w:name="_Toc988974"/>
      <w:r>
        <w:rPr>
          <w:rFonts w:ascii="宋体" w:hAnsi="宋体" w:eastAsia="宋体" w:cs="宋体"/>
          <w:b/>
          <w:bCs/>
          <w:sz w:val="24"/>
          <w:szCs w:val="24"/>
        </w:rPr>
        <w:t>四、董事、监事和高级管理人员持股变动</w:t>
      </w:r>
      <w:bookmarkEnd w:id="8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公司董事、监事和高级管理人员在报告期持股情况没有发生变动，具体可参见2021年年报。</w:t>
      </w:r>
    </w:p>
    <w:p>
      <w:pPr>
        <w:keepNext/>
        <w:keepLines/>
        <w:spacing w:before="300" w:after="300" w:line="320" w:lineRule="exact"/>
        <w:jc w:val="left"/>
        <w:outlineLvl w:val="1"/>
        <w:rPr>
          <w:rFonts w:ascii="宋体" w:hAnsi="宋体" w:eastAsia="宋体" w:cs="宋体"/>
          <w:b/>
          <w:bCs/>
          <w:sz w:val="24"/>
          <w:szCs w:val="24"/>
        </w:rPr>
      </w:pPr>
      <w:bookmarkStart w:id="86" w:name="_Toc988975"/>
      <w:r>
        <w:rPr>
          <w:rFonts w:ascii="宋体" w:hAnsi="宋体" w:eastAsia="宋体" w:cs="宋体"/>
          <w:b/>
          <w:bCs/>
          <w:sz w:val="24"/>
          <w:szCs w:val="24"/>
        </w:rPr>
        <w:t>五、控股股东或实际控制人变更情况</w:t>
      </w:r>
      <w:bookmarkEnd w:id="86"/>
    </w:p>
    <w:p>
      <w:pPr>
        <w:spacing w:before="40" w:after="40" w:line="240" w:lineRule="exact"/>
        <w:jc w:val="left"/>
        <w:rPr>
          <w:rFonts w:ascii="宋体" w:hAnsi="宋体" w:eastAsia="宋体" w:cs="宋体"/>
          <w:sz w:val="18"/>
          <w:szCs w:val="18"/>
        </w:rPr>
      </w:pPr>
      <w:r>
        <w:rPr>
          <w:rFonts w:ascii="宋体" w:hAnsi="宋体" w:eastAsia="宋体" w:cs="宋体"/>
          <w:sz w:val="18"/>
          <w:szCs w:val="18"/>
        </w:rPr>
        <w:t>控股股东报告期内变更</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公司报告期控股股东未发生变更。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实际控制人报告期内变更</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公司报告期实际控制人未发生变更。</w:t>
      </w:r>
    </w:p>
    <w:p>
      <w:r>
        <w:br w:type="page"/>
      </w:r>
    </w:p>
    <w:p>
      <w:pPr>
        <w:keepNext/>
        <w:keepLines/>
        <w:spacing w:before="340" w:after="330" w:line="773" w:lineRule="exact"/>
        <w:jc w:val="center"/>
        <w:outlineLvl w:val="0"/>
        <w:rPr>
          <w:rFonts w:ascii="宋体" w:hAnsi="宋体" w:eastAsia="宋体" w:cs="宋体"/>
          <w:b/>
          <w:bCs/>
          <w:sz w:val="32"/>
          <w:szCs w:val="32"/>
        </w:rPr>
      </w:pPr>
      <w:bookmarkStart w:id="87" w:name="_Toc988976"/>
      <w:r>
        <w:rPr>
          <w:rFonts w:ascii="宋体" w:hAnsi="宋体" w:eastAsia="宋体" w:cs="宋体"/>
          <w:b/>
          <w:bCs/>
          <w:sz w:val="32"/>
          <w:szCs w:val="32"/>
        </w:rPr>
        <w:t>第八节 优先股相关情况</w:t>
      </w:r>
      <w:bookmarkEnd w:id="87"/>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0" w:after="0" w:line="240" w:lineRule="exact"/>
        <w:jc w:val="left"/>
        <w:rPr>
          <w:rFonts w:ascii="宋体" w:hAnsi="宋体" w:eastAsia="宋体" w:cs="宋体"/>
          <w:sz w:val="18"/>
          <w:szCs w:val="18"/>
        </w:rPr>
      </w:pPr>
      <w:r>
        <w:rPr>
          <w:rFonts w:ascii="宋体" w:hAnsi="宋体" w:eastAsia="宋体" w:cs="宋体"/>
          <w:sz w:val="18"/>
          <w:szCs w:val="18"/>
        </w:rPr>
        <w:t>报告期公司不存在优先股。</w:t>
      </w:r>
    </w:p>
    <w:p>
      <w:r>
        <w:br w:type="page"/>
      </w:r>
    </w:p>
    <w:p>
      <w:pPr>
        <w:keepNext/>
        <w:keepLines/>
        <w:spacing w:before="340" w:after="330" w:line="773" w:lineRule="exact"/>
        <w:jc w:val="center"/>
        <w:outlineLvl w:val="0"/>
        <w:rPr>
          <w:rFonts w:ascii="宋体" w:hAnsi="宋体" w:eastAsia="宋体" w:cs="宋体"/>
          <w:b/>
          <w:bCs/>
          <w:sz w:val="32"/>
          <w:szCs w:val="32"/>
        </w:rPr>
      </w:pPr>
      <w:bookmarkStart w:id="88" w:name="_Toc988977"/>
      <w:r>
        <w:rPr>
          <w:rFonts w:ascii="宋体" w:hAnsi="宋体" w:eastAsia="宋体" w:cs="宋体"/>
          <w:b/>
          <w:bCs/>
          <w:sz w:val="32"/>
          <w:szCs w:val="32"/>
        </w:rPr>
        <w:t>第九节 债券相关情况</w:t>
      </w:r>
      <w:bookmarkEnd w:id="88"/>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r>
        <w:br w:type="page"/>
      </w:r>
    </w:p>
    <w:p>
      <w:pPr>
        <w:keepNext/>
        <w:keepLines/>
        <w:spacing w:before="340" w:after="330" w:line="773" w:lineRule="exact"/>
        <w:jc w:val="center"/>
        <w:outlineLvl w:val="0"/>
        <w:rPr>
          <w:rFonts w:ascii="宋体" w:hAnsi="宋体" w:eastAsia="宋体" w:cs="宋体"/>
          <w:b/>
          <w:bCs/>
          <w:sz w:val="32"/>
          <w:szCs w:val="32"/>
        </w:rPr>
      </w:pPr>
      <w:bookmarkStart w:id="89" w:name="_Toc988978"/>
      <w:r>
        <w:rPr>
          <w:rFonts w:ascii="宋体" w:hAnsi="宋体" w:eastAsia="宋体" w:cs="宋体"/>
          <w:b/>
          <w:bCs/>
          <w:sz w:val="32"/>
          <w:szCs w:val="32"/>
        </w:rPr>
        <w:t>第十节 财务报告</w:t>
      </w:r>
      <w:bookmarkEnd w:id="89"/>
    </w:p>
    <w:p>
      <w:pPr>
        <w:keepNext/>
        <w:keepLines/>
        <w:spacing w:before="300" w:after="300" w:line="320" w:lineRule="exact"/>
        <w:jc w:val="left"/>
        <w:outlineLvl w:val="1"/>
        <w:rPr>
          <w:rFonts w:ascii="宋体" w:hAnsi="宋体" w:eastAsia="宋体" w:cs="宋体"/>
          <w:b/>
          <w:bCs/>
          <w:sz w:val="24"/>
          <w:szCs w:val="24"/>
        </w:rPr>
      </w:pPr>
      <w:bookmarkStart w:id="90" w:name="_Toc988979"/>
      <w:r>
        <w:rPr>
          <w:rFonts w:ascii="宋体" w:hAnsi="宋体" w:eastAsia="宋体" w:cs="宋体"/>
          <w:b/>
          <w:bCs/>
          <w:sz w:val="24"/>
          <w:szCs w:val="24"/>
        </w:rPr>
        <w:t>一、审计报告</w:t>
      </w:r>
      <w:bookmarkEnd w:id="90"/>
    </w:p>
    <w:p>
      <w:pPr>
        <w:spacing w:before="40" w:after="40" w:line="240" w:lineRule="exact"/>
        <w:jc w:val="left"/>
        <w:rPr>
          <w:rFonts w:ascii="宋体" w:hAnsi="宋体" w:eastAsia="宋体" w:cs="宋体"/>
          <w:sz w:val="18"/>
          <w:szCs w:val="18"/>
        </w:rPr>
      </w:pPr>
      <w:r>
        <w:rPr>
          <w:rFonts w:ascii="宋体" w:hAnsi="宋体" w:eastAsia="宋体" w:cs="宋体"/>
          <w:sz w:val="18"/>
          <w:szCs w:val="18"/>
        </w:rPr>
        <w:t>半年度报告是否经过审计</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公司半年度财务报告未经审计。</w:t>
      </w:r>
    </w:p>
    <w:p>
      <w:pPr>
        <w:keepNext/>
        <w:keepLines/>
        <w:spacing w:before="300" w:after="300" w:line="320" w:lineRule="exact"/>
        <w:jc w:val="left"/>
        <w:outlineLvl w:val="1"/>
        <w:rPr>
          <w:rFonts w:ascii="宋体" w:hAnsi="宋体" w:eastAsia="宋体" w:cs="宋体"/>
          <w:b/>
          <w:bCs/>
          <w:sz w:val="24"/>
          <w:szCs w:val="24"/>
        </w:rPr>
      </w:pPr>
      <w:bookmarkStart w:id="91" w:name="_Toc988980"/>
      <w:r>
        <w:rPr>
          <w:rFonts w:ascii="宋体" w:hAnsi="宋体" w:eastAsia="宋体" w:cs="宋体"/>
          <w:b/>
          <w:bCs/>
          <w:sz w:val="24"/>
          <w:szCs w:val="24"/>
        </w:rPr>
        <w:t>二、财务报表</w:t>
      </w:r>
      <w:bookmarkEnd w:id="91"/>
    </w:p>
    <w:p>
      <w:pPr>
        <w:spacing w:before="40" w:after="40" w:line="240" w:lineRule="exact"/>
        <w:jc w:val="left"/>
        <w:rPr>
          <w:rFonts w:ascii="宋体" w:hAnsi="宋体" w:eastAsia="宋体" w:cs="宋体"/>
          <w:sz w:val="18"/>
          <w:szCs w:val="18"/>
        </w:rPr>
      </w:pPr>
      <w:r>
        <w:rPr>
          <w:rFonts w:ascii="宋体" w:hAnsi="宋体" w:eastAsia="宋体" w:cs="宋体"/>
          <w:sz w:val="18"/>
          <w:szCs w:val="18"/>
        </w:rPr>
        <w:t>财务附注中报表的单位为：元</w:t>
      </w:r>
    </w:p>
    <w:p>
      <w:pPr>
        <w:keepNext/>
        <w:keepLines/>
        <w:spacing w:before="300" w:after="300" w:line="280" w:lineRule="exact"/>
        <w:jc w:val="left"/>
        <w:outlineLvl w:val="2"/>
        <w:rPr>
          <w:rFonts w:ascii="宋体" w:hAnsi="宋体" w:eastAsia="宋体" w:cs="宋体"/>
          <w:b/>
          <w:bCs/>
          <w:sz w:val="21"/>
          <w:szCs w:val="21"/>
        </w:rPr>
      </w:pPr>
      <w:bookmarkStart w:id="92" w:name="_Toc988981"/>
      <w:r>
        <w:rPr>
          <w:rFonts w:ascii="宋体" w:hAnsi="宋体" w:eastAsia="宋体" w:cs="宋体"/>
          <w:b/>
          <w:bCs/>
          <w:sz w:val="21"/>
          <w:szCs w:val="21"/>
        </w:rPr>
        <w:t>1、合并资产负债表</w:t>
      </w:r>
      <w:bookmarkEnd w:id="92"/>
    </w:p>
    <w:p>
      <w:pPr>
        <w:spacing w:before="0" w:after="0" w:line="240" w:lineRule="exact"/>
        <w:jc w:val="left"/>
        <w:rPr>
          <w:rFonts w:ascii="宋体" w:hAnsi="宋体" w:eastAsia="宋体" w:cs="宋体"/>
          <w:sz w:val="18"/>
          <w:szCs w:val="18"/>
        </w:rPr>
      </w:pPr>
      <w:r>
        <w:rPr>
          <w:rFonts w:ascii="宋体" w:hAnsi="宋体" w:eastAsia="宋体" w:cs="宋体"/>
          <w:sz w:val="18"/>
          <w:szCs w:val="18"/>
        </w:rPr>
        <w:t>编制单位：湖南博云新材料股份有限公司</w:t>
      </w:r>
    </w:p>
    <w:p>
      <w:pPr>
        <w:spacing w:before="0" w:after="0" w:line="240" w:lineRule="exact"/>
        <w:jc w:val="center"/>
        <w:rPr>
          <w:rFonts w:ascii="宋体" w:hAnsi="宋体" w:eastAsia="宋体" w:cs="宋体"/>
          <w:sz w:val="18"/>
          <w:szCs w:val="18"/>
        </w:rPr>
      </w:pP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2022年6月30日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606,149,885.27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550,165,529.46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215,983,345.52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127,330,858.37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159,147,937.24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227,081,105.72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113,650,979.47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28,813,984.37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22,075,670.99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13,460,070.82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5,587,479.33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2,633,752.02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1,474,698.95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431,492,919.65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400,809,609.43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379,206.31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920,332.82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7,193,000.74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19,111,532.85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1,444,534,783.27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1,488,927,116.06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43,979,096.79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27,717,711.80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77,311,904.94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47,534,875.94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591,301,748.47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609,827,964.40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185,484,751.68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115,912,178.21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242,115,926.30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251,440,847.91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49,718,481.65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34,556,647.14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3,390,093.86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4,041,340.98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27,618,914.09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26,984,917.13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5,040,669.46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6,848,170.27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1,225,961,587.24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1,124,864,653.78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2,670,496,370.51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2,613,791,769.84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70,641,598.31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77,606,432.06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139,924,661.50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113,179,928.89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533,651.81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592,600.01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9,420,042.54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9,924,497.97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14,695,633.16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31,501,048.85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10,819,434.90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4,127,348.83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37,286,086.33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37,905,173.59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41,601,700.00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41,841,863.89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87,949,573.88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62,501,875.73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412,872,382.43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379,180,769.82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77,065,450.00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78,058,933.33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80,321,470.44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73,288,329.86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5,334,205.49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5,576,762.03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162,721,125.93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156,924,025.22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575,593,508.36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536,104,795.04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929,844.02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929,844.02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-200,355,572.81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-217,240,496.67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2,071,981,739.24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2,055,096,815.38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22,921,122.91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22,590,159.42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2,094,902,862.15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2,077,686,974.80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2,670,496,370.51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2,613,791,769.84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法定代表人：贺柳    主管会计工作负责人：严琦      会计机构负责人：许斌</w:t>
      </w:r>
    </w:p>
    <w:p>
      <w:pPr>
        <w:keepNext/>
        <w:keepLines/>
        <w:spacing w:before="300" w:after="300" w:line="320" w:lineRule="exact"/>
        <w:jc w:val="left"/>
        <w:outlineLvl w:val="2"/>
        <w:rPr>
          <w:rFonts w:ascii="宋体" w:hAnsi="宋体" w:eastAsia="宋体" w:cs="宋体"/>
          <w:b/>
          <w:bCs/>
          <w:sz w:val="24"/>
          <w:szCs w:val="24"/>
        </w:rPr>
      </w:pPr>
      <w:bookmarkStart w:id="93" w:name="_Toc988982"/>
      <w:r>
        <w:rPr>
          <w:rFonts w:ascii="宋体" w:hAnsi="宋体" w:eastAsia="宋体" w:cs="宋体"/>
          <w:b/>
          <w:bCs/>
          <w:sz w:val="24"/>
          <w:szCs w:val="24"/>
        </w:rPr>
        <w:t>2、母公司资产负债表</w:t>
      </w:r>
      <w:bookmarkEnd w:id="9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2022年6月30日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293,781,925.25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194,701,139.40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158,730,563.33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54,069,613.69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76,306,944.30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168,624,740.50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115,073,522.06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5,181,893.58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2,051,421.07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2,562,658.90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2,403,687.71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1,908,859.82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3,914,904.80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112,968,430.72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108,675,550.13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151,824,972.68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121,201,452.74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790,923,095.14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783,059,185.54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1,248,747,602.78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1,232,486,217.79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17,331,541.14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17,554,512.14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189,221,563.82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193,938,636.53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2,240,032.14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1,726,618.86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22,018,270.71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23,495,151.69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632,531.50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706,714.18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23,885,090.34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23,509,740.74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244,200.00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673,037.13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1,504,320,832.43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1,494,090,629.06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2,295,243,927.57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2,277,149,814.60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284,710.00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50,989,648.71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56,424,640.32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6,586,449.79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6,425,390.71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8,690,773.15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13,350,428.43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4,910,780.26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853,245.13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35,969,006.18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36,053,036.37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2,001,700.00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2,001,511.11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38,430,308.47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23,395,300.79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147,578,666.56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138,788,262.86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77,065,450.00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78,058,933.33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21,507,870.77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23,006,528.01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1,605,809.70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1,605,809.70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100,179,130.47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102,671,271.04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247,757,797.03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241,459,533.90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1,846,745.80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1,846,745.80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-216,335,270.57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-228,131,120.41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2,047,486,130.54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2,035,690,280.70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2,295,243,927.57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2,277,149,814.60</w:t>
            </w:r>
          </w:p>
        </w:tc>
      </w:tr>
    </w:tbl>
    <w:p>
      <w:pPr>
        <w:keepNext/>
        <w:keepLines/>
        <w:spacing w:before="300" w:after="300" w:line="280" w:lineRule="exact"/>
        <w:jc w:val="left"/>
        <w:outlineLvl w:val="2"/>
        <w:rPr>
          <w:rFonts w:ascii="宋体" w:hAnsi="宋体" w:eastAsia="宋体" w:cs="宋体"/>
          <w:b/>
          <w:bCs/>
          <w:sz w:val="21"/>
          <w:szCs w:val="21"/>
        </w:rPr>
      </w:pPr>
      <w:bookmarkStart w:id="94" w:name="_Toc988983"/>
      <w:r>
        <w:rPr>
          <w:rFonts w:ascii="宋体" w:hAnsi="宋体" w:eastAsia="宋体" w:cs="宋体"/>
          <w:b/>
          <w:bCs/>
          <w:sz w:val="21"/>
          <w:szCs w:val="21"/>
        </w:rPr>
        <w:t>3、合并利润表</w:t>
      </w:r>
      <w:bookmarkEnd w:id="9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293,281,005.47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234,800,047.12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293,281,005.47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234,800,047.12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265,152,450.73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221,578,958.33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219,170,185.79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167,135,361.70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4,393,928.47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3,583,434.49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8,000,114.41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9,714,751.97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23,305,407.64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21,085,748.72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14,277,436.96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14,218,217.09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-3,994,622.54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5,841,444.36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1,082,947.81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6,964,010.08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4,722,192.12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2,602,940.51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7,941,964.26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9,082,260.22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-10,319,519.44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-6,376,471.26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-11,856,775.01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-6,774,728.84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-2,804,937.92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-285,512.09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-1,421,708.49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1,186.48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1,134,156.96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21,525,539.63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16,927,522.62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14,720.00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50,141.53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72,262.54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19,943.07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21,467,997.09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16,957,721.08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4,252,109.74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3,347,878.85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17,215,887.35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13,609,842.23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17,215,887.35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13,609,842.23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16,884,923.86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11,719,327.40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2.少数股东损益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330,963.49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1,890,514.83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17,215,887.35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13,609,842.23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16,884,923.86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11,719,327.40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330,963.49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1,890,514.83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0.0249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本期发生同一控制下企业合并的，被合并方在合并前实现的净利润为：元，上期被合并方实现的净利润为：元。</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法定代表人：贺柳    主管会计工作负责人：严琦    会计机构负责人：许斌</w:t>
      </w:r>
    </w:p>
    <w:p>
      <w:pPr>
        <w:keepNext/>
        <w:keepLines/>
        <w:spacing w:before="300" w:after="300" w:line="280" w:lineRule="exact"/>
        <w:jc w:val="left"/>
        <w:outlineLvl w:val="2"/>
        <w:rPr>
          <w:rFonts w:ascii="宋体" w:hAnsi="宋体" w:eastAsia="宋体" w:cs="宋体"/>
          <w:b/>
          <w:bCs/>
          <w:sz w:val="21"/>
          <w:szCs w:val="21"/>
        </w:rPr>
      </w:pPr>
      <w:bookmarkStart w:id="95" w:name="_Toc988984"/>
      <w:r>
        <w:rPr>
          <w:rFonts w:ascii="宋体" w:hAnsi="宋体" w:eastAsia="宋体" w:cs="宋体"/>
          <w:b/>
          <w:bCs/>
          <w:sz w:val="21"/>
          <w:szCs w:val="21"/>
        </w:rPr>
        <w:t>4、母公司利润表</w:t>
      </w:r>
      <w:bookmarkEnd w:id="9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86,886,705.74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51,294,709.17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45,135,035.98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26,966,272.23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1,444,326.95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1,053,737.90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1,943,776.48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1,323,390.20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11,615,799.63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8,769,479.22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6,275,001.65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5,186,395.39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-3,351,014.73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-4,075,244.14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1,371,555.57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2,361,747.83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4,737,911.54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6,448,035.71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2,650,857.24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2,920,194.30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-10,522,726.28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-6,774,728.84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-11,856,775.01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-6,774,728.84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ascii="宋体" w:hAnsi="宋体" w:eastAsia="宋体" w:cs="宋体"/>
                <w:sz w:val="18"/>
                <w:szCs w:val="18"/>
              </w:rPr>
            </w:pPr>
            <w:r>
              <w:rPr>
                <w:rFonts w:ascii="宋体" w:hAnsi="宋体" w:eastAsia="宋体" w:cs="宋体"/>
                <w:sz w:val="18"/>
                <w:szCs w:val="18"/>
              </w:rPr>
              <w:t>以摊余成本计量的金融资产终止确认收益（损失以“-”号填列）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-1,052,141.87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4,597,424.68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-1,450,188.83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1,111,156.96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13,449,580.04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13,924,725.47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27,180.00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13,697.40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13,435,882.64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13,949,720.47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1,640,032.80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581,170.13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11,795,849.84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13,368,550.34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11,795,849.84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13,368,550.34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11,795,849.84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13,368,550.34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0.0284</w:t>
            </w:r>
          </w:p>
        </w:tc>
      </w:tr>
    </w:tbl>
    <w:p>
      <w:pPr>
        <w:keepNext/>
        <w:keepLines/>
        <w:spacing w:before="300" w:after="300" w:line="280" w:lineRule="exact"/>
        <w:jc w:val="left"/>
        <w:outlineLvl w:val="2"/>
        <w:rPr>
          <w:rFonts w:ascii="宋体" w:hAnsi="宋体" w:eastAsia="宋体" w:cs="宋体"/>
          <w:b/>
          <w:bCs/>
          <w:sz w:val="21"/>
          <w:szCs w:val="21"/>
        </w:rPr>
      </w:pPr>
      <w:bookmarkStart w:id="96" w:name="_Toc988985"/>
      <w:r>
        <w:rPr>
          <w:rFonts w:ascii="宋体" w:hAnsi="宋体" w:eastAsia="宋体" w:cs="宋体"/>
          <w:b/>
          <w:bCs/>
          <w:sz w:val="21"/>
          <w:szCs w:val="21"/>
        </w:rPr>
        <w:t>5、合并现金流量表</w:t>
      </w:r>
      <w:bookmarkEnd w:id="9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2022年半年度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2021年半年度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218,736,946.19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167,931,886.22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17,634,264.19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8,105,910.73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25,959,238.19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8,881,947.56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262,330,448.57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184,919,744.51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177,806,718.56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81,952,247.19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i w:val="0"/>
                <w:caps w:val="0"/>
                <w:color w:val="333333"/>
                <w:spacing w:val="0"/>
                <w:sz w:val="18"/>
                <w:szCs w:val="18"/>
                <w:shd w:val="clear" w:fill="FFFFFF"/>
              </w:rPr>
              <w:t>77,430,939.67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55,582,639.68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i w:val="0"/>
                <w:caps w:val="0"/>
                <w:color w:val="333333"/>
                <w:spacing w:val="0"/>
                <w:sz w:val="18"/>
                <w:szCs w:val="18"/>
                <w:shd w:val="clear" w:fill="FFFFFF"/>
              </w:rPr>
              <w:t>12,349,343.43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25,497,877.38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19,667,900.76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16,340,974.90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287,254,902.42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179,373,739.15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-24,924,453.85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5,546,005.36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217,743,572.09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115,922,872.94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9,507.56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3,069,321.36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217,753,079.65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120,992,194.30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101,883,120.08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94,916,184.03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58,118,160.00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112,713,850.84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160,001,280.08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207,630,034.87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57,751,799.57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-86,637,840.57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160,200,000.00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2,086,144.51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6,974,915.31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5,303,317.00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3,286,144.51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172,478,232.31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-3,286,144.51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-40,478,232.31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464,448.85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-582,554.00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30,005,650.06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-122,152,621.52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530,492,915.98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368,118,485.78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560,498,566.04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245,965,864.26</w:t>
            </w:r>
          </w:p>
        </w:tc>
      </w:tr>
    </w:tbl>
    <w:p>
      <w:pPr>
        <w:keepNext/>
        <w:keepLines/>
        <w:spacing w:before="300" w:after="300" w:line="280" w:lineRule="exact"/>
        <w:jc w:val="left"/>
        <w:outlineLvl w:val="2"/>
        <w:rPr>
          <w:rFonts w:ascii="宋体" w:hAnsi="宋体" w:eastAsia="宋体" w:cs="宋体"/>
          <w:b/>
          <w:bCs/>
          <w:sz w:val="21"/>
          <w:szCs w:val="21"/>
        </w:rPr>
      </w:pPr>
      <w:bookmarkStart w:id="97" w:name="_Toc988986"/>
      <w:r>
        <w:rPr>
          <w:rFonts w:ascii="宋体" w:hAnsi="宋体" w:eastAsia="宋体" w:cs="宋体"/>
          <w:b/>
          <w:bCs/>
          <w:sz w:val="21"/>
          <w:szCs w:val="21"/>
        </w:rPr>
        <w:t>6、母公司现金流量表</w:t>
      </w:r>
      <w:bookmarkEnd w:id="97"/>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2022年半年度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2021年半年度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58,457,617.34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50,596,355.88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4,703,571.43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2,900,884.46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63,161,188.77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53,497,240.34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19,568,578.42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16,276,079.15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i w:val="0"/>
                <w:caps w:val="0"/>
                <w:color w:val="333333"/>
                <w:spacing w:val="0"/>
                <w:sz w:val="18"/>
                <w:szCs w:val="18"/>
                <w:shd w:val="clear" w:fill="FFFFFF"/>
              </w:rPr>
              <w:t>32,004,154.99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19,134,294.05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i w:val="0"/>
                <w:caps w:val="0"/>
                <w:color w:val="333333"/>
                <w:spacing w:val="0"/>
                <w:sz w:val="18"/>
                <w:szCs w:val="18"/>
                <w:shd w:val="clear" w:fill="FFFFFF"/>
              </w:rPr>
              <w:t>3,900,781.62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2,457,878.33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6,536,429.46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10,091,868.64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62,009,944.49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47,960,120.17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1,151,244.28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5,537,120.17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160,287,583.06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6,939,223.89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1,117,859.49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13,465,791.04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160,287,583.06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21,522,874.42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1,797,311.58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12,751,593.86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28,118,160.00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38,677,789.00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59,915,471.58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51,429,382.86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100,372,111.48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-29,906,508.44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1,364,850.01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2,372,653.06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5,303,317.00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2,364,850.01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87,675,970.06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-2,364,850.01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-5,675,970.06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7,693.10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99,166,198.85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-30,045,358.33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194,615,726.40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160,238,363.40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293,781,925.25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130,193,005.07</w:t>
            </w:r>
          </w:p>
        </w:tc>
      </w:tr>
    </w:tbl>
    <w:p>
      <w:pPr>
        <w:keepNext/>
        <w:keepLines/>
        <w:spacing w:before="300" w:after="300" w:line="280" w:lineRule="exact"/>
        <w:jc w:val="left"/>
        <w:outlineLvl w:val="2"/>
        <w:rPr>
          <w:rFonts w:ascii="宋体" w:hAnsi="宋体" w:eastAsia="宋体" w:cs="宋体"/>
          <w:b/>
          <w:bCs/>
          <w:sz w:val="21"/>
          <w:szCs w:val="21"/>
        </w:rPr>
      </w:pPr>
      <w:bookmarkStart w:id="98" w:name="_Toc988987"/>
      <w:r>
        <w:rPr>
          <w:rFonts w:ascii="宋体" w:hAnsi="宋体" w:eastAsia="宋体" w:cs="宋体"/>
          <w:b/>
          <w:bCs/>
          <w:sz w:val="21"/>
          <w:szCs w:val="21"/>
        </w:rPr>
        <w:t>7、合并所有者权益变动表</w:t>
      </w:r>
      <w:bookmarkEnd w:id="98"/>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563"/>
        <w:gridCol w:w="563"/>
        <w:gridCol w:w="563"/>
        <w:gridCol w:w="563"/>
        <w:gridCol w:w="563"/>
        <w:gridCol w:w="563"/>
        <w:gridCol w:w="563"/>
        <w:gridCol w:w="563"/>
        <w:gridCol w:w="563"/>
        <w:gridCol w:w="563"/>
        <w:gridCol w:w="563"/>
        <w:gridCol w:w="563"/>
        <w:gridCol w:w="563"/>
        <w:gridCol w:w="563"/>
        <w:gridCol w:w="5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314"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ascii="宋体" w:hAnsi="宋体" w:eastAsia="宋体" w:cs="宋体"/>
                <w:sz w:val="18"/>
                <w:szCs w:val="18"/>
              </w:rPr>
            </w:pPr>
            <w:r>
              <w:rPr>
                <w:rFonts w:ascii="宋体" w:hAnsi="宋体" w:eastAsia="宋体" w:cs="宋体"/>
                <w:sz w:val="18"/>
                <w:szCs w:val="18"/>
              </w:rPr>
              <w:t>少数股东权益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168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一般风险准备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929,844.02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-217,240,496.67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2,055,096,815.38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22,590,159.42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2,077,686,974.80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同一控制下企业合并</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929,844.02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-217,240,496.67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2,055,096,815.38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22,590,159.42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2,077,686,974.80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16,884,923.86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16,884,923.86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330,963.49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17,215,887.35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16,884,923.86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16,884,923.86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330,963.49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17,215,887.35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2．提取一般风险准备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3．对所有者（或股东）的分配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929,844.02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-200,355,572.81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2,071,981,739.24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22,921,122.91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2,094,902,862.15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上年金额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563"/>
        <w:gridCol w:w="563"/>
        <w:gridCol w:w="563"/>
        <w:gridCol w:w="563"/>
        <w:gridCol w:w="563"/>
        <w:gridCol w:w="563"/>
        <w:gridCol w:w="563"/>
        <w:gridCol w:w="563"/>
        <w:gridCol w:w="563"/>
        <w:gridCol w:w="563"/>
        <w:gridCol w:w="563"/>
        <w:gridCol w:w="563"/>
        <w:gridCol w:w="563"/>
        <w:gridCol w:w="563"/>
        <w:gridCol w:w="5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314"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少数股东权益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168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专项储备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一般风险准备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vAlign w:val="center"/>
          </w:tcPr>
          <w:p/>
        </w:tc>
        <w:tc>
          <w:tcPr>
            <w:tcW w:w="563" w:type="dxa"/>
            <w:vMerge w:val="continue"/>
            <w:tcBorders>
              <w:top w:val="single" w:color="auto" w:sz="2" w:space="0"/>
              <w:left w:val="single" w:color="auto" w:sz="2" w:space="0"/>
              <w:bottom w:val="single" w:color="auto" w:sz="2" w:space="0"/>
              <w:right w:val="single" w:color="auto" w:sz="2" w:space="0"/>
            </w:tcBorders>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471,315,045.00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1,146,604,953.45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-12,704,281.81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-236,143,143.26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1,389,013,529.34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26,849,977.45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1,415,863,506.79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同一控制下企业合并</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471,315,045.00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1,146,604,953.45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-12,704,281.81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-236,143,143.26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1,389,013,529.34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26,849,977.45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1,415,863,506.79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11,719,327.40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11,719,327.40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1,890,514.83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13,609,842.23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11,719,327.40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11,719,327.40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1,890,514.83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13,609,842.23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2．提取一般风险准备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3．对所有者（或股东）的分配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471,315,045.00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1,146,604,953.45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-12,704,281.81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-224,423,815.86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1,400,732,856.74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28,740,492.28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1,429,473,349.02</w:t>
            </w:r>
          </w:p>
        </w:tc>
      </w:tr>
    </w:tbl>
    <w:p>
      <w:pPr>
        <w:keepNext/>
        <w:keepLines/>
        <w:spacing w:before="300" w:after="300" w:line="280" w:lineRule="exact"/>
        <w:jc w:val="left"/>
        <w:outlineLvl w:val="2"/>
        <w:rPr>
          <w:rFonts w:ascii="宋体" w:hAnsi="宋体" w:eastAsia="宋体" w:cs="宋体"/>
          <w:b/>
          <w:bCs/>
          <w:sz w:val="21"/>
          <w:szCs w:val="21"/>
        </w:rPr>
      </w:pPr>
      <w:bookmarkStart w:id="99" w:name="_Toc988988"/>
      <w:r>
        <w:rPr>
          <w:rFonts w:ascii="宋体" w:hAnsi="宋体" w:eastAsia="宋体" w:cs="宋体"/>
          <w:b/>
          <w:bCs/>
          <w:sz w:val="21"/>
          <w:szCs w:val="21"/>
        </w:rPr>
        <w:t>8、母公司所有者权益变动表</w:t>
      </w:r>
      <w:bookmarkEnd w:id="99"/>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703"/>
        <w:gridCol w:w="703"/>
        <w:gridCol w:w="703"/>
        <w:gridCol w:w="703"/>
        <w:gridCol w:w="703"/>
        <w:gridCol w:w="703"/>
        <w:gridCol w:w="703"/>
        <w:gridCol w:w="703"/>
        <w:gridCol w:w="703"/>
        <w:gridCol w:w="703"/>
        <w:gridCol w:w="703"/>
        <w:gridCol w:w="7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21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1,846,745.80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-228,131,120.41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2,035,690,280.70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1,846,745.80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-228,131,120.41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2,035,690,280.70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11,795,849.84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11,795,849.84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11,795,849.84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11,795,849.84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2．对所有者（或股东）的分配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1,846,745.80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-216,335,270.57</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2,047,486,130.54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上年金额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703"/>
        <w:gridCol w:w="703"/>
        <w:gridCol w:w="703"/>
        <w:gridCol w:w="703"/>
        <w:gridCol w:w="703"/>
        <w:gridCol w:w="703"/>
        <w:gridCol w:w="703"/>
        <w:gridCol w:w="703"/>
        <w:gridCol w:w="703"/>
        <w:gridCol w:w="703"/>
        <w:gridCol w:w="703"/>
        <w:gridCol w:w="7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21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471,315,045.00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1,144,558,847.97</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-1,616,614.64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-246,649,297.85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1,387,548,936.44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471,315,045.00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1,144,558,847.97</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-1,616,614.64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-246,649,297.85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1,387,548,936.44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13,368,550.34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13,368,550.34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13,368,550.34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13,368,550.34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2．对所有者（或股东）的分配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471,315,045.00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1,144,558,847.97</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-1,616,614.64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-233,280,747.51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1,400,917,486.78</w:t>
            </w:r>
          </w:p>
        </w:tc>
      </w:tr>
    </w:tbl>
    <w:p>
      <w:pPr>
        <w:keepNext/>
        <w:keepLines/>
        <w:spacing w:before="300" w:after="300" w:line="320" w:lineRule="exact"/>
        <w:jc w:val="left"/>
        <w:outlineLvl w:val="1"/>
        <w:rPr>
          <w:rFonts w:ascii="宋体" w:hAnsi="宋体" w:eastAsia="宋体" w:cs="宋体"/>
          <w:b/>
          <w:bCs/>
          <w:sz w:val="24"/>
          <w:szCs w:val="24"/>
        </w:rPr>
      </w:pPr>
      <w:bookmarkStart w:id="100" w:name="_Toc988989"/>
      <w:r>
        <w:rPr>
          <w:rFonts w:ascii="宋体" w:hAnsi="宋体" w:eastAsia="宋体" w:cs="宋体"/>
          <w:b/>
          <w:bCs/>
          <w:sz w:val="24"/>
          <w:szCs w:val="24"/>
        </w:rPr>
        <w:t>三、公司基本情况</w:t>
      </w:r>
      <w:bookmarkEnd w:id="100"/>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eastAsia" w:ascii="宋体" w:hAnsi="宋体" w:eastAsia="宋体" w:cs="宋体"/>
          <w:sz w:val="21"/>
          <w:szCs w:val="21"/>
        </w:rPr>
        <w:t>（一）公司注册地、组织形式和总部地址</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eastAsia" w:ascii="宋体" w:hAnsi="宋体" w:eastAsia="宋体" w:cs="宋体"/>
          <w:sz w:val="21"/>
          <w:szCs w:val="21"/>
        </w:rPr>
        <w:t>湖南博云新材料股份有限公司（以下简称“本公司”或“公司”） 住所及注册地址：长沙市岳麓区高新技术产业开发区麓松路500号；统一社会信用代码：91430000183898967C；公司组织形式：其他股份有限公司(上市)；现任法定代表人：贺柳。</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eastAsia" w:ascii="宋体" w:hAnsi="宋体" w:eastAsia="宋体" w:cs="宋体"/>
          <w:sz w:val="21"/>
          <w:szCs w:val="21"/>
        </w:rPr>
        <w:t>（二）公司的业务性质和主要经营活动</w:t>
      </w:r>
    </w:p>
    <w:p>
      <w:pPr>
        <w:pStyle w:val="3"/>
        <w:keepNext w:val="0"/>
        <w:keepLines w:val="0"/>
        <w:widowControl/>
        <w:suppressLineNumbers w:val="0"/>
        <w:spacing w:before="0" w:beforeAutospacing="0" w:after="156" w:afterAutospacing="0"/>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公司经营范围：民用航空器零部件设计和生产；民用航空器维修；火箭发动机研发与制造；检验检测服务。（依法须经批准的项目，经相关部门批准后方可开展经营活动，具体经营项目以相关部门批准文件或许可证件为准）一般项目：高性能纤维及复合材料制造；高性能纤维及复合材料销售；锻件及粉末冶金制品制造；锻件及粉末冶金制品销售；民用航空材料销售；货物进出口；技术进出口；新材料技术研发；新材料技术推广服务；技术服务、技术开发、技术咨询、技术交流、技术转让、技术推广；非居住房地产租赁；住房租赁。（除依法须经批准的项目外，凭营业执照依法自主开展经营活动）</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eastAsia" w:ascii="宋体" w:hAnsi="宋体" w:eastAsia="宋体" w:cs="宋体"/>
          <w:sz w:val="21"/>
          <w:szCs w:val="21"/>
        </w:rPr>
        <w:t>（三）母公司及实际控制人</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eastAsia" w:ascii="宋体" w:hAnsi="宋体" w:eastAsia="宋体" w:cs="宋体"/>
          <w:sz w:val="21"/>
          <w:szCs w:val="21"/>
        </w:rPr>
        <w:t>公司的母公司为中南大学粉末冶金工程研究中心有限公司，实际控制人为湖南省人民政府国有资产监督管理委员会。</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eastAsia" w:ascii="宋体" w:hAnsi="宋体" w:eastAsia="宋体" w:cs="宋体"/>
          <w:sz w:val="21"/>
          <w:szCs w:val="21"/>
        </w:rPr>
        <w:t>（四）财务报表报出</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eastAsia" w:ascii="宋体" w:hAnsi="宋体" w:eastAsia="宋体" w:cs="宋体"/>
          <w:sz w:val="21"/>
          <w:szCs w:val="21"/>
        </w:rPr>
        <w:t>公司财务报表经公司董事会批准后报出。</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eastAsia" w:ascii="宋体" w:hAnsi="宋体" w:eastAsia="宋体" w:cs="宋体"/>
          <w:sz w:val="21"/>
          <w:szCs w:val="21"/>
        </w:rPr>
        <w:t>财务报表批准报出日：2022年8月19日。</w:t>
      </w:r>
    </w:p>
    <w:p>
      <w:pPr>
        <w:pStyle w:val="3"/>
        <w:keepNext w:val="0"/>
        <w:keepLines w:val="0"/>
        <w:widowControl/>
        <w:suppressLineNumbers w:val="0"/>
        <w:spacing w:before="0" w:beforeAutospacing="0" w:after="120" w:afterAutospacing="0"/>
        <w:ind w:left="0" w:firstLine="420"/>
        <w:jc w:val="both"/>
        <w:rPr>
          <w:rFonts w:hint="eastAsia" w:ascii="宋体" w:hAnsi="宋体" w:eastAsia="宋体" w:cs="宋体"/>
          <w:sz w:val="18"/>
          <w:szCs w:val="18"/>
        </w:rPr>
      </w:pPr>
      <w:r>
        <w:rPr>
          <w:rFonts w:hint="eastAsia" w:ascii="宋体" w:hAnsi="宋体" w:eastAsia="宋体" w:cs="宋体"/>
          <w:sz w:val="21"/>
          <w:szCs w:val="21"/>
        </w:rPr>
        <w:t> </w:t>
      </w:r>
    </w:p>
    <w:p>
      <w:pPr>
        <w:pStyle w:val="3"/>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eastAsia" w:ascii="宋体" w:hAnsi="宋体" w:eastAsia="宋体" w:cs="宋体"/>
          <w:sz w:val="18"/>
          <w:szCs w:val="18"/>
        </w:rPr>
        <w:t> </w:t>
      </w:r>
    </w:p>
    <w:p>
      <w:pPr>
        <w:pStyle w:val="3"/>
        <w:keepNext w:val="0"/>
        <w:keepLines w:val="0"/>
        <w:widowControl/>
        <w:suppressLineNumbers w:val="0"/>
        <w:spacing w:before="0" w:beforeAutospacing="0" w:after="0" w:afterAutospacing="0"/>
        <w:ind w:left="0" w:firstLine="420"/>
        <w:jc w:val="left"/>
        <w:rPr>
          <w:rFonts w:hint="eastAsia" w:ascii="宋体" w:hAnsi="宋体" w:eastAsia="宋体" w:cs="宋体"/>
          <w:sz w:val="18"/>
          <w:szCs w:val="18"/>
        </w:rPr>
      </w:pPr>
      <w:r>
        <w:rPr>
          <w:rFonts w:hint="eastAsia" w:ascii="宋体" w:hAnsi="宋体" w:eastAsia="宋体" w:cs="宋体"/>
          <w:sz w:val="18"/>
          <w:szCs w:val="18"/>
        </w:rPr>
        <w:t> </w:t>
      </w:r>
    </w:p>
    <w:p>
      <w:pPr>
        <w:pStyle w:val="3"/>
        <w:keepNext w:val="0"/>
        <w:keepLines w:val="0"/>
        <w:widowControl/>
        <w:suppressLineNumbers w:val="0"/>
      </w:pPr>
      <w:r>
        <w:rPr>
          <w:rFonts w:hint="eastAsia" w:ascii="宋体" w:hAnsi="宋体" w:eastAsia="宋体" w:cs="宋体"/>
          <w:sz w:val="21"/>
          <w:szCs w:val="21"/>
        </w:rPr>
        <w:t>公司合并财务报表的合并范围以控制为基础确定，包括本公司及全部子公司的财务报表。子公司，是指被本公司控制的企业或主体。公司将湖南博云东方粉末冶金有限公司、长沙鑫航机轮刹车有限公司和长沙伟徽高科技新材料有限公司纳入合并财务报表范围。合并财务报表范围发生变化的详细情况见本财务报表附注</w:t>
      </w:r>
      <w:r>
        <w:rPr>
          <w:rFonts w:hint="default" w:ascii="Times New Roman" w:hAnsi="Times New Roman" w:eastAsia="宋体" w:cs="Times New Roman"/>
          <w:sz w:val="21"/>
          <w:szCs w:val="21"/>
        </w:rPr>
        <w:t> “</w:t>
      </w:r>
      <w:r>
        <w:rPr>
          <w:rFonts w:hint="eastAsia" w:ascii="宋体" w:hAnsi="宋体" w:eastAsia="宋体" w:cs="宋体"/>
          <w:sz w:val="21"/>
          <w:szCs w:val="21"/>
        </w:rPr>
        <w:t>八、合并范围的变动</w:t>
      </w:r>
      <w:r>
        <w:rPr>
          <w:rFonts w:hint="default" w:ascii="Times New Roman" w:hAnsi="Times New Roman" w:eastAsia="宋体" w:cs="Times New Roman"/>
          <w:sz w:val="21"/>
          <w:szCs w:val="21"/>
        </w:rPr>
        <w:t>”</w:t>
      </w:r>
      <w:r>
        <w:rPr>
          <w:rFonts w:hint="eastAsia" w:ascii="宋体" w:hAnsi="宋体" w:eastAsia="宋体" w:cs="宋体"/>
          <w:sz w:val="21"/>
          <w:szCs w:val="21"/>
        </w:rPr>
        <w:t>和</w:t>
      </w:r>
      <w:r>
        <w:rPr>
          <w:rFonts w:hint="default" w:ascii="Times New Roman" w:hAnsi="Times New Roman" w:eastAsia="宋体" w:cs="Times New Roman"/>
          <w:sz w:val="21"/>
          <w:szCs w:val="21"/>
        </w:rPr>
        <w:t> “</w:t>
      </w:r>
      <w:r>
        <w:rPr>
          <w:rFonts w:hint="eastAsia" w:ascii="宋体" w:hAnsi="宋体" w:eastAsia="宋体" w:cs="宋体"/>
          <w:sz w:val="21"/>
          <w:szCs w:val="21"/>
        </w:rPr>
        <w:t>九、在其他主体中的权益</w:t>
      </w:r>
      <w:r>
        <w:rPr>
          <w:rFonts w:hint="default" w:ascii="Times New Roman" w:hAnsi="Times New Roman" w:eastAsia="宋体" w:cs="Times New Roman"/>
          <w:sz w:val="21"/>
          <w:szCs w:val="21"/>
        </w:rPr>
        <w:t>”</w:t>
      </w:r>
      <w:r>
        <w:rPr>
          <w:rFonts w:hint="eastAsia" w:ascii="宋体" w:hAnsi="宋体" w:eastAsia="宋体" w:cs="宋体"/>
          <w:sz w:val="21"/>
          <w:szCs w:val="21"/>
        </w:rPr>
        <w:t>。</w:t>
      </w:r>
    </w:p>
    <w:p>
      <w:pPr>
        <w:keepNext/>
        <w:keepLines/>
        <w:spacing w:before="300" w:after="300" w:line="320" w:lineRule="exact"/>
        <w:jc w:val="left"/>
        <w:outlineLvl w:val="1"/>
        <w:rPr>
          <w:rFonts w:ascii="宋体" w:hAnsi="宋体" w:eastAsia="宋体" w:cs="宋体"/>
          <w:b/>
          <w:bCs/>
          <w:sz w:val="24"/>
          <w:szCs w:val="24"/>
        </w:rPr>
      </w:pPr>
      <w:bookmarkStart w:id="101" w:name="_Toc988990"/>
      <w:r>
        <w:rPr>
          <w:rFonts w:ascii="宋体" w:hAnsi="宋体" w:eastAsia="宋体" w:cs="宋体"/>
          <w:b/>
          <w:bCs/>
          <w:sz w:val="24"/>
          <w:szCs w:val="24"/>
        </w:rPr>
        <w:t>四、财务报表的编制基础</w:t>
      </w:r>
      <w:bookmarkEnd w:id="101"/>
    </w:p>
    <w:p>
      <w:pPr>
        <w:keepNext/>
        <w:keepLines/>
        <w:spacing w:before="300" w:after="300" w:line="280" w:lineRule="exact"/>
        <w:jc w:val="left"/>
        <w:outlineLvl w:val="2"/>
        <w:rPr>
          <w:rFonts w:ascii="宋体" w:hAnsi="宋体" w:eastAsia="宋体" w:cs="宋体"/>
          <w:b/>
          <w:bCs/>
          <w:sz w:val="21"/>
          <w:szCs w:val="21"/>
        </w:rPr>
      </w:pPr>
      <w:bookmarkStart w:id="102" w:name="_Toc988991"/>
      <w:r>
        <w:rPr>
          <w:rFonts w:ascii="宋体" w:hAnsi="宋体" w:eastAsia="宋体" w:cs="宋体"/>
          <w:b/>
          <w:bCs/>
          <w:sz w:val="21"/>
          <w:szCs w:val="21"/>
        </w:rPr>
        <w:t>1、编制基础</w:t>
      </w:r>
      <w:bookmarkEnd w:id="102"/>
    </w:p>
    <w:p>
      <w:pPr>
        <w:pStyle w:val="3"/>
        <w:keepNext w:val="0"/>
        <w:keepLines w:val="0"/>
        <w:widowControl/>
        <w:suppressLineNumbers w:val="0"/>
        <w:spacing w:before="0" w:beforeAutospacing="0" w:after="120" w:afterAutospacing="0"/>
        <w:ind w:left="0" w:firstLine="420"/>
        <w:jc w:val="both"/>
        <w:rPr>
          <w:rFonts w:hint="eastAsia" w:ascii="宋体" w:hAnsi="宋体" w:eastAsia="宋体" w:cs="宋体"/>
          <w:sz w:val="18"/>
          <w:szCs w:val="18"/>
        </w:rPr>
      </w:pPr>
      <w:r>
        <w:rPr>
          <w:rFonts w:hint="eastAsia" w:ascii="宋体" w:hAnsi="宋体" w:eastAsia="宋体" w:cs="宋体"/>
          <w:sz w:val="21"/>
          <w:szCs w:val="21"/>
        </w:rPr>
        <w:t>本财务报表以公司持续经营假设为基础，根据实际发生的交易事项，按照财政部已颁布的最新企业会计准则及其应用指南、解释以及其他相关规定</w:t>
      </w:r>
      <w:r>
        <w:rPr>
          <w:rFonts w:hint="default" w:ascii="Times New Roman" w:hAnsi="Times New Roman" w:eastAsia="宋体" w:cs="Times New Roman"/>
          <w:sz w:val="21"/>
          <w:szCs w:val="21"/>
        </w:rPr>
        <w:t>(</w:t>
      </w:r>
      <w:r>
        <w:rPr>
          <w:rFonts w:hint="eastAsia" w:ascii="宋体" w:hAnsi="宋体" w:eastAsia="宋体" w:cs="宋体"/>
          <w:sz w:val="21"/>
          <w:szCs w:val="21"/>
        </w:rPr>
        <w:t>统称</w:t>
      </w:r>
      <w:r>
        <w:rPr>
          <w:rFonts w:hint="default" w:ascii="Times New Roman" w:hAnsi="Times New Roman" w:eastAsia="宋体" w:cs="Times New Roman"/>
          <w:sz w:val="21"/>
          <w:szCs w:val="21"/>
        </w:rPr>
        <w:t>“</w:t>
      </w:r>
      <w:r>
        <w:rPr>
          <w:rFonts w:hint="eastAsia" w:ascii="宋体" w:hAnsi="宋体" w:eastAsia="宋体" w:cs="宋体"/>
          <w:sz w:val="21"/>
          <w:szCs w:val="21"/>
        </w:rPr>
        <w:t>企业会计准则</w:t>
      </w:r>
      <w:r>
        <w:rPr>
          <w:rFonts w:hint="default" w:ascii="Times New Roman" w:hAnsi="Times New Roman" w:eastAsia="宋体" w:cs="Times New Roman"/>
          <w:sz w:val="21"/>
          <w:szCs w:val="21"/>
        </w:rPr>
        <w:t>”)</w:t>
      </w:r>
      <w:r>
        <w:rPr>
          <w:rFonts w:hint="eastAsia" w:ascii="宋体" w:hAnsi="宋体" w:eastAsia="宋体" w:cs="宋体"/>
          <w:sz w:val="21"/>
          <w:szCs w:val="21"/>
        </w:rPr>
        <w:t>的有关规定，并基于以下所述重要会计政策、会计估计进行编制。</w:t>
      </w:r>
    </w:p>
    <w:p>
      <w:pPr>
        <w:keepNext/>
        <w:keepLines/>
        <w:spacing w:before="300" w:after="300" w:line="280" w:lineRule="exact"/>
        <w:jc w:val="left"/>
        <w:outlineLvl w:val="2"/>
        <w:rPr>
          <w:rFonts w:ascii="宋体" w:hAnsi="宋体" w:eastAsia="宋体" w:cs="宋体"/>
          <w:b/>
          <w:bCs/>
          <w:sz w:val="21"/>
          <w:szCs w:val="21"/>
        </w:rPr>
      </w:pPr>
      <w:bookmarkStart w:id="103" w:name="_Toc988992"/>
      <w:r>
        <w:rPr>
          <w:rFonts w:ascii="宋体" w:hAnsi="宋体" w:eastAsia="宋体" w:cs="宋体"/>
          <w:b/>
          <w:bCs/>
          <w:sz w:val="21"/>
          <w:szCs w:val="21"/>
        </w:rPr>
        <w:t>2、持续经营</w:t>
      </w:r>
      <w:bookmarkEnd w:id="103"/>
    </w:p>
    <w:p>
      <w:pPr>
        <w:pStyle w:val="3"/>
        <w:keepNext w:val="0"/>
        <w:keepLines w:val="0"/>
        <w:widowControl/>
        <w:suppressLineNumbers w:val="0"/>
        <w:spacing w:before="0" w:beforeAutospacing="0" w:after="120" w:afterAutospacing="0"/>
        <w:ind w:left="0" w:firstLine="420"/>
        <w:jc w:val="both"/>
        <w:rPr>
          <w:rFonts w:hint="eastAsia" w:ascii="宋体" w:hAnsi="宋体" w:eastAsia="宋体" w:cs="宋体"/>
          <w:sz w:val="18"/>
          <w:szCs w:val="18"/>
        </w:rPr>
      </w:pPr>
      <w:r>
        <w:rPr>
          <w:rFonts w:hint="eastAsia" w:ascii="宋体" w:hAnsi="宋体" w:eastAsia="宋体" w:cs="宋体"/>
          <w:sz w:val="21"/>
          <w:szCs w:val="21"/>
        </w:rPr>
        <w:t>本公司自本报告期末起</w:t>
      </w:r>
      <w:r>
        <w:rPr>
          <w:rFonts w:hint="default" w:ascii="Times New Roman" w:hAnsi="Times New Roman" w:eastAsia="宋体" w:cs="Times New Roman"/>
          <w:sz w:val="21"/>
          <w:szCs w:val="21"/>
        </w:rPr>
        <w:t>12</w:t>
      </w:r>
      <w:r>
        <w:rPr>
          <w:rFonts w:hint="eastAsia" w:ascii="宋体" w:hAnsi="宋体" w:eastAsia="宋体" w:cs="宋体"/>
          <w:sz w:val="21"/>
          <w:szCs w:val="21"/>
        </w:rPr>
        <w:t>个月内具备持续经营能力，不存在导致持续经营能力产生重大怀疑的事项。</w:t>
      </w:r>
    </w:p>
    <w:p>
      <w:pPr>
        <w:keepNext/>
        <w:keepLines/>
        <w:spacing w:before="300" w:after="300" w:line="560" w:lineRule="exact"/>
        <w:jc w:val="left"/>
        <w:outlineLvl w:val="1"/>
        <w:rPr>
          <w:rFonts w:ascii="宋体" w:hAnsi="宋体" w:eastAsia="宋体" w:cs="宋体"/>
          <w:b/>
          <w:bCs/>
          <w:sz w:val="24"/>
          <w:szCs w:val="24"/>
        </w:rPr>
      </w:pPr>
      <w:bookmarkStart w:id="104" w:name="_Toc988993"/>
      <w:r>
        <w:rPr>
          <w:rFonts w:ascii="宋体" w:hAnsi="宋体" w:eastAsia="宋体" w:cs="宋体"/>
          <w:b/>
          <w:bCs/>
          <w:sz w:val="24"/>
          <w:szCs w:val="24"/>
        </w:rPr>
        <w:t>五、重要会计政策及会计估计</w:t>
      </w:r>
      <w:bookmarkEnd w:id="104"/>
    </w:p>
    <w:p>
      <w:pPr>
        <w:spacing w:before="100" w:after="100" w:line="240" w:lineRule="exact"/>
        <w:jc w:val="left"/>
        <w:rPr>
          <w:rFonts w:ascii="宋体" w:hAnsi="宋体" w:eastAsia="宋体" w:cs="宋体"/>
          <w:sz w:val="18"/>
          <w:szCs w:val="18"/>
        </w:rPr>
      </w:pPr>
      <w:r>
        <w:rPr>
          <w:rFonts w:ascii="宋体" w:hAnsi="宋体" w:eastAsia="宋体" w:cs="宋体"/>
          <w:sz w:val="18"/>
          <w:szCs w:val="18"/>
        </w:rPr>
        <w:t>具体会计政策和会计估计提示：</w:t>
      </w:r>
    </w:p>
    <w:p>
      <w:pPr>
        <w:pStyle w:val="3"/>
        <w:keepNext w:val="0"/>
        <w:keepLines w:val="0"/>
        <w:widowControl/>
        <w:suppressLineNumbers w:val="0"/>
        <w:spacing w:before="0" w:beforeAutospacing="0" w:after="0" w:afterAutospacing="0"/>
        <w:ind w:left="0" w:firstLine="360"/>
        <w:jc w:val="left"/>
        <w:rPr>
          <w:rFonts w:hint="eastAsia" w:ascii="宋体" w:hAnsi="宋体" w:eastAsia="宋体" w:cs="宋体"/>
          <w:sz w:val="18"/>
          <w:szCs w:val="18"/>
        </w:rPr>
      </w:pPr>
      <w:r>
        <w:rPr>
          <w:rFonts w:hint="eastAsia" w:ascii="宋体" w:hAnsi="宋体" w:eastAsia="宋体" w:cs="宋体"/>
          <w:sz w:val="18"/>
          <w:szCs w:val="18"/>
        </w:rPr>
        <w:t>本公司根据实际生产经营特点制定了应收款项、固定资产、无形资产、收入确认等具体会计政策和会计估计。</w:t>
      </w:r>
    </w:p>
    <w:p>
      <w:pPr>
        <w:pStyle w:val="8"/>
        <w:outlineLvl w:val="2"/>
        <w:rPr>
          <w:rFonts w:hint="default" w:eastAsia="Times New Roman"/>
          <w:sz w:val="21"/>
        </w:rPr>
      </w:pPr>
      <w:bookmarkStart w:id="105" w:name="_Toc989049"/>
      <w:r>
        <w:rPr>
          <w:rFonts w:hint="default"/>
          <w:sz w:val="21"/>
        </w:rPr>
        <w:t>1</w:t>
      </w:r>
      <w:r>
        <w:rPr>
          <w:rFonts w:hint="eastAsia"/>
          <w:sz w:val="21"/>
        </w:rPr>
        <w:t>、遵循企业会计准则的声明</w:t>
      </w:r>
    </w:p>
    <w:p>
      <w:pPr>
        <w:autoSpaceDE w:val="0"/>
        <w:autoSpaceDN w:val="0"/>
        <w:adjustRightInd w:val="0"/>
        <w:spacing w:before="0" w:after="120"/>
        <w:ind w:firstLine="420"/>
        <w:rPr>
          <w:rFonts w:hint="eastAsia" w:ascii="宋体"/>
          <w:sz w:val="21"/>
          <w:lang w:val="zh-CN"/>
        </w:rPr>
      </w:pPr>
      <w:r>
        <w:rPr>
          <w:rFonts w:hint="eastAsia" w:ascii="宋体"/>
          <w:sz w:val="21"/>
          <w:lang w:val="zh-CN"/>
        </w:rPr>
        <w:t>本公司基于上述编制基础编制的财务报表符合企业会计准则的要求，真实完整地反映了合并及公司的财务状况、经营成果和现金流量等有关信息。</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此外，本财务报告编制参照了证监会发布的《公开发行证券的公司信息披露编报规则第</w:t>
      </w:r>
      <w:r>
        <w:rPr>
          <w:rFonts w:hint="default" w:eastAsia="Times New Roman"/>
          <w:sz w:val="21"/>
          <w:lang w:val="zh-CN"/>
        </w:rPr>
        <w:t>15</w:t>
      </w:r>
      <w:r>
        <w:rPr>
          <w:rFonts w:hint="eastAsia" w:ascii="宋体"/>
          <w:sz w:val="21"/>
          <w:lang w:val="zh-CN"/>
        </w:rPr>
        <w:t>号</w:t>
      </w:r>
      <w:r>
        <w:rPr>
          <w:rFonts w:hint="default" w:eastAsia="Times New Roman"/>
          <w:sz w:val="21"/>
          <w:lang w:val="zh-CN"/>
        </w:rPr>
        <w:t>——</w:t>
      </w:r>
      <w:r>
        <w:rPr>
          <w:rFonts w:hint="eastAsia" w:ascii="宋体"/>
          <w:sz w:val="21"/>
          <w:lang w:val="zh-CN"/>
        </w:rPr>
        <w:t>财务报告的一般规定》（</w:t>
      </w:r>
      <w:r>
        <w:rPr>
          <w:rFonts w:hint="default" w:eastAsia="Times New Roman"/>
          <w:sz w:val="21"/>
          <w:lang w:val="zh-CN"/>
        </w:rPr>
        <w:t>2014</w:t>
      </w:r>
      <w:r>
        <w:rPr>
          <w:rFonts w:hint="eastAsia" w:ascii="宋体"/>
          <w:sz w:val="21"/>
          <w:lang w:val="zh-CN"/>
        </w:rPr>
        <w:t>年修订）以及《关于上市公司执行新企业会计准则有关事项的通知》（会计部函〔</w:t>
      </w:r>
      <w:r>
        <w:rPr>
          <w:rFonts w:hint="default" w:eastAsia="Times New Roman"/>
          <w:sz w:val="21"/>
          <w:lang w:val="zh-CN"/>
        </w:rPr>
        <w:t>2018</w:t>
      </w:r>
      <w:r>
        <w:rPr>
          <w:rFonts w:hint="eastAsia" w:ascii="宋体"/>
          <w:sz w:val="21"/>
          <w:lang w:val="zh-CN"/>
        </w:rPr>
        <w:t>〕</w:t>
      </w:r>
      <w:r>
        <w:rPr>
          <w:rFonts w:hint="default" w:eastAsia="Times New Roman"/>
          <w:sz w:val="21"/>
          <w:lang w:val="zh-CN"/>
        </w:rPr>
        <w:t>453</w:t>
      </w:r>
      <w:r>
        <w:rPr>
          <w:rFonts w:hint="eastAsia" w:ascii="宋体"/>
          <w:sz w:val="21"/>
          <w:lang w:val="zh-CN"/>
        </w:rPr>
        <w:t>号）的列报和披露要求。</w:t>
      </w:r>
    </w:p>
    <w:p>
      <w:pPr>
        <w:pStyle w:val="8"/>
        <w:outlineLvl w:val="2"/>
        <w:rPr>
          <w:rFonts w:hint="default" w:eastAsia="Times New Roman"/>
          <w:sz w:val="21"/>
        </w:rPr>
      </w:pPr>
      <w:r>
        <w:rPr>
          <w:rFonts w:hint="default"/>
          <w:sz w:val="21"/>
        </w:rPr>
        <w:t>2</w:t>
      </w:r>
      <w:r>
        <w:rPr>
          <w:rFonts w:hint="eastAsia"/>
          <w:sz w:val="21"/>
        </w:rPr>
        <w:t>、会计期间</w:t>
      </w:r>
    </w:p>
    <w:p>
      <w:pPr>
        <w:autoSpaceDE w:val="0"/>
        <w:autoSpaceDN w:val="0"/>
        <w:adjustRightInd w:val="0"/>
        <w:spacing w:before="0" w:after="0"/>
        <w:jc w:val="left"/>
        <w:rPr>
          <w:rFonts w:hint="eastAsia" w:ascii="宋体"/>
          <w:sz w:val="21"/>
          <w:lang w:val="zh-CN"/>
        </w:rPr>
      </w:pPr>
      <w:r>
        <w:rPr>
          <w:rFonts w:hint="eastAsia" w:ascii="宋体"/>
          <w:sz w:val="21"/>
          <w:lang w:val="zh-CN"/>
        </w:rPr>
        <w:t>本公司的会计年度从公历</w:t>
      </w:r>
      <w:r>
        <w:rPr>
          <w:rFonts w:hint="default"/>
          <w:sz w:val="21"/>
          <w:lang w:val="zh-CN"/>
        </w:rPr>
        <w:t>1</w:t>
      </w:r>
      <w:r>
        <w:rPr>
          <w:rFonts w:hint="eastAsia" w:ascii="宋体"/>
          <w:sz w:val="21"/>
          <w:lang w:val="zh-CN"/>
        </w:rPr>
        <w:t>月</w:t>
      </w:r>
      <w:r>
        <w:rPr>
          <w:rFonts w:hint="default"/>
          <w:sz w:val="21"/>
          <w:lang w:val="zh-CN"/>
        </w:rPr>
        <w:t>1</w:t>
      </w:r>
      <w:r>
        <w:rPr>
          <w:rFonts w:hint="eastAsia" w:ascii="宋体"/>
          <w:sz w:val="21"/>
          <w:lang w:val="zh-CN"/>
        </w:rPr>
        <w:t>日至</w:t>
      </w:r>
      <w:r>
        <w:rPr>
          <w:rFonts w:hint="default"/>
          <w:sz w:val="21"/>
          <w:lang w:val="zh-CN"/>
        </w:rPr>
        <w:t>12</w:t>
      </w:r>
      <w:r>
        <w:rPr>
          <w:rFonts w:hint="eastAsia" w:ascii="宋体"/>
          <w:sz w:val="21"/>
          <w:lang w:val="zh-CN"/>
        </w:rPr>
        <w:t>月</w:t>
      </w:r>
      <w:r>
        <w:rPr>
          <w:rFonts w:hint="default"/>
          <w:sz w:val="21"/>
          <w:lang w:val="zh-CN"/>
        </w:rPr>
        <w:t>31</w:t>
      </w:r>
      <w:r>
        <w:rPr>
          <w:rFonts w:hint="eastAsia" w:ascii="宋体"/>
          <w:sz w:val="21"/>
          <w:lang w:val="zh-CN"/>
        </w:rPr>
        <w:t>日止。</w:t>
      </w:r>
    </w:p>
    <w:p>
      <w:pPr>
        <w:pStyle w:val="8"/>
        <w:outlineLvl w:val="2"/>
        <w:rPr>
          <w:rFonts w:hint="default" w:eastAsia="Times New Roman"/>
          <w:sz w:val="21"/>
        </w:rPr>
      </w:pPr>
      <w:r>
        <w:rPr>
          <w:rFonts w:hint="default"/>
          <w:sz w:val="21"/>
        </w:rPr>
        <w:t>3</w:t>
      </w:r>
      <w:r>
        <w:rPr>
          <w:rFonts w:hint="eastAsia"/>
          <w:sz w:val="21"/>
        </w:rPr>
        <w:t>、营业周期</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正常营业周期，是指企业从购买用于加工的资产起至实现现金或现金等价物的期间。本公司以</w:t>
      </w:r>
      <w:r>
        <w:rPr>
          <w:rFonts w:hint="default" w:eastAsia="Times New Roman"/>
          <w:sz w:val="21"/>
          <w:lang w:val="zh-CN"/>
        </w:rPr>
        <w:t>12</w:t>
      </w:r>
      <w:r>
        <w:rPr>
          <w:rFonts w:hint="eastAsia" w:ascii="宋体"/>
          <w:sz w:val="21"/>
          <w:lang w:val="zh-CN"/>
        </w:rPr>
        <w:t>个月作为正常营业周期，并以其作为资产与负债流动性划分的标准。</w:t>
      </w:r>
    </w:p>
    <w:p>
      <w:pPr>
        <w:autoSpaceDE w:val="0"/>
        <w:autoSpaceDN w:val="0"/>
        <w:adjustRightInd w:val="0"/>
        <w:spacing w:before="0" w:after="0"/>
        <w:jc w:val="left"/>
        <w:rPr>
          <w:rFonts w:hint="eastAsia" w:ascii="宋体"/>
          <w:sz w:val="18"/>
          <w:lang w:val="zh-CN"/>
        </w:rPr>
      </w:pPr>
    </w:p>
    <w:p>
      <w:pPr>
        <w:pStyle w:val="8"/>
        <w:outlineLvl w:val="2"/>
        <w:rPr>
          <w:rFonts w:hint="default" w:eastAsia="Times New Roman"/>
          <w:sz w:val="21"/>
        </w:rPr>
      </w:pPr>
      <w:r>
        <w:rPr>
          <w:rFonts w:hint="default"/>
          <w:sz w:val="21"/>
        </w:rPr>
        <w:t>4</w:t>
      </w:r>
      <w:r>
        <w:rPr>
          <w:rFonts w:hint="eastAsia"/>
          <w:sz w:val="21"/>
        </w:rPr>
        <w:t>、记账本位币</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本公司采用人民币作为记账本位币。</w:t>
      </w:r>
    </w:p>
    <w:p>
      <w:pPr>
        <w:pStyle w:val="8"/>
        <w:outlineLvl w:val="2"/>
        <w:rPr>
          <w:rFonts w:hint="default" w:eastAsia="Times New Roman"/>
          <w:sz w:val="21"/>
        </w:rPr>
      </w:pPr>
      <w:r>
        <w:rPr>
          <w:rFonts w:hint="default"/>
          <w:sz w:val="21"/>
        </w:rPr>
        <w:t>5</w:t>
      </w:r>
      <w:r>
        <w:rPr>
          <w:rFonts w:hint="eastAsia"/>
          <w:sz w:val="21"/>
        </w:rPr>
        <w:t>、计量属性</w:t>
      </w:r>
    </w:p>
    <w:p>
      <w:pPr>
        <w:autoSpaceDE w:val="0"/>
        <w:autoSpaceDN w:val="0"/>
        <w:adjustRightInd w:val="0"/>
        <w:spacing w:before="0" w:after="120"/>
        <w:ind w:firstLine="420"/>
        <w:rPr>
          <w:rFonts w:hint="eastAsia" w:ascii="宋体"/>
          <w:sz w:val="21"/>
          <w:lang w:val="zh-CN"/>
        </w:rPr>
      </w:pPr>
      <w:r>
        <w:rPr>
          <w:rFonts w:hint="eastAsia" w:ascii="宋体"/>
          <w:sz w:val="21"/>
          <w:lang w:val="zh-CN"/>
        </w:rPr>
        <w:t>本公司采用的计量属性包括历史成本、重置成本、可变现净值、现值和公允价值。本期无计量属性发生变化的报表项目。</w:t>
      </w:r>
    </w:p>
    <w:p>
      <w:pPr>
        <w:pStyle w:val="8"/>
        <w:outlineLvl w:val="2"/>
        <w:rPr>
          <w:rFonts w:hint="default" w:eastAsia="Times New Roman"/>
          <w:sz w:val="21"/>
        </w:rPr>
      </w:pPr>
      <w:r>
        <w:rPr>
          <w:rFonts w:hint="default"/>
          <w:sz w:val="21"/>
        </w:rPr>
        <w:t>6</w:t>
      </w:r>
      <w:r>
        <w:rPr>
          <w:rFonts w:hint="eastAsia"/>
          <w:sz w:val="21"/>
        </w:rPr>
        <w:t>、同一控制下和非同一控制下企业合并的会计处理方法</w:t>
      </w:r>
    </w:p>
    <w:p>
      <w:pPr>
        <w:autoSpaceDE w:val="0"/>
        <w:autoSpaceDN w:val="0"/>
        <w:adjustRightInd w:val="0"/>
        <w:spacing w:before="0" w:after="120"/>
        <w:ind w:firstLine="420"/>
        <w:rPr>
          <w:rFonts w:hint="default" w:eastAsia="Times New Roman"/>
          <w:sz w:val="21"/>
          <w:lang w:val="zh-CN"/>
        </w:rPr>
      </w:pPr>
      <w:r>
        <w:rPr>
          <w:rFonts w:hint="default"/>
          <w:sz w:val="21"/>
          <w:lang w:val="zh-CN"/>
        </w:rPr>
        <w:t>1</w:t>
      </w:r>
      <w:r>
        <w:rPr>
          <w:rFonts w:hint="eastAsia" w:ascii="宋体"/>
          <w:sz w:val="21"/>
          <w:lang w:val="zh-CN"/>
        </w:rPr>
        <w:t>、同一控制下企业合并的会计处理方法</w:t>
      </w:r>
    </w:p>
    <w:p>
      <w:pPr>
        <w:autoSpaceDE w:val="0"/>
        <w:autoSpaceDN w:val="0"/>
        <w:adjustRightInd w:val="0"/>
        <w:spacing w:before="0" w:after="120"/>
        <w:ind w:firstLine="420"/>
        <w:rPr>
          <w:rFonts w:hint="eastAsia" w:ascii="宋体"/>
          <w:sz w:val="21"/>
          <w:lang w:val="zh-CN"/>
        </w:rPr>
      </w:pPr>
      <w:r>
        <w:rPr>
          <w:rFonts w:hint="eastAsia" w:ascii="宋体"/>
          <w:sz w:val="21"/>
          <w:lang w:val="zh-CN"/>
        </w:rPr>
        <w:t>本公司在一次交易取得或通过多次交易分步实现同一控制下企业合并，企业合并中取得的资产和负债，按照合并日在被合并方在最终控制方合并财务报表中的的账面价值计量。本公司取得的净资产账面价值与支付的合并对价账面价值（或发行股份面值总额）的差额，调整资本公积；资本公积不足冲减的，调整留存收益。</w:t>
      </w:r>
    </w:p>
    <w:p>
      <w:pPr>
        <w:autoSpaceDE w:val="0"/>
        <w:autoSpaceDN w:val="0"/>
        <w:adjustRightInd w:val="0"/>
        <w:spacing w:before="0" w:after="120"/>
        <w:ind w:firstLine="420"/>
        <w:rPr>
          <w:rFonts w:hint="default" w:eastAsia="Times New Roman"/>
          <w:sz w:val="21"/>
          <w:lang w:val="zh-CN"/>
        </w:rPr>
      </w:pPr>
      <w:r>
        <w:rPr>
          <w:rFonts w:hint="default"/>
          <w:sz w:val="21"/>
          <w:lang w:val="zh-CN"/>
        </w:rPr>
        <w:t>2</w:t>
      </w:r>
      <w:r>
        <w:rPr>
          <w:rFonts w:hint="eastAsia" w:ascii="宋体"/>
          <w:sz w:val="21"/>
          <w:lang w:val="zh-CN"/>
        </w:rPr>
        <w:t>、非同一控制下企业合并的会计处理方法</w:t>
      </w:r>
    </w:p>
    <w:p>
      <w:pPr>
        <w:autoSpaceDE w:val="0"/>
        <w:autoSpaceDN w:val="0"/>
        <w:adjustRightInd w:val="0"/>
        <w:spacing w:before="0" w:after="120"/>
        <w:ind w:firstLine="420"/>
        <w:rPr>
          <w:rFonts w:hint="eastAsia" w:ascii="宋体"/>
          <w:sz w:val="21"/>
          <w:lang w:val="zh-CN"/>
        </w:rPr>
      </w:pPr>
      <w:r>
        <w:rPr>
          <w:rFonts w:hint="eastAsia" w:ascii="宋体"/>
          <w:sz w:val="21"/>
          <w:lang w:val="zh-CN"/>
        </w:rPr>
        <w:t>本公司在购买日对合并成本大于合并中取得的被购买方可辨认净资产公允价值份额的差额，确认为商誉；如果合并成本小于合并中取得的被购买方可辨认净资产公允价值份额，首先对取得的被购买方各项可辨认资产、负债及或有负债的公允价值以及合并成本的计量进行复核，经复核后合并成本仍小于合并中取得的被购买方可辨认净资产公允价值份额的，其差额计入当期损益。</w:t>
      </w:r>
    </w:p>
    <w:p>
      <w:pPr>
        <w:autoSpaceDE w:val="0"/>
        <w:autoSpaceDN w:val="0"/>
        <w:adjustRightInd w:val="0"/>
        <w:spacing w:before="0" w:after="120"/>
        <w:ind w:firstLine="420"/>
        <w:rPr>
          <w:rFonts w:hint="eastAsia" w:ascii="宋体"/>
          <w:sz w:val="21"/>
          <w:lang w:val="zh-CN"/>
        </w:rPr>
      </w:pPr>
      <w:r>
        <w:rPr>
          <w:rFonts w:hint="eastAsia" w:ascii="宋体"/>
          <w:sz w:val="21"/>
          <w:lang w:val="zh-CN"/>
        </w:rPr>
        <w:t>通过多次交易分步实现非同一控制下企业合并，应按以下顺序处理：</w:t>
      </w:r>
    </w:p>
    <w:p>
      <w:pPr>
        <w:autoSpaceDE w:val="0"/>
        <w:autoSpaceDN w:val="0"/>
        <w:adjustRightInd w:val="0"/>
        <w:spacing w:before="0" w:after="120"/>
        <w:ind w:firstLine="420"/>
        <w:rPr>
          <w:rFonts w:hint="default"/>
          <w:sz w:val="21"/>
          <w:lang w:val="zh-CN"/>
        </w:rPr>
      </w:pPr>
      <w:r>
        <w:rPr>
          <w:rFonts w:hint="eastAsia" w:ascii="宋体"/>
          <w:sz w:val="21"/>
          <w:lang w:val="zh-CN"/>
        </w:rPr>
        <w:t>（</w:t>
      </w:r>
      <w:r>
        <w:rPr>
          <w:rFonts w:hint="default"/>
          <w:sz w:val="21"/>
          <w:lang w:val="zh-CN"/>
        </w:rPr>
        <w:t>1</w:t>
      </w:r>
      <w:r>
        <w:rPr>
          <w:rFonts w:hint="eastAsia" w:ascii="宋体"/>
          <w:sz w:val="21"/>
          <w:lang w:val="zh-CN"/>
        </w:rPr>
        <w:t>）调整长期股权投资初始投资成本。购买日之前持有股权采用权益法核算的，按照该股权在购买日的公允价值进行重新计量，公允价值与其账面价值的差额计入当期投资收益；购买日之前持有的被购买方的股权涉及权益法核算下的其他综合收益、其他所有者权益变动的，转为购买日所属当期收益，由于被投资方重新计量设定受益计划净负债或净资产变动而产生的其他综合收益除外。</w:t>
      </w:r>
      <w:r>
        <w:rPr>
          <w:rFonts w:hint="default"/>
          <w:sz w:val="21"/>
          <w:lang w:val="zh-CN"/>
        </w:rPr>
        <w:t xml:space="preserve"> </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w:t>
      </w:r>
      <w:r>
        <w:rPr>
          <w:rFonts w:hint="default"/>
          <w:sz w:val="21"/>
          <w:lang w:val="zh-CN"/>
        </w:rPr>
        <w:t>2</w:t>
      </w:r>
      <w:r>
        <w:rPr>
          <w:rFonts w:hint="eastAsia" w:ascii="宋体"/>
          <w:sz w:val="21"/>
          <w:lang w:val="zh-CN"/>
        </w:rPr>
        <w:t>）确认商誉（或计入当期损益的金额）。将第一步调整后长期股权投资初始投资成本与购买日应享有子公司可辨认净资产公允价值份额比较，前者大于后者，差额确认为商誉；前者小于后者，差额计入当期损益。</w:t>
      </w:r>
    </w:p>
    <w:p>
      <w:pPr>
        <w:autoSpaceDE w:val="0"/>
        <w:autoSpaceDN w:val="0"/>
        <w:adjustRightInd w:val="0"/>
        <w:spacing w:before="0" w:after="120"/>
        <w:ind w:firstLine="420"/>
        <w:rPr>
          <w:rFonts w:hint="default" w:eastAsia="Times New Roman"/>
          <w:sz w:val="21"/>
          <w:lang w:val="zh-CN"/>
        </w:rPr>
      </w:pPr>
      <w:r>
        <w:rPr>
          <w:rFonts w:hint="default"/>
          <w:sz w:val="21"/>
          <w:lang w:val="zh-CN"/>
        </w:rPr>
        <w:t>3</w:t>
      </w:r>
      <w:r>
        <w:rPr>
          <w:rFonts w:hint="eastAsia" w:ascii="宋体"/>
          <w:sz w:val="21"/>
          <w:lang w:val="zh-CN"/>
        </w:rPr>
        <w:t>、通过多次交易分步处置股权至丧失对子公司控制权的情形</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w:t>
      </w:r>
      <w:r>
        <w:rPr>
          <w:rFonts w:hint="default"/>
          <w:sz w:val="21"/>
          <w:lang w:val="zh-CN"/>
        </w:rPr>
        <w:t>1</w:t>
      </w:r>
      <w:r>
        <w:rPr>
          <w:rFonts w:hint="eastAsia" w:ascii="宋体"/>
          <w:sz w:val="21"/>
          <w:lang w:val="zh-CN"/>
        </w:rPr>
        <w:t>）判断分步处置股权至丧失对子公司控制权过程中的各项交易是否属于</w:t>
      </w:r>
      <w:r>
        <w:rPr>
          <w:rFonts w:hint="default"/>
          <w:sz w:val="21"/>
          <w:lang w:val="zh-CN"/>
        </w:rPr>
        <w:t>“</w:t>
      </w:r>
      <w:r>
        <w:rPr>
          <w:rFonts w:hint="eastAsia" w:ascii="宋体"/>
          <w:sz w:val="21"/>
          <w:lang w:val="zh-CN"/>
        </w:rPr>
        <w:t>一揽子交易</w:t>
      </w:r>
      <w:r>
        <w:rPr>
          <w:rFonts w:hint="default"/>
          <w:sz w:val="21"/>
          <w:lang w:val="zh-CN"/>
        </w:rPr>
        <w:t>”</w:t>
      </w:r>
      <w:r>
        <w:rPr>
          <w:rFonts w:hint="eastAsia" w:ascii="宋体"/>
          <w:sz w:val="21"/>
          <w:lang w:val="zh-CN"/>
        </w:rPr>
        <w:t>的原则</w:t>
      </w:r>
    </w:p>
    <w:p>
      <w:pPr>
        <w:autoSpaceDE w:val="0"/>
        <w:autoSpaceDN w:val="0"/>
        <w:adjustRightInd w:val="0"/>
        <w:spacing w:before="0" w:after="120"/>
        <w:ind w:firstLine="420"/>
        <w:rPr>
          <w:rFonts w:hint="eastAsia" w:ascii="宋体"/>
          <w:sz w:val="21"/>
          <w:lang w:val="zh-CN"/>
        </w:rPr>
      </w:pPr>
      <w:r>
        <w:rPr>
          <w:rFonts w:hint="eastAsia" w:ascii="宋体"/>
          <w:sz w:val="21"/>
          <w:lang w:val="zh-CN"/>
        </w:rPr>
        <w:t>处置对子公司股权投资的各项交易的条款、条件以及经济影响符合以下一种或多种情况，通常表明应将多次交易事项作为一揽子交易进行会计处理：</w:t>
      </w:r>
    </w:p>
    <w:p>
      <w:pPr>
        <w:autoSpaceDE w:val="0"/>
        <w:autoSpaceDN w:val="0"/>
        <w:adjustRightInd w:val="0"/>
        <w:spacing w:before="0" w:after="120"/>
        <w:ind w:firstLine="525"/>
        <w:rPr>
          <w:rFonts w:hint="default" w:eastAsia="Times New Roman"/>
          <w:sz w:val="21"/>
          <w:lang w:val="zh-CN"/>
        </w:rPr>
      </w:pPr>
      <w:r>
        <w:rPr>
          <w:rFonts w:hint="default"/>
          <w:sz w:val="21"/>
          <w:lang w:val="zh-CN"/>
        </w:rPr>
        <w:t>1</w:t>
      </w:r>
      <w:r>
        <w:rPr>
          <w:rFonts w:hint="eastAsia" w:ascii="宋体"/>
          <w:sz w:val="21"/>
          <w:lang w:val="zh-CN"/>
        </w:rPr>
        <w:t>）这些交易是同时或者在考虑了彼此影响的情况下订立的；</w:t>
      </w:r>
    </w:p>
    <w:p>
      <w:pPr>
        <w:autoSpaceDE w:val="0"/>
        <w:autoSpaceDN w:val="0"/>
        <w:adjustRightInd w:val="0"/>
        <w:spacing w:before="0" w:after="120"/>
        <w:ind w:firstLine="525"/>
        <w:rPr>
          <w:rFonts w:hint="default" w:eastAsia="Times New Roman"/>
          <w:sz w:val="21"/>
          <w:lang w:val="zh-CN"/>
        </w:rPr>
      </w:pPr>
      <w:r>
        <w:rPr>
          <w:rFonts w:hint="default"/>
          <w:sz w:val="21"/>
          <w:lang w:val="zh-CN"/>
        </w:rPr>
        <w:t>2</w:t>
      </w:r>
      <w:r>
        <w:rPr>
          <w:rFonts w:hint="eastAsia" w:ascii="宋体"/>
          <w:sz w:val="21"/>
          <w:lang w:val="zh-CN"/>
        </w:rPr>
        <w:t>）这些交易整体才能达成一项完整的商业结果；</w:t>
      </w:r>
    </w:p>
    <w:p>
      <w:pPr>
        <w:autoSpaceDE w:val="0"/>
        <w:autoSpaceDN w:val="0"/>
        <w:adjustRightInd w:val="0"/>
        <w:spacing w:before="0" w:after="120"/>
        <w:ind w:firstLine="525"/>
        <w:rPr>
          <w:rFonts w:hint="default" w:eastAsia="Times New Roman"/>
          <w:sz w:val="21"/>
          <w:lang w:val="zh-CN"/>
        </w:rPr>
      </w:pPr>
      <w:r>
        <w:rPr>
          <w:rFonts w:hint="default"/>
          <w:sz w:val="21"/>
          <w:lang w:val="zh-CN"/>
        </w:rPr>
        <w:t>3</w:t>
      </w:r>
      <w:r>
        <w:rPr>
          <w:rFonts w:hint="eastAsia" w:ascii="宋体"/>
          <w:sz w:val="21"/>
          <w:lang w:val="zh-CN"/>
        </w:rPr>
        <w:t>）一项交易的发生取决于其他至少一项交易的发生；</w:t>
      </w:r>
    </w:p>
    <w:p>
      <w:pPr>
        <w:autoSpaceDE w:val="0"/>
        <w:autoSpaceDN w:val="0"/>
        <w:adjustRightInd w:val="0"/>
        <w:spacing w:before="0" w:after="120"/>
        <w:ind w:firstLine="525"/>
        <w:rPr>
          <w:rFonts w:hint="default" w:eastAsia="Times New Roman"/>
          <w:sz w:val="21"/>
          <w:lang w:val="zh-CN"/>
        </w:rPr>
      </w:pPr>
      <w:r>
        <w:rPr>
          <w:rFonts w:hint="default"/>
          <w:sz w:val="21"/>
          <w:lang w:val="zh-CN"/>
        </w:rPr>
        <w:t>4</w:t>
      </w:r>
      <w:r>
        <w:rPr>
          <w:rFonts w:hint="eastAsia" w:ascii="宋体"/>
          <w:sz w:val="21"/>
          <w:lang w:val="zh-CN"/>
        </w:rPr>
        <w:t>）一项交易单独看是不经济的，但是和其他交易一并考虑时是经济的。</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w:t>
      </w:r>
      <w:r>
        <w:rPr>
          <w:rFonts w:hint="default"/>
          <w:sz w:val="21"/>
          <w:lang w:val="zh-CN"/>
        </w:rPr>
        <w:t>2</w:t>
      </w:r>
      <w:r>
        <w:rPr>
          <w:rFonts w:hint="eastAsia" w:ascii="宋体"/>
          <w:sz w:val="21"/>
          <w:lang w:val="zh-CN"/>
        </w:rPr>
        <w:t>）分步处置股权至丧失对子公司控制权过程中的各项交易属于</w:t>
      </w:r>
      <w:r>
        <w:rPr>
          <w:rFonts w:hint="default"/>
          <w:sz w:val="21"/>
          <w:lang w:val="zh-CN"/>
        </w:rPr>
        <w:t>“</w:t>
      </w:r>
      <w:r>
        <w:rPr>
          <w:rFonts w:hint="eastAsia" w:ascii="宋体"/>
          <w:sz w:val="21"/>
          <w:lang w:val="zh-CN"/>
        </w:rPr>
        <w:t>一揽子交易</w:t>
      </w:r>
      <w:r>
        <w:rPr>
          <w:rFonts w:hint="default"/>
          <w:sz w:val="21"/>
          <w:lang w:val="zh-CN"/>
        </w:rPr>
        <w:t>”</w:t>
      </w:r>
      <w:r>
        <w:rPr>
          <w:rFonts w:hint="eastAsia" w:ascii="宋体"/>
          <w:sz w:val="21"/>
          <w:lang w:val="zh-CN"/>
        </w:rPr>
        <w:t>的会计处理方法</w:t>
      </w:r>
    </w:p>
    <w:p>
      <w:pPr>
        <w:autoSpaceDE w:val="0"/>
        <w:autoSpaceDN w:val="0"/>
        <w:adjustRightInd w:val="0"/>
        <w:spacing w:before="0" w:after="120"/>
        <w:ind w:firstLine="420"/>
        <w:rPr>
          <w:rFonts w:hint="eastAsia" w:ascii="宋体"/>
          <w:sz w:val="21"/>
          <w:lang w:val="zh-CN"/>
        </w:rPr>
      </w:pPr>
      <w:r>
        <w:rPr>
          <w:rFonts w:hint="eastAsia" w:ascii="宋体"/>
          <w:sz w:val="21"/>
          <w:lang w:val="zh-CN"/>
        </w:rPr>
        <w:t>处置对子公司股权投资直至丧失控制权的各项交易属于一揽子交易的，应当将各项交易作为一项处置子公司并丧失控制权的交易进行会计处理；但是，在丧失控制权之前每一次处置价款与处置投资对应的享有该子公司净资产份额的差额，在合并财务报表中应当确认为其他综合收益，在丧失控制权时一并转入丧失控制权当期的损益。</w:t>
      </w:r>
    </w:p>
    <w:p>
      <w:pPr>
        <w:autoSpaceDE w:val="0"/>
        <w:autoSpaceDN w:val="0"/>
        <w:adjustRightInd w:val="0"/>
        <w:spacing w:before="0" w:after="120"/>
        <w:ind w:firstLine="420"/>
        <w:rPr>
          <w:rFonts w:hint="eastAsia" w:ascii="宋体"/>
          <w:sz w:val="21"/>
          <w:lang w:val="zh-CN"/>
        </w:rPr>
      </w:pPr>
      <w:r>
        <w:rPr>
          <w:rFonts w:hint="eastAsia" w:ascii="宋体"/>
          <w:sz w:val="21"/>
          <w:lang w:val="zh-CN"/>
        </w:rPr>
        <w:t>在合并财务报表中，对于剩余股权，应当按照其在丧失控制权日的公允价值进行重新计量。处置股权取得的对价与剩余股权公允价值之和，减去按原持股比例计算应享有原子公司自购买日开始持续计算的净资产的份额之间的差额，计入丧失控制权当期的投资收益。与原子公司股权投资相关的其他综合收益，应当在丧失控制权时转为当期投资收益。</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w:t>
      </w:r>
      <w:r>
        <w:rPr>
          <w:rFonts w:hint="default"/>
          <w:sz w:val="21"/>
          <w:lang w:val="zh-CN"/>
        </w:rPr>
        <w:t>3</w:t>
      </w:r>
      <w:r>
        <w:rPr>
          <w:rFonts w:hint="eastAsia" w:ascii="宋体"/>
          <w:sz w:val="21"/>
          <w:lang w:val="zh-CN"/>
        </w:rPr>
        <w:t>）分步处置股权至丧失对子公司控制权过程中的各项交易不属于</w:t>
      </w:r>
      <w:r>
        <w:rPr>
          <w:rFonts w:hint="default"/>
          <w:sz w:val="21"/>
          <w:lang w:val="zh-CN"/>
        </w:rPr>
        <w:t>“</w:t>
      </w:r>
      <w:r>
        <w:rPr>
          <w:rFonts w:hint="eastAsia" w:ascii="宋体"/>
          <w:sz w:val="21"/>
          <w:lang w:val="zh-CN"/>
        </w:rPr>
        <w:t>一揽子交易</w:t>
      </w:r>
      <w:r>
        <w:rPr>
          <w:rFonts w:hint="default"/>
          <w:sz w:val="21"/>
          <w:lang w:val="zh-CN"/>
        </w:rPr>
        <w:t>”</w:t>
      </w:r>
      <w:r>
        <w:rPr>
          <w:rFonts w:hint="eastAsia" w:ascii="宋体"/>
          <w:sz w:val="21"/>
          <w:lang w:val="zh-CN"/>
        </w:rPr>
        <w:t>的会计处理方法</w:t>
      </w:r>
    </w:p>
    <w:p>
      <w:pPr>
        <w:autoSpaceDE w:val="0"/>
        <w:autoSpaceDN w:val="0"/>
        <w:adjustRightInd w:val="0"/>
        <w:spacing w:before="0" w:after="120"/>
        <w:ind w:firstLine="420"/>
        <w:rPr>
          <w:rFonts w:hint="eastAsia" w:ascii="宋体"/>
          <w:sz w:val="21"/>
          <w:lang w:val="zh-CN"/>
        </w:rPr>
      </w:pPr>
      <w:r>
        <w:rPr>
          <w:rFonts w:hint="eastAsia" w:ascii="宋体"/>
          <w:sz w:val="21"/>
          <w:lang w:val="zh-CN"/>
        </w:rPr>
        <w:t>处置对子公司的投资未丧失控制权的，合并财务报表中处置价款与处置投资对应的享有该子公司净资产份额的差额计入资本公积（资本溢价或股本溢价），资本溢价不足冲减的，应当调整留存收益。</w:t>
      </w:r>
    </w:p>
    <w:p>
      <w:pPr>
        <w:autoSpaceDE w:val="0"/>
        <w:autoSpaceDN w:val="0"/>
        <w:adjustRightInd w:val="0"/>
        <w:spacing w:before="0" w:after="120"/>
        <w:ind w:firstLine="420"/>
        <w:rPr>
          <w:rFonts w:hint="eastAsia" w:ascii="宋体"/>
          <w:sz w:val="21"/>
          <w:lang w:val="zh-CN"/>
        </w:rPr>
      </w:pPr>
      <w:r>
        <w:rPr>
          <w:rFonts w:hint="eastAsia" w:ascii="宋体"/>
          <w:sz w:val="21"/>
          <w:lang w:val="zh-CN"/>
        </w:rPr>
        <w:t>处置对子公司的投资丧失控制权的，在合并财务报表中，对于剩余股权，应当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应当在丧失控制权时转为当期投资收益。</w:t>
      </w:r>
    </w:p>
    <w:p>
      <w:pPr>
        <w:pStyle w:val="8"/>
        <w:outlineLvl w:val="2"/>
        <w:rPr>
          <w:rFonts w:hint="default" w:eastAsia="Times New Roman"/>
          <w:sz w:val="21"/>
        </w:rPr>
      </w:pPr>
      <w:r>
        <w:rPr>
          <w:rFonts w:hint="default"/>
          <w:sz w:val="21"/>
        </w:rPr>
        <w:t>7</w:t>
      </w:r>
      <w:r>
        <w:rPr>
          <w:rFonts w:hint="eastAsia"/>
          <w:sz w:val="21"/>
        </w:rPr>
        <w:t>、合并财务报表的编制方法</w:t>
      </w:r>
    </w:p>
    <w:p>
      <w:pPr>
        <w:autoSpaceDE w:val="0"/>
        <w:autoSpaceDN w:val="0"/>
        <w:adjustRightInd w:val="0"/>
        <w:spacing w:before="0" w:after="120"/>
        <w:ind w:firstLine="420"/>
        <w:jc w:val="left"/>
        <w:rPr>
          <w:rFonts w:hint="default" w:eastAsia="Times New Roman"/>
          <w:sz w:val="21"/>
          <w:lang w:val="zh-CN"/>
        </w:rPr>
      </w:pPr>
      <w:r>
        <w:rPr>
          <w:rFonts w:hint="eastAsia" w:ascii="宋体"/>
          <w:sz w:val="21"/>
          <w:lang w:val="zh-CN"/>
        </w:rPr>
        <w:t>合并财务报表以母公司及其子公司的财务报表为基础，根据其他有关资料，由本公司按照《企业会计准则第</w:t>
      </w:r>
      <w:r>
        <w:rPr>
          <w:rFonts w:hint="default" w:eastAsia="Times New Roman"/>
          <w:sz w:val="21"/>
          <w:lang w:val="zh-CN"/>
        </w:rPr>
        <w:t>33</w:t>
      </w:r>
      <w:r>
        <w:rPr>
          <w:rFonts w:hint="eastAsia" w:ascii="宋体"/>
          <w:sz w:val="21"/>
          <w:lang w:val="zh-CN"/>
        </w:rPr>
        <w:t>号</w:t>
      </w:r>
      <w:r>
        <w:rPr>
          <w:rFonts w:hint="default" w:eastAsia="Times New Roman"/>
          <w:sz w:val="21"/>
          <w:lang w:val="zh-CN"/>
        </w:rPr>
        <w:t>——</w:t>
      </w:r>
      <w:r>
        <w:rPr>
          <w:rFonts w:hint="eastAsia" w:ascii="宋体"/>
          <w:sz w:val="21"/>
          <w:lang w:val="zh-CN"/>
        </w:rPr>
        <w:t>合并财务报表》编制。</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合并财务报表系根据《企业会计准则第</w:t>
      </w:r>
      <w:r>
        <w:rPr>
          <w:rFonts w:hint="default" w:eastAsia="Times New Roman"/>
          <w:sz w:val="21"/>
          <w:lang w:val="zh-CN"/>
        </w:rPr>
        <w:t>33</w:t>
      </w:r>
      <w:r>
        <w:rPr>
          <w:rFonts w:hint="eastAsia" w:ascii="宋体"/>
          <w:sz w:val="21"/>
          <w:lang w:val="zh-CN"/>
        </w:rPr>
        <w:t>号</w:t>
      </w:r>
      <w:r>
        <w:rPr>
          <w:rFonts w:hint="default" w:eastAsia="Times New Roman"/>
          <w:sz w:val="21"/>
          <w:lang w:val="zh-CN"/>
        </w:rPr>
        <w:t>—</w:t>
      </w:r>
      <w:r>
        <w:rPr>
          <w:rFonts w:hint="eastAsia" w:ascii="宋体"/>
          <w:sz w:val="21"/>
          <w:lang w:val="zh-CN"/>
        </w:rPr>
        <w:t>合并财务报表》的规定，以母公司和纳入合并范围的子公司的财务报表为基础，根据其他有关资料，按照权益法调整对子公司的长期股权投资，在抵销母公司权益性资本投资与子公司所有者权益中母公司所持有的份额和公司内部之间重大交易及内部往来后编制而成。少数股东权益，在合并资产负债表中所有者权益项目下以</w:t>
      </w:r>
      <w:r>
        <w:rPr>
          <w:rFonts w:hint="default" w:eastAsia="Times New Roman"/>
          <w:sz w:val="21"/>
          <w:lang w:val="zh-CN"/>
        </w:rPr>
        <w:t>“</w:t>
      </w:r>
      <w:r>
        <w:rPr>
          <w:rFonts w:hint="eastAsia" w:ascii="宋体"/>
          <w:sz w:val="21"/>
          <w:lang w:val="zh-CN"/>
        </w:rPr>
        <w:t>少数股东权益</w:t>
      </w:r>
      <w:r>
        <w:rPr>
          <w:rFonts w:hint="default" w:eastAsia="Times New Roman"/>
          <w:sz w:val="21"/>
          <w:lang w:val="zh-CN"/>
        </w:rPr>
        <w:t>”</w:t>
      </w:r>
      <w:r>
        <w:rPr>
          <w:rFonts w:hint="eastAsia" w:ascii="宋体"/>
          <w:sz w:val="21"/>
          <w:lang w:val="zh-CN"/>
        </w:rPr>
        <w:t>项目列示。少数股东损益，在合并利润表中净利润项目下以</w:t>
      </w:r>
      <w:r>
        <w:rPr>
          <w:rFonts w:hint="default" w:eastAsia="Times New Roman"/>
          <w:sz w:val="21"/>
          <w:lang w:val="zh-CN"/>
        </w:rPr>
        <w:t>“</w:t>
      </w:r>
      <w:r>
        <w:rPr>
          <w:rFonts w:hint="eastAsia" w:ascii="宋体"/>
          <w:sz w:val="21"/>
          <w:lang w:val="zh-CN"/>
        </w:rPr>
        <w:t>少数股东损益</w:t>
      </w:r>
      <w:r>
        <w:rPr>
          <w:rFonts w:hint="default" w:eastAsia="Times New Roman"/>
          <w:sz w:val="21"/>
          <w:lang w:val="zh-CN"/>
        </w:rPr>
        <w:t>”</w:t>
      </w:r>
      <w:r>
        <w:rPr>
          <w:rFonts w:hint="eastAsia" w:ascii="宋体"/>
          <w:sz w:val="21"/>
          <w:lang w:val="zh-CN"/>
        </w:rPr>
        <w:t>项目列示。母公司在报告期内因同一控制下企业合并增加的子公司，自其与本公司同受最终控制方控制之日起纳入本公司合并范围，并将其在合并日前实现的净利润在合并利润表中单列项目反映在编制的合并财务报表中，子公司与本公司采用的会计政策或会计期间不一致的，按照本公司的会计政策和会计期间对子公司财务报表进行必要的调整。因非同一控制下企业合并增加的子公司，将该子公司购买日至报告期末的收入、费用、利润纳入合并利润表。母公司在报告期内处置子公司，将该子公司年初至处置日的收入、费用、利润纳入合并利润表。</w:t>
      </w:r>
    </w:p>
    <w:p>
      <w:pPr>
        <w:pStyle w:val="8"/>
        <w:outlineLvl w:val="2"/>
        <w:rPr>
          <w:rFonts w:hint="default" w:eastAsia="Times New Roman"/>
          <w:sz w:val="21"/>
        </w:rPr>
      </w:pPr>
      <w:r>
        <w:rPr>
          <w:rFonts w:hint="default"/>
          <w:sz w:val="21"/>
        </w:rPr>
        <w:t>8</w:t>
      </w:r>
      <w:r>
        <w:rPr>
          <w:rFonts w:hint="eastAsia"/>
          <w:sz w:val="21"/>
        </w:rPr>
        <w:t>、现金及现金等价物的确定标准</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现金流量表的现金指企业库存现金及可以随时用于支付的存款。现金等价物指持有的期限短（一般是指从购买日起三个月内到期）、流动性强、易于转换为已知金额现金、价值变动风险很小的投资。</w:t>
      </w:r>
    </w:p>
    <w:p>
      <w:pPr>
        <w:pStyle w:val="8"/>
        <w:outlineLvl w:val="2"/>
        <w:rPr>
          <w:rFonts w:hint="default" w:eastAsia="Times New Roman"/>
          <w:sz w:val="21"/>
        </w:rPr>
      </w:pPr>
      <w:r>
        <w:rPr>
          <w:rFonts w:hint="default"/>
          <w:sz w:val="21"/>
        </w:rPr>
        <w:t>9</w:t>
      </w:r>
      <w:r>
        <w:rPr>
          <w:rFonts w:hint="eastAsia"/>
          <w:sz w:val="21"/>
        </w:rPr>
        <w:t>、外币业务和外币报表折算</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本公司对发生的外币交易，以交易发生日中国人民银行公布的市场汇率中间价折算为记账本位币记账。其中，对发生的外币兑换或涉及外币兑换的交易，按照交易实际采用的汇率进行折算。</w:t>
      </w:r>
    </w:p>
    <w:p>
      <w:pPr>
        <w:pStyle w:val="8"/>
        <w:outlineLvl w:val="2"/>
        <w:rPr>
          <w:rFonts w:hint="default" w:eastAsia="Times New Roman"/>
          <w:sz w:val="21"/>
        </w:rPr>
      </w:pPr>
      <w:r>
        <w:rPr>
          <w:rFonts w:hint="default"/>
          <w:sz w:val="21"/>
        </w:rPr>
        <w:t>10</w:t>
      </w:r>
      <w:r>
        <w:rPr>
          <w:rFonts w:hint="eastAsia"/>
          <w:sz w:val="21"/>
        </w:rPr>
        <w:t>、金融工具</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1</w:t>
      </w:r>
      <w:r>
        <w:rPr>
          <w:rFonts w:hint="eastAsia" w:ascii="宋体"/>
          <w:sz w:val="21"/>
          <w:lang w:val="zh-CN"/>
        </w:rPr>
        <w:t>、金融工具的确认和终止确认</w:t>
      </w:r>
    </w:p>
    <w:p>
      <w:pPr>
        <w:autoSpaceDE w:val="0"/>
        <w:autoSpaceDN w:val="0"/>
        <w:adjustRightInd w:val="0"/>
        <w:spacing w:before="0" w:after="120"/>
        <w:ind w:firstLine="420"/>
        <w:rPr>
          <w:rFonts w:hint="eastAsia" w:ascii="宋体"/>
          <w:sz w:val="21"/>
          <w:lang w:val="zh-CN"/>
        </w:rPr>
      </w:pPr>
      <w:r>
        <w:rPr>
          <w:rFonts w:hint="eastAsia" w:ascii="宋体"/>
          <w:sz w:val="21"/>
          <w:lang w:val="zh-CN"/>
        </w:rPr>
        <w:t>本公司于成为金融工具合同的一方时确认一项金融资产或金融负债。</w:t>
      </w:r>
    </w:p>
    <w:p>
      <w:pPr>
        <w:autoSpaceDE w:val="0"/>
        <w:autoSpaceDN w:val="0"/>
        <w:adjustRightInd w:val="0"/>
        <w:spacing w:before="0" w:after="120"/>
        <w:ind w:firstLine="420"/>
        <w:rPr>
          <w:rFonts w:hint="eastAsia" w:ascii="宋体"/>
          <w:sz w:val="21"/>
          <w:lang w:val="zh-CN"/>
        </w:rPr>
      </w:pPr>
      <w:r>
        <w:rPr>
          <w:rFonts w:hint="eastAsia" w:ascii="宋体"/>
          <w:sz w:val="21"/>
          <w:lang w:val="zh-CN"/>
        </w:rPr>
        <w:t>以常规方式买卖金融资产，按交易日会计进行确认和终止确认。常规方式买卖金融资产，是指按照合同条款的约定，在法规或通行惯例规定的期限内收取或交付金融资产。交易日，是指本公司承诺买入或卖出金融资产的日期。</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满足下列条件的，终止确认金融资产</w:t>
      </w:r>
      <w:r>
        <w:rPr>
          <w:rFonts w:hint="default" w:eastAsia="Times New Roman"/>
          <w:sz w:val="21"/>
          <w:lang w:val="zh-CN"/>
        </w:rPr>
        <w:t>(</w:t>
      </w:r>
      <w:r>
        <w:rPr>
          <w:rFonts w:hint="eastAsia" w:ascii="宋体"/>
          <w:sz w:val="21"/>
          <w:lang w:val="zh-CN"/>
        </w:rPr>
        <w:t>或金融资产的一部分，或一组类似金融资产的一部分</w:t>
      </w:r>
      <w:r>
        <w:rPr>
          <w:rFonts w:hint="default" w:eastAsia="Times New Roman"/>
          <w:sz w:val="21"/>
          <w:lang w:val="zh-CN"/>
        </w:rPr>
        <w:t>)</w:t>
      </w:r>
      <w:r>
        <w:rPr>
          <w:rFonts w:hint="eastAsia" w:ascii="宋体"/>
          <w:sz w:val="21"/>
          <w:lang w:val="zh-CN"/>
        </w:rPr>
        <w:t>，即从其账户和资产负债表内予以转销：</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w:t>
      </w:r>
      <w:r>
        <w:rPr>
          <w:rFonts w:hint="default" w:eastAsia="Times New Roman"/>
          <w:sz w:val="21"/>
          <w:lang w:val="zh-CN"/>
        </w:rPr>
        <w:t>1</w:t>
      </w:r>
      <w:r>
        <w:rPr>
          <w:rFonts w:hint="eastAsia" w:ascii="宋体"/>
          <w:sz w:val="21"/>
          <w:lang w:val="zh-CN"/>
        </w:rPr>
        <w:t>）收取金融资产现金流量的权利届满；</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w:t>
      </w:r>
      <w:r>
        <w:rPr>
          <w:rFonts w:hint="default" w:eastAsia="Times New Roman"/>
          <w:sz w:val="21"/>
          <w:lang w:val="zh-CN"/>
        </w:rPr>
        <w:t>2</w:t>
      </w:r>
      <w:r>
        <w:rPr>
          <w:rFonts w:hint="eastAsia" w:ascii="宋体"/>
          <w:sz w:val="21"/>
          <w:lang w:val="zh-CN"/>
        </w:rPr>
        <w:t>）转移了收取金融资产现金流量的权利，或在</w:t>
      </w:r>
      <w:r>
        <w:rPr>
          <w:rFonts w:hint="default" w:eastAsia="Times New Roman"/>
          <w:sz w:val="21"/>
          <w:lang w:val="zh-CN"/>
        </w:rPr>
        <w:t>“</w:t>
      </w:r>
      <w:r>
        <w:rPr>
          <w:rFonts w:hint="eastAsia" w:ascii="宋体"/>
          <w:sz w:val="21"/>
          <w:lang w:val="zh-CN"/>
        </w:rPr>
        <w:t>过手协议</w:t>
      </w:r>
      <w:r>
        <w:rPr>
          <w:rFonts w:hint="default" w:eastAsia="Times New Roman"/>
          <w:sz w:val="21"/>
          <w:lang w:val="zh-CN"/>
        </w:rPr>
        <w:t>”</w:t>
      </w:r>
      <w:r>
        <w:rPr>
          <w:rFonts w:hint="eastAsia" w:ascii="宋体"/>
          <w:sz w:val="21"/>
          <w:lang w:val="zh-CN"/>
        </w:rPr>
        <w:t>下承担了及时将收取的现金流量全额支付给第三方的义务；并且实质上转让了金融资产所有权上几乎所有的风险和报酬，或虽然实质上既没有转移也没有保留金融资产所有权上几乎所有的风险和报酬，但放弃了对该金融资产的控制。</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2</w:t>
      </w:r>
      <w:r>
        <w:rPr>
          <w:rFonts w:hint="eastAsia" w:ascii="宋体"/>
          <w:sz w:val="21"/>
          <w:lang w:val="zh-CN"/>
        </w:rPr>
        <w:t>、金融资产分类和计量</w:t>
      </w:r>
    </w:p>
    <w:p>
      <w:pPr>
        <w:autoSpaceDE w:val="0"/>
        <w:autoSpaceDN w:val="0"/>
        <w:adjustRightInd w:val="0"/>
        <w:spacing w:before="0" w:after="120"/>
        <w:ind w:firstLine="420"/>
        <w:rPr>
          <w:rFonts w:hint="eastAsia" w:ascii="宋体"/>
          <w:sz w:val="21"/>
          <w:lang w:val="zh-CN"/>
        </w:rPr>
      </w:pPr>
      <w:r>
        <w:rPr>
          <w:rFonts w:hint="eastAsia" w:ascii="宋体"/>
          <w:sz w:val="21"/>
          <w:lang w:val="zh-CN"/>
        </w:rPr>
        <w:t>本公司的金融资产于初始确认时根据本公司管理金融资产的业务模式和金融资产的合同现金流量特征分类为：以摊余成本计量的金融资产、以公允价值计量且其变动计入其他综合收益的金融资产以及以公允价值计量且其变动计入当期损益的金融资产。金融资产的后续计量取决于其分类。</w:t>
      </w:r>
    </w:p>
    <w:p>
      <w:pPr>
        <w:autoSpaceDE w:val="0"/>
        <w:autoSpaceDN w:val="0"/>
        <w:adjustRightInd w:val="0"/>
        <w:spacing w:before="0" w:after="120"/>
        <w:ind w:firstLine="420"/>
        <w:rPr>
          <w:rFonts w:hint="eastAsia" w:ascii="宋体"/>
          <w:sz w:val="21"/>
          <w:lang w:val="zh-CN"/>
        </w:rPr>
      </w:pPr>
      <w:r>
        <w:rPr>
          <w:rFonts w:hint="eastAsia" w:ascii="宋体"/>
          <w:sz w:val="21"/>
          <w:lang w:val="zh-CN"/>
        </w:rPr>
        <w:t>本公司对金融资产的分类，依据本公司管理金融资产的业务模式和金融资产的现金流量特征进行分类。</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w:t>
      </w:r>
      <w:r>
        <w:rPr>
          <w:rFonts w:hint="default" w:eastAsia="Times New Roman"/>
          <w:sz w:val="21"/>
          <w:lang w:val="zh-CN"/>
        </w:rPr>
        <w:t>1</w:t>
      </w:r>
      <w:r>
        <w:rPr>
          <w:rFonts w:hint="eastAsia" w:ascii="宋体"/>
          <w:sz w:val="21"/>
          <w:lang w:val="zh-CN"/>
        </w:rPr>
        <w:t>）以摊余成本计量的金融资产</w:t>
      </w:r>
    </w:p>
    <w:p>
      <w:pPr>
        <w:autoSpaceDE w:val="0"/>
        <w:autoSpaceDN w:val="0"/>
        <w:adjustRightInd w:val="0"/>
        <w:spacing w:before="0" w:after="120"/>
        <w:ind w:firstLine="420"/>
        <w:rPr>
          <w:rFonts w:hint="eastAsia" w:ascii="宋体"/>
          <w:sz w:val="21"/>
          <w:lang w:val="zh-CN"/>
        </w:rPr>
      </w:pPr>
      <w:r>
        <w:rPr>
          <w:rFonts w:hint="eastAsia" w:ascii="宋体"/>
          <w:sz w:val="21"/>
          <w:lang w:val="zh-CN"/>
        </w:rPr>
        <w:t>金融资产同时符合下列条件的，分类为以摊余成本计量的金融资产：本公司管理该金融资产的业务模式是以收取合同现金流量为目标；该金融资产的合同条款规定，在特定日期产生的现金流量，仅为对本金和以未偿付本金金额为基础的利息的支付。对于此类金融资产，采用实际利率法，按照摊余成本进行后续计量，其摊销或减值产生的利得或损失，均计入当期损益。</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w:t>
      </w:r>
      <w:r>
        <w:rPr>
          <w:rFonts w:hint="default" w:eastAsia="Times New Roman"/>
          <w:sz w:val="21"/>
          <w:lang w:val="zh-CN"/>
        </w:rPr>
        <w:t>2</w:t>
      </w:r>
      <w:r>
        <w:rPr>
          <w:rFonts w:hint="eastAsia" w:ascii="宋体"/>
          <w:sz w:val="21"/>
          <w:lang w:val="zh-CN"/>
        </w:rPr>
        <w:t>）以公允价值计量且其变动计入其他综合收益的债务工具投资</w:t>
      </w:r>
    </w:p>
    <w:p>
      <w:pPr>
        <w:autoSpaceDE w:val="0"/>
        <w:autoSpaceDN w:val="0"/>
        <w:adjustRightInd w:val="0"/>
        <w:spacing w:before="0" w:after="120"/>
        <w:ind w:firstLine="420"/>
        <w:rPr>
          <w:rFonts w:hint="eastAsia" w:ascii="宋体"/>
          <w:sz w:val="21"/>
          <w:lang w:val="zh-CN"/>
        </w:rPr>
      </w:pPr>
      <w:r>
        <w:rPr>
          <w:rFonts w:hint="eastAsia" w:ascii="宋体"/>
          <w:sz w:val="21"/>
          <w:lang w:val="zh-CN"/>
        </w:rPr>
        <w:t>金融资产同时符合下列条件的，分类为以公允价值计量且其变动计入其他综合收益的金融资产：本公司管理该金融资产的业务模式是既以收取合同现金流量为目标又以出售金融资产为目标；该金融资产的合同条款规定，在特定日期产生的现金流量，仅为对本金和以未偿付本金金额为基础的利息的支付。对于此类金融资产，采用公允价值进行后续计量。其折价或溢价采用实际利率法进行摊销并确认为利息收入或费用。除减值损失及外币货币性金融资产的汇兑差额确认为当期损益外，此类金融资产的公允价值变动作为其他综合收益确认，直到该金融资产终止确认时，其累计利得或损失转入当期损益。与此类金融资产相关利息收入，计入当期损益。</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w:t>
      </w:r>
      <w:r>
        <w:rPr>
          <w:rFonts w:hint="default" w:eastAsia="Times New Roman"/>
          <w:sz w:val="21"/>
          <w:lang w:val="zh-CN"/>
        </w:rPr>
        <w:t>3</w:t>
      </w:r>
      <w:r>
        <w:rPr>
          <w:rFonts w:hint="eastAsia" w:ascii="宋体"/>
          <w:sz w:val="21"/>
          <w:lang w:val="zh-CN"/>
        </w:rPr>
        <w:t>）以公允价值计量且其变动计入其他综合收益的权益工具投资</w:t>
      </w:r>
    </w:p>
    <w:p>
      <w:pPr>
        <w:autoSpaceDE w:val="0"/>
        <w:autoSpaceDN w:val="0"/>
        <w:adjustRightInd w:val="0"/>
        <w:spacing w:before="0" w:after="120"/>
        <w:ind w:firstLine="420"/>
        <w:rPr>
          <w:rFonts w:hint="eastAsia" w:ascii="宋体"/>
          <w:sz w:val="21"/>
          <w:lang w:val="zh-CN"/>
        </w:rPr>
      </w:pPr>
      <w:r>
        <w:rPr>
          <w:rFonts w:hint="eastAsia" w:ascii="宋体"/>
          <w:sz w:val="21"/>
          <w:lang w:val="zh-CN"/>
        </w:rPr>
        <w:t>本公司不可撤销地选择将部分非交易性权益工具投资指定为以公允价值计量且其变动计入其他综合收益的金融资产，仅将相关股利收入计入当期损益，公允价值变动作为其他综合收益确认，直到该金融资产终止确认时，其累计利得或损失转入留存收益。</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w:t>
      </w:r>
      <w:r>
        <w:rPr>
          <w:rFonts w:hint="default" w:eastAsia="Times New Roman"/>
          <w:sz w:val="21"/>
          <w:lang w:val="zh-CN"/>
        </w:rPr>
        <w:t>4</w:t>
      </w:r>
      <w:r>
        <w:rPr>
          <w:rFonts w:hint="eastAsia" w:ascii="宋体"/>
          <w:sz w:val="21"/>
          <w:lang w:val="zh-CN"/>
        </w:rPr>
        <w:t>）以公允价值计量且其变动计入当期损益的金融资产</w:t>
      </w:r>
    </w:p>
    <w:p>
      <w:pPr>
        <w:autoSpaceDE w:val="0"/>
        <w:autoSpaceDN w:val="0"/>
        <w:adjustRightInd w:val="0"/>
        <w:spacing w:before="0" w:after="120"/>
        <w:ind w:firstLine="420"/>
        <w:rPr>
          <w:rFonts w:hint="eastAsia" w:ascii="宋体"/>
          <w:sz w:val="21"/>
          <w:lang w:val="zh-CN"/>
        </w:rPr>
      </w:pPr>
      <w:r>
        <w:rPr>
          <w:rFonts w:hint="eastAsia" w:ascii="宋体"/>
          <w:sz w:val="21"/>
          <w:lang w:val="zh-CN"/>
        </w:rPr>
        <w:t>上述以摊余成本计量的金融资产和以公允价值计量且其变动计入其他综合收益的金融资产之外的金融资产，分类为以公允价值计量且其变动计入当期损益的金融资产。在初始确认时，为了能够消除或显著减少会计错配，可以将金融资产指定为以公允价值计量且其变动计入当期损益的金融资产。对于此类金融资产，采用公允价值进行后续计量，所有公允价值变动计入当期损益。</w:t>
      </w:r>
    </w:p>
    <w:p>
      <w:pPr>
        <w:autoSpaceDE w:val="0"/>
        <w:autoSpaceDN w:val="0"/>
        <w:adjustRightInd w:val="0"/>
        <w:spacing w:before="0" w:after="120"/>
        <w:ind w:firstLine="420"/>
        <w:rPr>
          <w:rFonts w:hint="eastAsia" w:ascii="宋体"/>
          <w:sz w:val="21"/>
          <w:lang w:val="zh-CN"/>
        </w:rPr>
      </w:pPr>
      <w:r>
        <w:rPr>
          <w:rFonts w:hint="eastAsia" w:ascii="宋体"/>
          <w:sz w:val="21"/>
          <w:lang w:val="zh-CN"/>
        </w:rPr>
        <w:t>当且仅当本公司改变管理金融资产的业务模式时，才对所有受影响的相关金融资产进行重分类。</w:t>
      </w:r>
    </w:p>
    <w:p>
      <w:pPr>
        <w:autoSpaceDE w:val="0"/>
        <w:autoSpaceDN w:val="0"/>
        <w:adjustRightInd w:val="0"/>
        <w:spacing w:before="0" w:after="120"/>
        <w:ind w:firstLine="420"/>
        <w:rPr>
          <w:rFonts w:hint="eastAsia" w:ascii="宋体"/>
          <w:sz w:val="21"/>
          <w:lang w:val="zh-CN"/>
        </w:rPr>
      </w:pPr>
      <w:r>
        <w:rPr>
          <w:rFonts w:hint="eastAsia" w:ascii="宋体"/>
          <w:sz w:val="21"/>
          <w:lang w:val="zh-CN"/>
        </w:rPr>
        <w:t>对于以公允价值计量且其变动计入当期损益的金融资产，相关交易费用直接计入当期损益，其他类别的金融资产相关交易费用计入其初始确认金额。</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3</w:t>
      </w:r>
      <w:r>
        <w:rPr>
          <w:rFonts w:hint="eastAsia" w:ascii="宋体"/>
          <w:sz w:val="21"/>
          <w:lang w:val="zh-CN"/>
        </w:rPr>
        <w:t>、金融负债分类和计量</w:t>
      </w:r>
    </w:p>
    <w:p>
      <w:pPr>
        <w:autoSpaceDE w:val="0"/>
        <w:autoSpaceDN w:val="0"/>
        <w:adjustRightInd w:val="0"/>
        <w:spacing w:before="0" w:after="120"/>
        <w:ind w:firstLine="420"/>
        <w:rPr>
          <w:rFonts w:hint="eastAsia" w:ascii="宋体"/>
          <w:sz w:val="21"/>
          <w:lang w:val="zh-CN"/>
        </w:rPr>
      </w:pPr>
      <w:r>
        <w:rPr>
          <w:rFonts w:hint="eastAsia" w:ascii="宋体"/>
          <w:sz w:val="21"/>
          <w:lang w:val="zh-CN"/>
        </w:rPr>
        <w:t>本公司的金融负债于初始确认时分类为：以摊余成本计量的金融负债与以公允价值计量且其变动计入当期损益的金融负债。</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符合以下条件之一的金融负债可在初始计量时指定为以公允价值计量且其变动计入当期损益的金融负债：（</w:t>
      </w:r>
      <w:r>
        <w:rPr>
          <w:rFonts w:hint="default" w:eastAsia="Times New Roman"/>
          <w:sz w:val="21"/>
          <w:lang w:val="zh-CN"/>
        </w:rPr>
        <w:t>1</w:t>
      </w:r>
      <w:r>
        <w:rPr>
          <w:rFonts w:hint="eastAsia" w:ascii="宋体"/>
          <w:sz w:val="21"/>
          <w:lang w:val="zh-CN"/>
        </w:rPr>
        <w:t>）该项指定能够消除或显著减少会计错配；（</w:t>
      </w:r>
      <w:r>
        <w:rPr>
          <w:rFonts w:hint="default" w:eastAsia="Times New Roman"/>
          <w:sz w:val="21"/>
          <w:lang w:val="zh-CN"/>
        </w:rPr>
        <w:t>2</w:t>
      </w:r>
      <w:r>
        <w:rPr>
          <w:rFonts w:hint="eastAsia" w:ascii="宋体"/>
          <w:sz w:val="21"/>
          <w:lang w:val="zh-CN"/>
        </w:rPr>
        <w:t>）根据正式书面文件载明的公司风险管理或投资策略，以公允价值为基础对金融负债组合或金融资产和金融负债组合进行管理和业绩评价，并在公司内部以此为基础向关键管理人员报告；（</w:t>
      </w:r>
      <w:r>
        <w:rPr>
          <w:rFonts w:hint="default" w:eastAsia="Times New Roman"/>
          <w:sz w:val="21"/>
          <w:lang w:val="zh-CN"/>
        </w:rPr>
        <w:t>3</w:t>
      </w:r>
      <w:r>
        <w:rPr>
          <w:rFonts w:hint="eastAsia" w:ascii="宋体"/>
          <w:sz w:val="21"/>
          <w:lang w:val="zh-CN"/>
        </w:rPr>
        <w:t>）该金融负债包含需单独分拆的嵌入衍生工具。</w:t>
      </w:r>
    </w:p>
    <w:p>
      <w:pPr>
        <w:autoSpaceDE w:val="0"/>
        <w:autoSpaceDN w:val="0"/>
        <w:adjustRightInd w:val="0"/>
        <w:spacing w:before="0" w:after="120"/>
        <w:ind w:firstLine="420"/>
        <w:rPr>
          <w:rFonts w:hint="eastAsia" w:ascii="宋体"/>
          <w:sz w:val="21"/>
          <w:lang w:val="zh-CN"/>
        </w:rPr>
      </w:pPr>
      <w:r>
        <w:rPr>
          <w:rFonts w:hint="eastAsia" w:ascii="宋体"/>
          <w:sz w:val="21"/>
          <w:lang w:val="zh-CN"/>
        </w:rPr>
        <w:t>本公司在初始确认时确定金融负债的分类。对于以公允价值计量且其变动计入当期损益的金融负债，相关交易费用直接计入当期损益，其他金融负债的相关交易费用计入其初始确认金额。</w:t>
      </w:r>
    </w:p>
    <w:p>
      <w:pPr>
        <w:autoSpaceDE w:val="0"/>
        <w:autoSpaceDN w:val="0"/>
        <w:adjustRightInd w:val="0"/>
        <w:spacing w:before="0" w:after="120"/>
        <w:ind w:firstLine="420"/>
        <w:rPr>
          <w:rFonts w:hint="eastAsia" w:ascii="宋体"/>
          <w:sz w:val="21"/>
          <w:lang w:val="zh-CN"/>
        </w:rPr>
      </w:pPr>
      <w:r>
        <w:rPr>
          <w:rFonts w:hint="eastAsia" w:ascii="宋体"/>
          <w:sz w:val="21"/>
          <w:lang w:val="zh-CN"/>
        </w:rPr>
        <w:t>金融负债的后续计量取决于其分类：</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w:t>
      </w:r>
      <w:r>
        <w:rPr>
          <w:rFonts w:hint="default" w:eastAsia="Times New Roman"/>
          <w:sz w:val="21"/>
          <w:lang w:val="zh-CN"/>
        </w:rPr>
        <w:t>1</w:t>
      </w:r>
      <w:r>
        <w:rPr>
          <w:rFonts w:hint="eastAsia" w:ascii="宋体"/>
          <w:sz w:val="21"/>
          <w:lang w:val="zh-CN"/>
        </w:rPr>
        <w:t>）以摊余成本计量的金融负债</w:t>
      </w:r>
    </w:p>
    <w:p>
      <w:pPr>
        <w:autoSpaceDE w:val="0"/>
        <w:autoSpaceDN w:val="0"/>
        <w:adjustRightInd w:val="0"/>
        <w:spacing w:before="0" w:after="120"/>
        <w:ind w:firstLine="420"/>
        <w:rPr>
          <w:rFonts w:hint="eastAsia" w:ascii="宋体"/>
          <w:sz w:val="21"/>
          <w:lang w:val="zh-CN"/>
        </w:rPr>
      </w:pPr>
      <w:r>
        <w:rPr>
          <w:rFonts w:hint="eastAsia" w:ascii="宋体"/>
          <w:sz w:val="21"/>
          <w:lang w:val="zh-CN"/>
        </w:rPr>
        <w:t>对于此类金融负债，采用实际利率法，按照摊余成本进行后续计量。</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w:t>
      </w:r>
      <w:r>
        <w:rPr>
          <w:rFonts w:hint="default" w:eastAsia="Times New Roman"/>
          <w:sz w:val="21"/>
          <w:lang w:val="zh-CN"/>
        </w:rPr>
        <w:t>2</w:t>
      </w:r>
      <w:r>
        <w:rPr>
          <w:rFonts w:hint="eastAsia" w:ascii="宋体"/>
          <w:sz w:val="21"/>
          <w:lang w:val="zh-CN"/>
        </w:rPr>
        <w:t>）以公允价值计量且其变动计入当期损益的金融负债</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以公允价值计量且其变动计入当期损益的金融负债，包括交易性金融负债</w:t>
      </w:r>
      <w:r>
        <w:rPr>
          <w:rFonts w:hint="default" w:eastAsia="Times New Roman"/>
          <w:sz w:val="21"/>
          <w:lang w:val="zh-CN"/>
        </w:rPr>
        <w:t>(</w:t>
      </w:r>
      <w:r>
        <w:rPr>
          <w:rFonts w:hint="eastAsia" w:ascii="宋体"/>
          <w:sz w:val="21"/>
          <w:lang w:val="zh-CN"/>
        </w:rPr>
        <w:t>含属于金融负债的衍生工具</w:t>
      </w:r>
      <w:r>
        <w:rPr>
          <w:rFonts w:hint="default" w:eastAsia="Times New Roman"/>
          <w:sz w:val="21"/>
          <w:lang w:val="zh-CN"/>
        </w:rPr>
        <w:t>)</w:t>
      </w:r>
      <w:r>
        <w:rPr>
          <w:rFonts w:hint="eastAsia" w:ascii="宋体"/>
          <w:sz w:val="21"/>
          <w:lang w:val="zh-CN"/>
        </w:rPr>
        <w:t>和初始确认时指定为以公允价值计量且其变动计入当期损益的金融负债。</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4</w:t>
      </w:r>
      <w:r>
        <w:rPr>
          <w:rFonts w:hint="eastAsia" w:ascii="宋体"/>
          <w:sz w:val="21"/>
          <w:lang w:val="zh-CN"/>
        </w:rPr>
        <w:t>、金融工具抵销</w:t>
      </w:r>
    </w:p>
    <w:p>
      <w:pPr>
        <w:autoSpaceDE w:val="0"/>
        <w:autoSpaceDN w:val="0"/>
        <w:adjustRightInd w:val="0"/>
        <w:spacing w:before="0" w:after="120"/>
        <w:ind w:firstLine="420"/>
        <w:rPr>
          <w:rFonts w:hint="eastAsia" w:ascii="宋体"/>
          <w:sz w:val="21"/>
          <w:lang w:val="zh-CN"/>
        </w:rPr>
      </w:pPr>
      <w:r>
        <w:rPr>
          <w:rFonts w:hint="eastAsia" w:ascii="宋体"/>
          <w:sz w:val="21"/>
          <w:lang w:val="zh-CN"/>
        </w:rPr>
        <w:t>同时满足下列条件的，金融资产和金融负债以相互抵销后的净额在资产负债表内列示：具有抵销已确认金额的法定权利，且该种法定权利是当前可执行的；计划以净额结算，或同时变现该金融资产和清偿该金融负债。</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5</w:t>
      </w:r>
      <w:r>
        <w:rPr>
          <w:rFonts w:hint="eastAsia" w:ascii="宋体"/>
          <w:sz w:val="21"/>
          <w:lang w:val="zh-CN"/>
        </w:rPr>
        <w:t>、金融资产减值</w:t>
      </w:r>
    </w:p>
    <w:p>
      <w:pPr>
        <w:autoSpaceDE w:val="0"/>
        <w:autoSpaceDN w:val="0"/>
        <w:adjustRightInd w:val="0"/>
        <w:spacing w:before="0" w:after="120"/>
        <w:ind w:firstLine="420"/>
        <w:rPr>
          <w:rFonts w:hint="eastAsia" w:ascii="宋体"/>
          <w:sz w:val="21"/>
          <w:lang w:val="zh-CN"/>
        </w:rPr>
      </w:pPr>
      <w:r>
        <w:rPr>
          <w:rFonts w:hint="eastAsia" w:ascii="宋体"/>
          <w:sz w:val="21"/>
          <w:lang w:val="zh-CN"/>
        </w:rPr>
        <w:t>本公司对于以摊余成本计量的金融资产、以公允价值计量且其变动计入其他综合收益的债务工具投资和财务担保合同等，以预期信用损失为基础确认损失准备。信用损失，是指本公司按照原实际利率折现的、根据合同应收的所有合同现金流量与预期收取的所有现金流量之间的差额，即全部现金短缺的现值。</w:t>
      </w:r>
    </w:p>
    <w:p>
      <w:pPr>
        <w:autoSpaceDE w:val="0"/>
        <w:autoSpaceDN w:val="0"/>
        <w:adjustRightInd w:val="0"/>
        <w:spacing w:before="0" w:after="120"/>
        <w:ind w:firstLine="420"/>
        <w:rPr>
          <w:rFonts w:hint="eastAsia" w:ascii="宋体"/>
          <w:sz w:val="21"/>
          <w:lang w:val="zh-CN"/>
        </w:rPr>
      </w:pPr>
      <w:r>
        <w:rPr>
          <w:rFonts w:hint="eastAsia" w:ascii="宋体"/>
          <w:sz w:val="21"/>
          <w:lang w:val="zh-CN"/>
        </w:rPr>
        <w:t>本公司考虑所有合理且有依据的信息，包括前瞻性信息，以单项或组合的方式对以摊余成本计量的金融资产和以公允价值计量且其变动计入其他综合收益的金融资产（债务工具）的预期信用损失进行估计。</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1</w:t>
      </w:r>
      <w:r>
        <w:rPr>
          <w:rFonts w:hint="eastAsia" w:ascii="宋体"/>
          <w:sz w:val="21"/>
          <w:lang w:val="zh-CN"/>
        </w:rPr>
        <w:t>）预期信用损失一般模型</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如果该金融工具的信用风险自初始确认后已显著增加，本公司按照相当于该金融工具整个存续期内预期信用损失的金额计量其损失准备；如果该金融工具的信用风险自初始确认后并未显著增加，本公司按照相当于该金融工具未来</w:t>
      </w:r>
      <w:r>
        <w:rPr>
          <w:rFonts w:hint="default" w:eastAsia="Times New Roman"/>
          <w:sz w:val="21"/>
          <w:lang w:val="zh-CN"/>
        </w:rPr>
        <w:t>12</w:t>
      </w:r>
      <w:r>
        <w:rPr>
          <w:rFonts w:hint="eastAsia" w:ascii="宋体"/>
          <w:sz w:val="21"/>
          <w:lang w:val="zh-CN"/>
        </w:rPr>
        <w:t>个月内预期信用损失的金额计量其损失准备。由此形成的损失准备的增加或转回金额，作为减值损失或利得计入当期损益。本公司对信用风险的具体评估，详见附注</w:t>
      </w:r>
      <w:r>
        <w:rPr>
          <w:rFonts w:hint="default" w:eastAsia="Times New Roman"/>
          <w:sz w:val="21"/>
          <w:lang w:val="zh-CN"/>
        </w:rPr>
        <w:t>“</w:t>
      </w:r>
      <w:r>
        <w:rPr>
          <w:rFonts w:hint="eastAsia" w:ascii="宋体"/>
          <w:sz w:val="21"/>
          <w:lang w:val="zh-CN"/>
        </w:rPr>
        <w:t>九、与金融工具相关的风险</w:t>
      </w:r>
      <w:r>
        <w:rPr>
          <w:rFonts w:hint="default" w:eastAsia="Times New Roman"/>
          <w:sz w:val="21"/>
          <w:lang w:val="zh-CN"/>
        </w:rPr>
        <w:t>”</w:t>
      </w:r>
      <w:r>
        <w:rPr>
          <w:rFonts w:hint="eastAsia" w:ascii="宋体"/>
          <w:sz w:val="21"/>
          <w:lang w:val="zh-CN"/>
        </w:rPr>
        <w:t>。</w:t>
      </w:r>
    </w:p>
    <w:p>
      <w:pPr>
        <w:autoSpaceDE w:val="0"/>
        <w:autoSpaceDN w:val="0"/>
        <w:adjustRightInd w:val="0"/>
        <w:spacing w:before="0" w:after="120"/>
        <w:ind w:firstLine="420"/>
        <w:rPr>
          <w:rFonts w:hint="eastAsia" w:ascii="宋体"/>
          <w:sz w:val="21"/>
          <w:lang w:val="zh-CN"/>
        </w:rPr>
      </w:pPr>
      <w:r>
        <w:rPr>
          <w:rFonts w:hint="eastAsia" w:ascii="宋体"/>
          <w:sz w:val="21"/>
          <w:lang w:val="zh-CN"/>
        </w:rPr>
        <w:t>具体来说，本公司将购买或源生时未发生信用减值的金融工具发生信用减值的过程分为三个阶段，对于不同阶段的金融工具的减值有不同的会计处理方法：</w:t>
      </w:r>
    </w:p>
    <w:p>
      <w:pPr>
        <w:autoSpaceDE w:val="0"/>
        <w:autoSpaceDN w:val="0"/>
        <w:adjustRightInd w:val="0"/>
        <w:spacing w:before="0" w:after="120"/>
        <w:ind w:firstLine="420"/>
        <w:rPr>
          <w:rFonts w:hint="eastAsia" w:ascii="宋体"/>
          <w:sz w:val="21"/>
          <w:lang w:val="zh-CN"/>
        </w:rPr>
      </w:pPr>
      <w:r>
        <w:rPr>
          <w:rFonts w:hint="eastAsia" w:ascii="宋体"/>
          <w:sz w:val="21"/>
          <w:lang w:val="zh-CN"/>
        </w:rPr>
        <w:t>第一阶段：信用风险自初始确认后未显著增加</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对于处于该阶段的金融工具，企业应当按照未来</w:t>
      </w:r>
      <w:r>
        <w:rPr>
          <w:rFonts w:hint="default" w:eastAsia="Times New Roman"/>
          <w:sz w:val="21"/>
          <w:lang w:val="zh-CN"/>
        </w:rPr>
        <w:t>12</w:t>
      </w:r>
      <w:r>
        <w:rPr>
          <w:rFonts w:hint="eastAsia" w:ascii="宋体"/>
          <w:sz w:val="21"/>
          <w:lang w:val="zh-CN"/>
        </w:rPr>
        <w:t>个月的预期信用损失计量损失准备，并按其账面余额（即未扣除减值准备）和实际利率计算利息收入（若该工具为金融资产，下同）。</w:t>
      </w:r>
    </w:p>
    <w:p>
      <w:pPr>
        <w:autoSpaceDE w:val="0"/>
        <w:autoSpaceDN w:val="0"/>
        <w:adjustRightInd w:val="0"/>
        <w:spacing w:before="0" w:after="120"/>
        <w:ind w:firstLine="420"/>
        <w:rPr>
          <w:rFonts w:hint="eastAsia" w:ascii="宋体"/>
          <w:sz w:val="21"/>
          <w:lang w:val="zh-CN"/>
        </w:rPr>
      </w:pPr>
      <w:r>
        <w:rPr>
          <w:rFonts w:hint="eastAsia" w:ascii="宋体"/>
          <w:sz w:val="21"/>
          <w:lang w:val="zh-CN"/>
        </w:rPr>
        <w:t>第二阶段：信用风险自初始确认后己显著增加但尚未发生信用减值</w:t>
      </w:r>
    </w:p>
    <w:p>
      <w:pPr>
        <w:autoSpaceDE w:val="0"/>
        <w:autoSpaceDN w:val="0"/>
        <w:adjustRightInd w:val="0"/>
        <w:spacing w:before="0" w:after="120"/>
        <w:ind w:firstLine="420"/>
        <w:rPr>
          <w:rFonts w:hint="eastAsia" w:ascii="宋体"/>
          <w:sz w:val="21"/>
          <w:lang w:val="zh-CN"/>
        </w:rPr>
      </w:pPr>
      <w:r>
        <w:rPr>
          <w:rFonts w:hint="eastAsia" w:ascii="宋体"/>
          <w:sz w:val="21"/>
          <w:lang w:val="zh-CN"/>
        </w:rPr>
        <w:t>对于处于该阶段的金融工具，企业应当按照该工具整个存续期的预期信用损失计量损失准备，并按其账面余额和实际利率计算利息收入。</w:t>
      </w:r>
    </w:p>
    <w:p>
      <w:pPr>
        <w:autoSpaceDE w:val="0"/>
        <w:autoSpaceDN w:val="0"/>
        <w:adjustRightInd w:val="0"/>
        <w:spacing w:before="0" w:after="120"/>
        <w:ind w:firstLine="420"/>
        <w:rPr>
          <w:rFonts w:hint="eastAsia" w:ascii="宋体"/>
          <w:sz w:val="21"/>
          <w:lang w:val="zh-CN"/>
        </w:rPr>
      </w:pPr>
      <w:r>
        <w:rPr>
          <w:rFonts w:hint="eastAsia" w:ascii="宋体"/>
          <w:sz w:val="21"/>
          <w:lang w:val="zh-CN"/>
        </w:rPr>
        <w:t>第三阶段：初始确认后发生信用减值</w:t>
      </w:r>
    </w:p>
    <w:p>
      <w:pPr>
        <w:autoSpaceDE w:val="0"/>
        <w:autoSpaceDN w:val="0"/>
        <w:adjustRightInd w:val="0"/>
        <w:spacing w:before="0" w:after="120"/>
        <w:ind w:firstLine="420"/>
        <w:rPr>
          <w:rFonts w:hint="eastAsia" w:ascii="宋体"/>
          <w:sz w:val="21"/>
          <w:lang w:val="zh-CN"/>
        </w:rPr>
      </w:pPr>
      <w:r>
        <w:rPr>
          <w:rFonts w:hint="eastAsia" w:ascii="宋体"/>
          <w:sz w:val="21"/>
          <w:lang w:val="zh-CN"/>
        </w:rPr>
        <w:t>对于处于该阶段的金融工具，企业应当按照该工具整个存续期的预期信用损失计量损失准备，但对利息收入的计算不同于处于前两阶段的金融资产。对于已发生信用减值的金融资产，企业应当按其摊余成本（账面余额减已计提减值准备，也即账面价值）和实际利率计算利息收入。</w:t>
      </w:r>
    </w:p>
    <w:p>
      <w:pPr>
        <w:autoSpaceDE w:val="0"/>
        <w:autoSpaceDN w:val="0"/>
        <w:adjustRightInd w:val="0"/>
        <w:spacing w:before="0" w:after="120"/>
        <w:ind w:firstLine="420"/>
        <w:rPr>
          <w:rFonts w:hint="eastAsia" w:ascii="宋体"/>
          <w:sz w:val="21"/>
          <w:lang w:val="zh-CN"/>
        </w:rPr>
      </w:pPr>
      <w:r>
        <w:rPr>
          <w:rFonts w:hint="eastAsia" w:ascii="宋体"/>
          <w:sz w:val="21"/>
          <w:lang w:val="zh-CN"/>
        </w:rPr>
        <w:t>对于购买或源生时已发生信用减值的金融资产，企业应当仅将初始确认后整个存续期内预期信用损失的变动确认为损失准备，并按其摊余成本和经信用调整的实际利率计算利息收入。</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2</w:t>
      </w:r>
      <w:r>
        <w:rPr>
          <w:rFonts w:hint="eastAsia" w:ascii="宋体"/>
          <w:sz w:val="21"/>
          <w:lang w:val="zh-CN"/>
        </w:rPr>
        <w:t>）本公司对在资产负债表日具有较低信用风险的金融工具，选择不与其初始确认时的信用风险进行比较，而直接做出该工具的信用风险自初始确认后未显著增加的假定。</w:t>
      </w:r>
    </w:p>
    <w:p>
      <w:pPr>
        <w:autoSpaceDE w:val="0"/>
        <w:autoSpaceDN w:val="0"/>
        <w:adjustRightInd w:val="0"/>
        <w:spacing w:before="0" w:after="120"/>
        <w:ind w:firstLine="420"/>
        <w:rPr>
          <w:rFonts w:hint="eastAsia" w:ascii="宋体"/>
          <w:sz w:val="21"/>
          <w:lang w:val="zh-CN"/>
        </w:rPr>
      </w:pPr>
      <w:r>
        <w:rPr>
          <w:rFonts w:hint="eastAsia" w:ascii="宋体"/>
          <w:sz w:val="21"/>
          <w:lang w:val="zh-CN"/>
        </w:rPr>
        <w:t>如果本公司确定金融工具的违约风险较低，借款人在短期内履行其支付合同现金流量义务的能力很强，并且即使较长时期内经济形势和经营环境存在不利变化，也不一定会降低借款人履行其支付合同现金流量义务的能力，那么该金融工具可被视为具有较低的信用风险。</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3</w:t>
      </w:r>
      <w:r>
        <w:rPr>
          <w:rFonts w:hint="eastAsia" w:ascii="宋体"/>
          <w:sz w:val="21"/>
          <w:lang w:val="zh-CN"/>
        </w:rPr>
        <w:t>）应收款项及租赁应收款</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本公司对于《企业会计准则第</w:t>
      </w:r>
      <w:r>
        <w:rPr>
          <w:rFonts w:hint="default" w:eastAsia="Times New Roman"/>
          <w:sz w:val="21"/>
          <w:lang w:val="zh-CN"/>
        </w:rPr>
        <w:t>14</w:t>
      </w:r>
      <w:r>
        <w:rPr>
          <w:rFonts w:hint="eastAsia" w:ascii="宋体"/>
          <w:sz w:val="21"/>
          <w:lang w:val="zh-CN"/>
        </w:rPr>
        <w:t>号</w:t>
      </w:r>
      <w:r>
        <w:rPr>
          <w:rFonts w:hint="default" w:eastAsia="Times New Roman"/>
          <w:sz w:val="21"/>
          <w:lang w:val="zh-CN"/>
        </w:rPr>
        <w:t>——</w:t>
      </w:r>
      <w:r>
        <w:rPr>
          <w:rFonts w:hint="eastAsia" w:ascii="宋体"/>
          <w:sz w:val="21"/>
          <w:lang w:val="zh-CN"/>
        </w:rPr>
        <w:t>收入》所规定的、不含重大融资成分（包括根据该准则不考虑不超过一年的合同中融资成分的情况）的应收款项，采用预期信用损失的简化模型，始终按照整个存续期内预期信用损失的金额计量其损失准备。</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本公司对包含重大融资成分的应收款项和《企业会计准则第</w:t>
      </w:r>
      <w:r>
        <w:rPr>
          <w:rFonts w:hint="default" w:eastAsia="Times New Roman"/>
          <w:sz w:val="21"/>
          <w:lang w:val="zh-CN"/>
        </w:rPr>
        <w:t>21</w:t>
      </w:r>
      <w:r>
        <w:rPr>
          <w:rFonts w:hint="eastAsia" w:ascii="宋体"/>
          <w:sz w:val="21"/>
          <w:lang w:val="zh-CN"/>
        </w:rPr>
        <w:t>号</w:t>
      </w:r>
      <w:r>
        <w:rPr>
          <w:rFonts w:hint="default" w:eastAsia="Times New Roman"/>
          <w:sz w:val="21"/>
          <w:lang w:val="zh-CN"/>
        </w:rPr>
        <w:t>——</w:t>
      </w:r>
      <w:r>
        <w:rPr>
          <w:rFonts w:hint="eastAsia" w:ascii="宋体"/>
          <w:sz w:val="21"/>
          <w:lang w:val="zh-CN"/>
        </w:rPr>
        <w:t>租赁》规范的租赁应收款，本公司作出会计政策选择，选择采用预期信用损失的简化模型，即按照相当于整个存续期内预期信用损失的金额计量损失准备。</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6</w:t>
      </w:r>
      <w:r>
        <w:rPr>
          <w:rFonts w:hint="eastAsia" w:ascii="宋体"/>
          <w:sz w:val="21"/>
          <w:lang w:val="zh-CN"/>
        </w:rPr>
        <w:t>、金融资产转移</w:t>
      </w:r>
    </w:p>
    <w:p>
      <w:pPr>
        <w:autoSpaceDE w:val="0"/>
        <w:autoSpaceDN w:val="0"/>
        <w:adjustRightInd w:val="0"/>
        <w:spacing w:before="0" w:after="120"/>
        <w:ind w:firstLine="420"/>
        <w:rPr>
          <w:rFonts w:hint="eastAsia" w:ascii="宋体"/>
          <w:sz w:val="21"/>
          <w:lang w:val="zh-CN"/>
        </w:rPr>
      </w:pPr>
      <w:r>
        <w:rPr>
          <w:rFonts w:hint="eastAsia" w:ascii="宋体"/>
          <w:sz w:val="21"/>
          <w:lang w:val="zh-CN"/>
        </w:rPr>
        <w:t>本公司已将金融资产所有权上几乎所有的风险和报酬转移给转入方的，终止确认该金融资产；保留了金融资产所有权上几乎所有的风险和报酬的，不终止确认该金融资产。</w:t>
      </w:r>
    </w:p>
    <w:p>
      <w:pPr>
        <w:autoSpaceDE w:val="0"/>
        <w:autoSpaceDN w:val="0"/>
        <w:adjustRightInd w:val="0"/>
        <w:spacing w:before="0" w:after="120"/>
        <w:ind w:firstLine="420"/>
        <w:rPr>
          <w:rFonts w:hint="eastAsia" w:ascii="宋体"/>
          <w:sz w:val="21"/>
          <w:lang w:val="zh-CN"/>
        </w:rPr>
      </w:pPr>
      <w:r>
        <w:rPr>
          <w:rFonts w:hint="eastAsia" w:ascii="宋体"/>
          <w:sz w:val="21"/>
          <w:lang w:val="zh-CN"/>
        </w:rPr>
        <w:t>本公司既没有转移也没有保留金融资产所有权上几乎所有的风险和报酬的，分别下列情况处理：放弃了对该金融资产控制的，终止确认该金融资产并确认产生的资产和负债；未放弃对该金融资产控制的，按照其继续涉入所转移金融资产的程度确认有关金融资产，并相应确认有关负债。</w:t>
      </w:r>
    </w:p>
    <w:p>
      <w:pPr>
        <w:autoSpaceDE w:val="0"/>
        <w:autoSpaceDN w:val="0"/>
        <w:adjustRightInd w:val="0"/>
        <w:spacing w:before="0" w:after="120"/>
        <w:ind w:firstLine="420"/>
        <w:rPr>
          <w:rFonts w:hint="eastAsia" w:ascii="宋体"/>
          <w:sz w:val="21"/>
          <w:lang w:val="zh-CN"/>
        </w:rPr>
      </w:pPr>
      <w:r>
        <w:rPr>
          <w:rFonts w:hint="eastAsia" w:ascii="宋体"/>
          <w:sz w:val="21"/>
          <w:lang w:val="zh-CN"/>
        </w:rPr>
        <w:t>通过对所转移金融资产提供财务担保方式继续涉入的，按照金融资产的账面价值和财务担保金额两者之中的较低者，确认继续涉入形成的资产。财务担保金额，是指所收到的对价中，将被要求偿还的最高金额。</w:t>
      </w:r>
    </w:p>
    <w:p>
      <w:pPr>
        <w:pStyle w:val="8"/>
        <w:outlineLvl w:val="2"/>
        <w:rPr>
          <w:rFonts w:hint="default" w:eastAsia="Times New Roman"/>
          <w:sz w:val="21"/>
        </w:rPr>
      </w:pPr>
      <w:r>
        <w:rPr>
          <w:rFonts w:hint="default"/>
          <w:sz w:val="21"/>
        </w:rPr>
        <w:t>11</w:t>
      </w:r>
      <w:r>
        <w:rPr>
          <w:rFonts w:hint="eastAsia"/>
          <w:sz w:val="21"/>
        </w:rPr>
        <w:t>、应收票据</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本公司对于《企业会计准则第</w:t>
      </w:r>
      <w:r>
        <w:rPr>
          <w:rFonts w:hint="default" w:eastAsia="Times New Roman"/>
          <w:sz w:val="21"/>
          <w:lang w:val="zh-CN"/>
        </w:rPr>
        <w:t>14</w:t>
      </w:r>
      <w:r>
        <w:rPr>
          <w:rFonts w:hint="eastAsia" w:ascii="宋体"/>
          <w:sz w:val="21"/>
          <w:lang w:val="zh-CN"/>
        </w:rPr>
        <w:t>号</w:t>
      </w:r>
      <w:r>
        <w:rPr>
          <w:rFonts w:hint="default" w:eastAsia="Times New Roman"/>
          <w:sz w:val="21"/>
          <w:lang w:val="zh-CN"/>
        </w:rPr>
        <w:t>——</w:t>
      </w:r>
      <w:r>
        <w:rPr>
          <w:rFonts w:hint="eastAsia" w:ascii="宋体"/>
          <w:sz w:val="21"/>
          <w:lang w:val="zh-CN"/>
        </w:rPr>
        <w:t>收入》所规定的、不含重大融资成分（包括根据该准则不考虑不超过一年的合同中融资成分的情况）的应收款项，采用预期信用损失的简化模型，即始终按照整个存续期内预期信用损失的金额计量其损失准备，由此形成的损失准备的增加或转回金额，作为减值损失或利得计入当期损益。</w:t>
      </w:r>
    </w:p>
    <w:p>
      <w:pPr>
        <w:autoSpaceDE w:val="0"/>
        <w:autoSpaceDN w:val="0"/>
        <w:adjustRightInd w:val="0"/>
        <w:spacing w:before="0" w:after="120"/>
        <w:ind w:firstLine="420"/>
        <w:rPr>
          <w:rFonts w:hint="eastAsia" w:ascii="宋体"/>
          <w:sz w:val="21"/>
          <w:lang w:val="zh-CN"/>
        </w:rPr>
      </w:pPr>
      <w:r>
        <w:rPr>
          <w:rFonts w:hint="eastAsia" w:ascii="宋体"/>
          <w:sz w:val="21"/>
          <w:lang w:val="zh-CN"/>
        </w:rPr>
        <w:t>对于包含重大融资成分的应收款项，本公司选择采用预期信用损失的简化模型，即始终按照整个存续期内预期信用损失的金额计量其损失准备。</w:t>
      </w:r>
    </w:p>
    <w:p>
      <w:pPr>
        <w:autoSpaceDE w:val="0"/>
        <w:autoSpaceDN w:val="0"/>
        <w:adjustRightInd w:val="0"/>
        <w:spacing w:before="0" w:after="120"/>
        <w:ind w:firstLine="420"/>
        <w:rPr>
          <w:rFonts w:hint="eastAsia" w:ascii="宋体"/>
          <w:sz w:val="21"/>
          <w:lang w:val="zh-CN"/>
        </w:rPr>
      </w:pPr>
      <w:r>
        <w:rPr>
          <w:rFonts w:hint="eastAsia" w:ascii="宋体"/>
          <w:sz w:val="21"/>
          <w:lang w:val="zh-CN"/>
        </w:rPr>
        <w:t>预期信用损失的简化模型：始终按照整个存续期内预期信用损失的金额计量其损失准备。</w:t>
      </w:r>
    </w:p>
    <w:tbl>
      <w:tblPr>
        <w:tblStyle w:val="4"/>
        <w:tblW w:w="0" w:type="auto"/>
        <w:tblInd w:w="10" w:type="dxa"/>
        <w:tblBorders>
          <w:top w:val="single" w:color="auto" w:sz="6" w:space="0"/>
          <w:left w:val="none" w:color="auto" w:sz="0" w:space="0"/>
          <w:bottom w:val="none" w:color="auto" w:sz="0" w:space="0"/>
          <w:right w:val="none" w:color="auto" w:sz="0" w:space="0"/>
          <w:insideH w:val="single" w:color="auto" w:sz="6" w:space="0"/>
          <w:insideV w:val="none" w:color="auto" w:sz="0" w:space="0"/>
        </w:tblBorders>
        <w:tblLayout w:type="fixed"/>
        <w:tblCellMar>
          <w:top w:w="10" w:type="dxa"/>
          <w:left w:w="10" w:type="dxa"/>
          <w:bottom w:w="10" w:type="dxa"/>
          <w:right w:w="10" w:type="dxa"/>
        </w:tblCellMar>
      </w:tblPr>
      <w:tblGrid>
        <w:gridCol w:w="1808"/>
        <w:gridCol w:w="1701"/>
        <w:gridCol w:w="5286"/>
      </w:tblGrid>
      <w:tr>
        <w:tblPrEx>
          <w:tblBorders>
            <w:top w:val="single" w:color="auto" w:sz="6" w:space="0"/>
            <w:left w:val="none" w:color="auto" w:sz="0" w:space="0"/>
            <w:bottom w:val="none" w:color="auto" w:sz="0" w:space="0"/>
            <w:right w:val="none" w:color="auto" w:sz="0" w:space="0"/>
            <w:insideH w:val="single" w:color="auto" w:sz="6" w:space="0"/>
            <w:insideV w:val="none" w:color="auto" w:sz="0" w:space="0"/>
          </w:tblBorders>
          <w:tblCellMar>
            <w:top w:w="10" w:type="dxa"/>
            <w:left w:w="10" w:type="dxa"/>
            <w:bottom w:w="10" w:type="dxa"/>
            <w:right w:w="10" w:type="dxa"/>
          </w:tblCellMar>
        </w:tblPrEx>
        <w:tc>
          <w:tcPr>
            <w:tcW w:w="1808" w:type="dxa"/>
            <w:tcBorders>
              <w:top w:val="single" w:color="auto" w:sz="6" w:space="0"/>
              <w:left w:val="nil"/>
              <w:bottom w:val="nil"/>
              <w:right w:val="nil"/>
              <w:tl2br w:val="nil"/>
              <w:tr2bl w:val="nil"/>
            </w:tcBorders>
            <w:noWrap w:val="0"/>
            <w:vAlign w:val="top"/>
          </w:tcPr>
          <w:p>
            <w:pPr>
              <w:autoSpaceDE w:val="0"/>
              <w:autoSpaceDN w:val="0"/>
              <w:adjustRightInd w:val="0"/>
              <w:spacing w:before="0" w:after="0"/>
              <w:jc w:val="center"/>
              <w:rPr>
                <w:rFonts w:hint="default" w:eastAsia="Times New Roman"/>
                <w:b/>
                <w:sz w:val="18"/>
                <w:lang w:val="zh-CN"/>
              </w:rPr>
            </w:pPr>
            <w:r>
              <w:rPr>
                <w:rFonts w:hint="eastAsia" w:ascii="宋体"/>
                <w:b/>
                <w:sz w:val="18"/>
                <w:lang w:val="zh-CN"/>
              </w:rPr>
              <w:t>项</w:t>
            </w:r>
            <w:r>
              <w:rPr>
                <w:rFonts w:hint="default" w:eastAsia="Times New Roman"/>
                <w:b/>
                <w:sz w:val="18"/>
                <w:lang w:val="zh-CN"/>
              </w:rPr>
              <w:t xml:space="preserve">  </w:t>
            </w:r>
            <w:r>
              <w:rPr>
                <w:rFonts w:hint="eastAsia" w:ascii="宋体"/>
                <w:b/>
                <w:sz w:val="18"/>
                <w:lang w:val="zh-CN"/>
              </w:rPr>
              <w:t>目</w:t>
            </w:r>
          </w:p>
        </w:tc>
        <w:tc>
          <w:tcPr>
            <w:tcW w:w="1701" w:type="dxa"/>
            <w:tcBorders>
              <w:top w:val="single" w:color="auto" w:sz="6" w:space="0"/>
              <w:left w:val="nil"/>
              <w:bottom w:val="nil"/>
              <w:right w:val="nil"/>
              <w:tl2br w:val="nil"/>
              <w:tr2bl w:val="nil"/>
            </w:tcBorders>
            <w:noWrap w:val="0"/>
            <w:vAlign w:val="top"/>
          </w:tcPr>
          <w:p>
            <w:pPr>
              <w:autoSpaceDE w:val="0"/>
              <w:autoSpaceDN w:val="0"/>
              <w:adjustRightInd w:val="0"/>
              <w:spacing w:before="0" w:after="0"/>
              <w:jc w:val="center"/>
              <w:rPr>
                <w:rFonts w:hint="eastAsia" w:ascii="宋体"/>
                <w:b/>
                <w:sz w:val="18"/>
                <w:lang w:val="zh-CN"/>
              </w:rPr>
            </w:pPr>
            <w:r>
              <w:rPr>
                <w:rFonts w:hint="eastAsia" w:ascii="宋体"/>
                <w:b/>
                <w:sz w:val="18"/>
                <w:lang w:val="zh-CN"/>
              </w:rPr>
              <w:t>确定组合的依据</w:t>
            </w:r>
          </w:p>
        </w:tc>
        <w:tc>
          <w:tcPr>
            <w:tcW w:w="5286" w:type="dxa"/>
            <w:tcBorders>
              <w:top w:val="single" w:color="auto" w:sz="6" w:space="0"/>
              <w:left w:val="nil"/>
              <w:bottom w:val="nil"/>
              <w:right w:val="nil"/>
              <w:tl2br w:val="nil"/>
              <w:tr2bl w:val="nil"/>
            </w:tcBorders>
            <w:noWrap w:val="0"/>
            <w:vAlign w:val="top"/>
          </w:tcPr>
          <w:p>
            <w:pPr>
              <w:autoSpaceDE w:val="0"/>
              <w:autoSpaceDN w:val="0"/>
              <w:adjustRightInd w:val="0"/>
              <w:spacing w:before="0" w:after="0"/>
              <w:jc w:val="center"/>
              <w:rPr>
                <w:rFonts w:hint="eastAsia" w:ascii="宋体"/>
                <w:b/>
                <w:sz w:val="18"/>
                <w:lang w:val="zh-CN"/>
              </w:rPr>
            </w:pPr>
            <w:r>
              <w:rPr>
                <w:rFonts w:hint="eastAsia" w:ascii="宋体"/>
                <w:b/>
                <w:sz w:val="18"/>
                <w:lang w:val="zh-CN"/>
              </w:rPr>
              <w:t>计量预期信用损失的方法</w:t>
            </w:r>
          </w:p>
        </w:tc>
      </w:tr>
      <w:tr>
        <w:tblPrEx>
          <w:tblBorders>
            <w:top w:val="single" w:color="auto" w:sz="6" w:space="0"/>
            <w:left w:val="none" w:color="auto" w:sz="0" w:space="0"/>
            <w:bottom w:val="none" w:color="auto" w:sz="0" w:space="0"/>
            <w:right w:val="none" w:color="auto" w:sz="0" w:space="0"/>
            <w:insideH w:val="single" w:color="auto" w:sz="6" w:space="0"/>
            <w:insideV w:val="none" w:color="auto" w:sz="0" w:space="0"/>
          </w:tblBorders>
          <w:tblCellMar>
            <w:top w:w="10" w:type="dxa"/>
            <w:left w:w="10" w:type="dxa"/>
            <w:bottom w:w="10" w:type="dxa"/>
            <w:right w:w="10" w:type="dxa"/>
          </w:tblCellMar>
        </w:tblPrEx>
        <w:tc>
          <w:tcPr>
            <w:tcW w:w="1808" w:type="dxa"/>
            <w:tcBorders>
              <w:top w:val="single" w:color="auto" w:sz="6" w:space="0"/>
              <w:left w:val="nil"/>
              <w:bottom w:val="nil"/>
              <w:right w:val="nil"/>
              <w:tl2br w:val="nil"/>
              <w:tr2bl w:val="nil"/>
            </w:tcBorders>
            <w:noWrap w:val="0"/>
            <w:vAlign w:val="top"/>
          </w:tcPr>
          <w:p>
            <w:pPr>
              <w:autoSpaceDE w:val="0"/>
              <w:autoSpaceDN w:val="0"/>
              <w:adjustRightInd w:val="0"/>
              <w:spacing w:before="0" w:after="0"/>
              <w:rPr>
                <w:rFonts w:hint="default" w:eastAsia="Times New Roman"/>
                <w:sz w:val="18"/>
                <w:lang w:val="zh-CN"/>
              </w:rPr>
            </w:pPr>
            <w:r>
              <w:rPr>
                <w:rFonts w:hint="eastAsia" w:ascii="宋体"/>
                <w:sz w:val="18"/>
                <w:lang w:val="zh-CN"/>
              </w:rPr>
              <w:t>应收票据</w:t>
            </w:r>
            <w:r>
              <w:rPr>
                <w:rFonts w:hint="default" w:eastAsia="Times New Roman"/>
                <w:sz w:val="18"/>
                <w:lang w:val="zh-CN"/>
              </w:rPr>
              <w:t>—</w:t>
            </w:r>
            <w:r>
              <w:rPr>
                <w:rFonts w:hint="eastAsia" w:ascii="宋体"/>
                <w:sz w:val="18"/>
                <w:lang w:val="zh-CN"/>
              </w:rPr>
              <w:t>银行</w:t>
            </w:r>
          </w:p>
          <w:p>
            <w:pPr>
              <w:autoSpaceDE w:val="0"/>
              <w:autoSpaceDN w:val="0"/>
              <w:adjustRightInd w:val="0"/>
              <w:spacing w:before="0" w:after="0"/>
              <w:rPr>
                <w:rFonts w:hint="eastAsia" w:ascii="宋体"/>
                <w:sz w:val="18"/>
                <w:lang w:val="zh-CN"/>
              </w:rPr>
            </w:pPr>
            <w:r>
              <w:rPr>
                <w:rFonts w:hint="eastAsia" w:ascii="宋体"/>
                <w:sz w:val="18"/>
                <w:lang w:val="zh-CN"/>
              </w:rPr>
              <w:t>承兑汇票</w:t>
            </w:r>
          </w:p>
        </w:tc>
        <w:tc>
          <w:tcPr>
            <w:tcW w:w="1701" w:type="dxa"/>
            <w:tcBorders>
              <w:top w:val="single" w:color="auto" w:sz="6" w:space="0"/>
              <w:left w:val="nil"/>
              <w:bottom w:val="nil"/>
              <w:right w:val="nil"/>
              <w:tl2br w:val="nil"/>
              <w:tr2bl w:val="nil"/>
            </w:tcBorders>
            <w:noWrap w:val="0"/>
            <w:vAlign w:val="top"/>
          </w:tcPr>
          <w:p>
            <w:pPr>
              <w:autoSpaceDE w:val="0"/>
              <w:autoSpaceDN w:val="0"/>
              <w:adjustRightInd w:val="0"/>
              <w:spacing w:before="0" w:after="0"/>
              <w:jc w:val="center"/>
              <w:rPr>
                <w:rFonts w:hint="eastAsia" w:ascii="宋体"/>
                <w:sz w:val="18"/>
                <w:lang w:val="zh-CN"/>
              </w:rPr>
            </w:pPr>
            <w:r>
              <w:rPr>
                <w:rFonts w:hint="eastAsia" w:ascii="宋体"/>
                <w:sz w:val="18"/>
                <w:lang w:val="zh-CN"/>
              </w:rPr>
              <w:t>票据承兑人</w:t>
            </w:r>
          </w:p>
        </w:tc>
        <w:tc>
          <w:tcPr>
            <w:tcW w:w="5286" w:type="dxa"/>
            <w:tcBorders>
              <w:top w:val="single" w:color="auto" w:sz="6" w:space="0"/>
              <w:left w:val="nil"/>
              <w:bottom w:val="nil"/>
              <w:right w:val="nil"/>
              <w:tl2br w:val="nil"/>
              <w:tr2bl w:val="nil"/>
            </w:tcBorders>
            <w:noWrap w:val="0"/>
            <w:vAlign w:val="top"/>
          </w:tcPr>
          <w:p>
            <w:pPr>
              <w:autoSpaceDE w:val="0"/>
              <w:autoSpaceDN w:val="0"/>
              <w:adjustRightInd w:val="0"/>
              <w:spacing w:before="0" w:after="0"/>
              <w:rPr>
                <w:rFonts w:hint="eastAsia" w:ascii="宋体"/>
                <w:sz w:val="18"/>
                <w:lang w:val="zh-CN"/>
              </w:rPr>
            </w:pPr>
            <w:r>
              <w:rPr>
                <w:rFonts w:hint="eastAsia" w:ascii="宋体"/>
                <w:sz w:val="18"/>
                <w:lang w:val="zh-CN"/>
              </w:rPr>
              <w:t>本公司考虑所有合理且有依据的信息，包括历史信用损失经验，并考虑前瞻性信息结合当前状况以及未来经济情况的预测，通过违约风险敞口和整个存续期信用损失率，以单项或组合的方式对预期信用损失进行估计。</w:t>
            </w:r>
          </w:p>
        </w:tc>
      </w:tr>
      <w:tr>
        <w:tblPrEx>
          <w:tblBorders>
            <w:top w:val="single" w:color="auto" w:sz="6" w:space="0"/>
            <w:left w:val="none" w:color="auto" w:sz="0" w:space="0"/>
            <w:bottom w:val="none" w:color="auto" w:sz="0" w:space="0"/>
            <w:right w:val="none" w:color="auto" w:sz="0" w:space="0"/>
            <w:insideH w:val="single" w:color="auto" w:sz="6" w:space="0"/>
            <w:insideV w:val="none" w:color="auto" w:sz="0" w:space="0"/>
          </w:tblBorders>
          <w:tblCellMar>
            <w:top w:w="10" w:type="dxa"/>
            <w:left w:w="10" w:type="dxa"/>
            <w:bottom w:w="10" w:type="dxa"/>
            <w:right w:w="10" w:type="dxa"/>
          </w:tblCellMar>
        </w:tblPrEx>
        <w:tc>
          <w:tcPr>
            <w:tcW w:w="1808" w:type="dxa"/>
            <w:tcBorders>
              <w:top w:val="single" w:color="auto" w:sz="6" w:space="0"/>
              <w:left w:val="nil"/>
              <w:bottom w:val="nil"/>
              <w:right w:val="nil"/>
              <w:tl2br w:val="nil"/>
              <w:tr2bl w:val="nil"/>
            </w:tcBorders>
            <w:noWrap w:val="0"/>
            <w:vAlign w:val="top"/>
          </w:tcPr>
          <w:p>
            <w:pPr>
              <w:autoSpaceDE w:val="0"/>
              <w:autoSpaceDN w:val="0"/>
              <w:adjustRightInd w:val="0"/>
              <w:spacing w:before="0" w:after="0"/>
              <w:rPr>
                <w:rFonts w:hint="default" w:eastAsia="Times New Roman"/>
                <w:sz w:val="18"/>
                <w:lang w:val="zh-CN"/>
              </w:rPr>
            </w:pPr>
            <w:r>
              <w:rPr>
                <w:rFonts w:hint="eastAsia" w:ascii="宋体"/>
                <w:sz w:val="18"/>
                <w:lang w:val="zh-CN"/>
              </w:rPr>
              <w:t>应收票据</w:t>
            </w:r>
            <w:r>
              <w:rPr>
                <w:rFonts w:hint="default" w:eastAsia="Times New Roman"/>
                <w:sz w:val="18"/>
                <w:lang w:val="zh-CN"/>
              </w:rPr>
              <w:t>—</w:t>
            </w:r>
            <w:r>
              <w:rPr>
                <w:rFonts w:hint="eastAsia" w:ascii="宋体"/>
                <w:sz w:val="18"/>
                <w:lang w:val="zh-CN"/>
              </w:rPr>
              <w:t>商业</w:t>
            </w:r>
          </w:p>
          <w:p>
            <w:pPr>
              <w:autoSpaceDE w:val="0"/>
              <w:autoSpaceDN w:val="0"/>
              <w:adjustRightInd w:val="0"/>
              <w:spacing w:before="0" w:after="0"/>
              <w:rPr>
                <w:rFonts w:hint="eastAsia" w:ascii="宋体"/>
                <w:sz w:val="18"/>
                <w:lang w:val="zh-CN"/>
              </w:rPr>
            </w:pPr>
            <w:r>
              <w:rPr>
                <w:rFonts w:hint="eastAsia" w:ascii="宋体"/>
                <w:sz w:val="18"/>
                <w:lang w:val="zh-CN"/>
              </w:rPr>
              <w:t>承兑汇票</w:t>
            </w:r>
          </w:p>
        </w:tc>
        <w:tc>
          <w:tcPr>
            <w:tcW w:w="1701" w:type="dxa"/>
            <w:tcBorders>
              <w:top w:val="single" w:color="auto" w:sz="6" w:space="0"/>
              <w:left w:val="nil"/>
              <w:bottom w:val="nil"/>
              <w:right w:val="nil"/>
              <w:tl2br w:val="nil"/>
              <w:tr2bl w:val="nil"/>
            </w:tcBorders>
            <w:noWrap w:val="0"/>
            <w:vAlign w:val="top"/>
          </w:tcPr>
          <w:p>
            <w:pPr>
              <w:autoSpaceDE w:val="0"/>
              <w:autoSpaceDN w:val="0"/>
              <w:adjustRightInd w:val="0"/>
              <w:spacing w:before="0" w:after="0"/>
              <w:jc w:val="center"/>
              <w:rPr>
                <w:rFonts w:hint="eastAsia" w:ascii="宋体"/>
                <w:sz w:val="18"/>
                <w:lang w:val="zh-CN"/>
              </w:rPr>
            </w:pPr>
            <w:r>
              <w:rPr>
                <w:rFonts w:hint="eastAsia" w:ascii="宋体"/>
                <w:sz w:val="18"/>
                <w:lang w:val="zh-CN"/>
              </w:rPr>
              <w:t>票据承兑人</w:t>
            </w:r>
          </w:p>
        </w:tc>
        <w:tc>
          <w:tcPr>
            <w:tcW w:w="5286" w:type="dxa"/>
            <w:tcBorders>
              <w:top w:val="single" w:color="auto" w:sz="6" w:space="0"/>
              <w:left w:val="nil"/>
              <w:bottom w:val="nil"/>
              <w:right w:val="nil"/>
              <w:tl2br w:val="nil"/>
              <w:tr2bl w:val="nil"/>
            </w:tcBorders>
            <w:noWrap w:val="0"/>
            <w:vAlign w:val="top"/>
          </w:tcPr>
          <w:p>
            <w:pPr>
              <w:autoSpaceDE w:val="0"/>
              <w:autoSpaceDN w:val="0"/>
              <w:adjustRightInd w:val="0"/>
              <w:spacing w:before="0" w:after="0"/>
              <w:rPr>
                <w:rFonts w:hint="eastAsia" w:ascii="宋体"/>
                <w:sz w:val="18"/>
                <w:lang w:val="zh-CN"/>
              </w:rPr>
            </w:pPr>
            <w:r>
              <w:rPr>
                <w:rFonts w:hint="eastAsia" w:ascii="宋体"/>
                <w:sz w:val="18"/>
                <w:lang w:val="zh-CN"/>
              </w:rPr>
              <w:t>参考历史信用损失经验，并考虑前瞻性信息结合当前状况以及对未来经济状况的预测，通过违约风险敞口和整个存续期信用损失率计算预期信用损失进行估计。</w:t>
            </w:r>
          </w:p>
        </w:tc>
      </w:tr>
    </w:tbl>
    <w:p>
      <w:pPr>
        <w:pStyle w:val="8"/>
        <w:outlineLvl w:val="2"/>
        <w:rPr>
          <w:rFonts w:hint="default" w:eastAsia="Times New Roman"/>
          <w:sz w:val="21"/>
        </w:rPr>
      </w:pPr>
      <w:r>
        <w:rPr>
          <w:rFonts w:hint="default"/>
          <w:sz w:val="21"/>
        </w:rPr>
        <w:t>12</w:t>
      </w:r>
      <w:r>
        <w:rPr>
          <w:rFonts w:hint="eastAsia"/>
          <w:sz w:val="21"/>
        </w:rPr>
        <w:t>、应收账款</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本公司对于《企业会计准则第</w:t>
      </w:r>
      <w:r>
        <w:rPr>
          <w:rFonts w:hint="default" w:eastAsia="Times New Roman"/>
          <w:sz w:val="21"/>
          <w:lang w:val="zh-CN"/>
        </w:rPr>
        <w:t>14</w:t>
      </w:r>
      <w:r>
        <w:rPr>
          <w:rFonts w:hint="eastAsia" w:ascii="宋体"/>
          <w:sz w:val="21"/>
          <w:lang w:val="zh-CN"/>
        </w:rPr>
        <w:t>号</w:t>
      </w:r>
      <w:r>
        <w:rPr>
          <w:rFonts w:hint="default" w:eastAsia="Times New Roman"/>
          <w:sz w:val="21"/>
          <w:lang w:val="zh-CN"/>
        </w:rPr>
        <w:t>——</w:t>
      </w:r>
      <w:r>
        <w:rPr>
          <w:rFonts w:hint="eastAsia" w:ascii="宋体"/>
          <w:sz w:val="21"/>
          <w:lang w:val="zh-CN"/>
        </w:rPr>
        <w:t>收入》所规定的、不含重大融资成分（包括根据该准则不考虑不超过一年的合同中融资成分的情况）的应收款项，采用预期信用损失的简化模型，即始终按照整个存续期内预期信用损失的金额计量其损失准备，由此形成的损失准备的增加或转回金额，作为减值损失或利得计入当期损益。</w:t>
      </w:r>
    </w:p>
    <w:p>
      <w:pPr>
        <w:autoSpaceDE w:val="0"/>
        <w:autoSpaceDN w:val="0"/>
        <w:adjustRightInd w:val="0"/>
        <w:spacing w:before="0" w:after="120"/>
        <w:ind w:firstLine="420"/>
        <w:rPr>
          <w:rFonts w:hint="eastAsia" w:ascii="宋体"/>
          <w:sz w:val="21"/>
          <w:lang w:val="zh-CN"/>
        </w:rPr>
      </w:pPr>
      <w:r>
        <w:rPr>
          <w:rFonts w:hint="eastAsia" w:ascii="宋体"/>
          <w:sz w:val="21"/>
          <w:lang w:val="zh-CN"/>
        </w:rPr>
        <w:t>对于包含重大融资成分的应收款项，本公司选择采用预期信用损失的简化模型，即始终按照整个存续期内预期信用损失的金额计量其损失准备。</w:t>
      </w:r>
    </w:p>
    <w:p>
      <w:pPr>
        <w:autoSpaceDE w:val="0"/>
        <w:autoSpaceDN w:val="0"/>
        <w:adjustRightInd w:val="0"/>
        <w:spacing w:before="0" w:after="120"/>
        <w:ind w:firstLine="420"/>
        <w:rPr>
          <w:rFonts w:hint="eastAsia" w:ascii="宋体"/>
          <w:sz w:val="21"/>
          <w:lang w:val="zh-CN"/>
        </w:rPr>
      </w:pPr>
      <w:r>
        <w:rPr>
          <w:rFonts w:hint="eastAsia" w:ascii="宋体"/>
          <w:sz w:val="21"/>
          <w:lang w:val="zh-CN"/>
        </w:rPr>
        <w:t>预期信用损失的简化模型：始终按照整个存续期内预期信用损失的金额计量其损失准备</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1</w:t>
      </w:r>
      <w:r>
        <w:rPr>
          <w:rFonts w:hint="eastAsia" w:ascii="宋体"/>
          <w:sz w:val="21"/>
          <w:lang w:val="zh-CN"/>
        </w:rPr>
        <w:t>、按组合计量预期信用损失的应收款项</w:t>
      </w:r>
    </w:p>
    <w:tbl>
      <w:tblPr>
        <w:tblStyle w:val="4"/>
        <w:tblW w:w="0" w:type="auto"/>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
      <w:tblGrid>
        <w:gridCol w:w="1820"/>
        <w:gridCol w:w="1821"/>
        <w:gridCol w:w="51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 w:type="dxa"/>
            <w:left w:w="10" w:type="dxa"/>
            <w:bottom w:w="10" w:type="dxa"/>
            <w:right w:w="10" w:type="dxa"/>
          </w:tblCellMar>
        </w:tblPrEx>
        <w:tc>
          <w:tcPr>
            <w:tcW w:w="18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after="0"/>
              <w:jc w:val="center"/>
              <w:rPr>
                <w:rFonts w:hint="default" w:eastAsia="Times New Roman"/>
                <w:b/>
                <w:sz w:val="18"/>
                <w:lang w:val="zh-CN"/>
              </w:rPr>
            </w:pPr>
            <w:r>
              <w:rPr>
                <w:rFonts w:hint="eastAsia" w:ascii="宋体"/>
                <w:b/>
                <w:sz w:val="18"/>
                <w:lang w:val="zh-CN"/>
              </w:rPr>
              <w:t>项</w:t>
            </w:r>
            <w:r>
              <w:rPr>
                <w:rFonts w:hint="default" w:eastAsia="Times New Roman"/>
                <w:b/>
                <w:sz w:val="18"/>
                <w:lang w:val="zh-CN"/>
              </w:rPr>
              <w:t xml:space="preserve">  </w:t>
            </w:r>
            <w:r>
              <w:rPr>
                <w:rFonts w:hint="eastAsia" w:ascii="宋体"/>
                <w:b/>
                <w:sz w:val="18"/>
                <w:lang w:val="zh-CN"/>
              </w:rPr>
              <w:t>目</w:t>
            </w:r>
          </w:p>
        </w:tc>
        <w:tc>
          <w:tcPr>
            <w:tcW w:w="1821"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after="0"/>
              <w:jc w:val="center"/>
              <w:rPr>
                <w:rFonts w:hint="eastAsia" w:ascii="宋体"/>
                <w:b/>
                <w:sz w:val="18"/>
                <w:lang w:val="zh-CN"/>
              </w:rPr>
            </w:pPr>
            <w:r>
              <w:rPr>
                <w:rFonts w:hint="eastAsia" w:ascii="宋体"/>
                <w:b/>
                <w:sz w:val="18"/>
                <w:lang w:val="zh-CN"/>
              </w:rPr>
              <w:t>确定组合的依据</w:t>
            </w:r>
          </w:p>
        </w:tc>
        <w:tc>
          <w:tcPr>
            <w:tcW w:w="5154"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after="0"/>
              <w:jc w:val="center"/>
              <w:rPr>
                <w:rFonts w:hint="eastAsia" w:ascii="宋体"/>
                <w:b/>
                <w:sz w:val="18"/>
                <w:lang w:val="zh-CN"/>
              </w:rPr>
            </w:pPr>
            <w:r>
              <w:rPr>
                <w:rFonts w:hint="eastAsia" w:ascii="宋体"/>
                <w:b/>
                <w:sz w:val="18"/>
                <w:lang w:val="zh-CN"/>
              </w:rPr>
              <w:t>计量预期信用损失的方法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 w:type="dxa"/>
            <w:left w:w="10" w:type="dxa"/>
            <w:bottom w:w="10" w:type="dxa"/>
            <w:right w:w="10" w:type="dxa"/>
          </w:tblCellMar>
        </w:tblPrEx>
        <w:tc>
          <w:tcPr>
            <w:tcW w:w="18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after="0"/>
              <w:rPr>
                <w:rFonts w:hint="default" w:eastAsia="Times New Roman"/>
                <w:sz w:val="18"/>
                <w:lang w:val="zh-CN"/>
              </w:rPr>
            </w:pPr>
            <w:r>
              <w:rPr>
                <w:rFonts w:hint="eastAsia" w:ascii="宋体"/>
                <w:sz w:val="18"/>
                <w:lang w:val="zh-CN"/>
              </w:rPr>
              <w:t>应收账款</w:t>
            </w:r>
            <w:r>
              <w:rPr>
                <w:rFonts w:hint="default" w:eastAsia="Times New Roman"/>
                <w:sz w:val="18"/>
                <w:lang w:val="zh-CN"/>
              </w:rPr>
              <w:t>-</w:t>
            </w:r>
            <w:r>
              <w:rPr>
                <w:rFonts w:hint="eastAsia" w:ascii="宋体"/>
                <w:sz w:val="18"/>
                <w:lang w:val="zh-CN"/>
              </w:rPr>
              <w:t>信用风险特征组合</w:t>
            </w:r>
          </w:p>
        </w:tc>
        <w:tc>
          <w:tcPr>
            <w:tcW w:w="1821"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after="0"/>
              <w:jc w:val="center"/>
              <w:rPr>
                <w:rFonts w:hint="eastAsia" w:ascii="宋体"/>
                <w:sz w:val="18"/>
                <w:lang w:val="zh-CN"/>
              </w:rPr>
            </w:pPr>
            <w:r>
              <w:rPr>
                <w:rFonts w:hint="eastAsia" w:ascii="宋体"/>
                <w:sz w:val="18"/>
                <w:lang w:val="zh-CN"/>
              </w:rPr>
              <w:t>账龄组合</w:t>
            </w:r>
          </w:p>
        </w:tc>
        <w:tc>
          <w:tcPr>
            <w:tcW w:w="5154"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after="0"/>
              <w:rPr>
                <w:rFonts w:hint="eastAsia" w:ascii="宋体"/>
                <w:sz w:val="18"/>
                <w:lang w:val="zh-CN"/>
              </w:rPr>
            </w:pPr>
            <w:r>
              <w:rPr>
                <w:rFonts w:hint="eastAsia" w:ascii="宋体"/>
                <w:sz w:val="18"/>
                <w:lang w:val="zh-CN"/>
              </w:rPr>
              <w:t>参考历史信用损失经验，并考虑前瞻性信息结合当前状况以及对未来经济状况的预测，通过违约风险敞口和整个存续期信用损失率计算预期信用损失进行估计。</w:t>
            </w:r>
          </w:p>
        </w:tc>
      </w:tr>
    </w:tbl>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2</w:t>
      </w:r>
      <w:r>
        <w:rPr>
          <w:rFonts w:hint="eastAsia" w:ascii="宋体"/>
          <w:sz w:val="21"/>
          <w:lang w:val="zh-CN"/>
        </w:rPr>
        <w:t>、如果有客观证据表明某项应收账款已经发生信用减值，则本公司对该应收账款单项计提坏账准备并确认预期信用损失。单项计提坏账准备的方法为根据其未来现金流量现值低于其账面价值的差额，计提坏账准备。如果没有客观证据表明某项应收账款需进行单项认定计提坏账准备并确认预期信用损失，则采用账龄组合计量预期信用损失。</w:t>
      </w:r>
    </w:p>
    <w:p>
      <w:pPr>
        <w:pStyle w:val="8"/>
        <w:outlineLvl w:val="2"/>
        <w:rPr>
          <w:rFonts w:hint="default" w:eastAsia="Times New Roman"/>
          <w:sz w:val="21"/>
        </w:rPr>
      </w:pPr>
      <w:r>
        <w:rPr>
          <w:rFonts w:hint="default"/>
          <w:sz w:val="21"/>
        </w:rPr>
        <w:t>13</w:t>
      </w:r>
      <w:r>
        <w:rPr>
          <w:rFonts w:hint="eastAsia"/>
          <w:sz w:val="21"/>
        </w:rPr>
        <w:t>、应收款项融资</w:t>
      </w:r>
    </w:p>
    <w:p>
      <w:pPr>
        <w:autoSpaceDE w:val="0"/>
        <w:autoSpaceDN w:val="0"/>
        <w:adjustRightInd w:val="0"/>
        <w:spacing w:before="0" w:after="156"/>
        <w:ind w:firstLine="420"/>
        <w:rPr>
          <w:rFonts w:hint="eastAsia" w:ascii="宋体"/>
          <w:sz w:val="21"/>
          <w:lang w:val="zh-CN"/>
        </w:rPr>
      </w:pPr>
      <w:r>
        <w:rPr>
          <w:rFonts w:hint="eastAsia" w:ascii="宋体"/>
          <w:sz w:val="21"/>
          <w:lang w:val="zh-CN"/>
        </w:rPr>
        <w:t>金融资产同时符合下列条件的，分类为以公允价值计量且其变动计入其他综合收益的金融资产：本公司管理该金融资产的业务模式是既以收取合同现金流量为目标又以出售金融资产为目标；该金融资产的合同条款规定，在特定日期产生的现金流量，仅为对本金和以未偿付本金金额为基础的利息的支付。</w:t>
      </w:r>
    </w:p>
    <w:p>
      <w:pPr>
        <w:autoSpaceDE w:val="0"/>
        <w:autoSpaceDN w:val="0"/>
        <w:adjustRightInd w:val="0"/>
        <w:spacing w:before="0" w:after="156"/>
        <w:ind w:firstLine="420"/>
        <w:rPr>
          <w:rFonts w:hint="eastAsia" w:ascii="宋体"/>
          <w:sz w:val="21"/>
          <w:lang w:val="zh-CN"/>
        </w:rPr>
      </w:pPr>
      <w:r>
        <w:rPr>
          <w:rFonts w:hint="eastAsia" w:ascii="宋体"/>
          <w:sz w:val="21"/>
          <w:lang w:val="zh-CN"/>
        </w:rPr>
        <w:t>本公司将持有的应收票据，以贴现或背书等形式转让，且该类业务较为频繁、涉及金额也较大的，其管理业务模式实质为既收取合同现金流量又出售，按照金融工具准则的相关规定，将其分类至以公允价值计量变动且其变动计入其他综合收益的金融资产。</w:t>
      </w:r>
    </w:p>
    <w:p>
      <w:pPr>
        <w:autoSpaceDE w:val="0"/>
        <w:autoSpaceDN w:val="0"/>
        <w:adjustRightInd w:val="0"/>
        <w:spacing w:before="0" w:after="156"/>
        <w:ind w:firstLine="420"/>
        <w:rPr>
          <w:rFonts w:hint="eastAsia" w:ascii="宋体"/>
          <w:sz w:val="21"/>
          <w:lang w:val="zh-CN"/>
        </w:rPr>
      </w:pPr>
      <w:r>
        <w:rPr>
          <w:rFonts w:hint="eastAsia" w:ascii="宋体"/>
          <w:sz w:val="21"/>
          <w:lang w:val="zh-CN"/>
        </w:rPr>
        <w:t>本公司对于《企业会计准则第14号</w:t>
      </w:r>
      <w:r>
        <w:rPr>
          <w:rFonts w:hint="default"/>
          <w:sz w:val="21"/>
          <w:lang w:val="zh-CN"/>
        </w:rPr>
        <w:t>——</w:t>
      </w:r>
      <w:r>
        <w:rPr>
          <w:rFonts w:hint="eastAsia" w:ascii="宋体"/>
          <w:sz w:val="21"/>
          <w:lang w:val="zh-CN"/>
        </w:rPr>
        <w:t>收入》所规定的、不含重大融资成分（包括根据该准则不考虑不超过一年的合同中融资成分的情况）的应收款项，采用预期信用损失的简化模型，即始终按照整个存续期内预期信用损失的金额计量其损失准备，由此形成的损失准备的增加或转回金额，作为减值损失或利得计入当期损益。</w:t>
      </w:r>
    </w:p>
    <w:p>
      <w:pPr>
        <w:autoSpaceDE w:val="0"/>
        <w:autoSpaceDN w:val="0"/>
        <w:adjustRightInd w:val="0"/>
        <w:spacing w:before="0" w:after="156"/>
        <w:ind w:firstLine="420"/>
        <w:rPr>
          <w:rFonts w:hint="eastAsia" w:ascii="宋体"/>
          <w:i/>
          <w:sz w:val="21"/>
          <w:lang w:val="zh-CN"/>
        </w:rPr>
      </w:pPr>
      <w:r>
        <w:rPr>
          <w:rFonts w:hint="eastAsia" w:ascii="宋体"/>
          <w:i/>
          <w:sz w:val="21"/>
          <w:lang w:val="zh-CN"/>
        </w:rPr>
        <w:t>对于包含重大融资成分的应收款项，本公司选择采用预期信用损失的简化模型，即始终按照整个存续期内预期信用损失的金额计量其损失准备。</w:t>
      </w:r>
    </w:p>
    <w:p>
      <w:pPr>
        <w:autoSpaceDE w:val="0"/>
        <w:autoSpaceDN w:val="0"/>
        <w:adjustRightInd w:val="0"/>
        <w:spacing w:before="0" w:after="156"/>
        <w:ind w:firstLine="420"/>
        <w:rPr>
          <w:rFonts w:hint="eastAsia" w:ascii="宋体"/>
          <w:sz w:val="21"/>
          <w:lang w:val="zh-CN"/>
        </w:rPr>
      </w:pPr>
      <w:r>
        <w:rPr>
          <w:rFonts w:hint="eastAsia" w:ascii="宋体"/>
          <w:sz w:val="21"/>
          <w:lang w:val="zh-CN"/>
        </w:rPr>
        <w:t>预期信用损失的简化模型：始终按照整个存续期内预期信用损失的金额计量其损失准备。</w:t>
      </w:r>
    </w:p>
    <w:tbl>
      <w:tblPr>
        <w:tblStyle w:val="4"/>
        <w:tblW w:w="0" w:type="auto"/>
        <w:tblInd w:w="10" w:type="dxa"/>
        <w:tblBorders>
          <w:top w:val="single" w:color="auto" w:sz="6" w:space="0"/>
          <w:left w:val="none" w:color="auto" w:sz="0" w:space="0"/>
          <w:bottom w:val="none" w:color="auto" w:sz="0" w:space="0"/>
          <w:right w:val="none" w:color="auto" w:sz="0" w:space="0"/>
          <w:insideH w:val="single" w:color="auto" w:sz="6" w:space="0"/>
          <w:insideV w:val="none" w:color="auto" w:sz="0" w:space="0"/>
        </w:tblBorders>
        <w:tblLayout w:type="fixed"/>
        <w:tblCellMar>
          <w:top w:w="10" w:type="dxa"/>
          <w:left w:w="10" w:type="dxa"/>
          <w:bottom w:w="10" w:type="dxa"/>
          <w:right w:w="10" w:type="dxa"/>
        </w:tblCellMar>
      </w:tblPr>
      <w:tblGrid>
        <w:gridCol w:w="1808"/>
        <w:gridCol w:w="1701"/>
        <w:gridCol w:w="5286"/>
      </w:tblGrid>
      <w:tr>
        <w:tblPrEx>
          <w:tblBorders>
            <w:top w:val="single" w:color="auto" w:sz="6" w:space="0"/>
            <w:left w:val="none" w:color="auto" w:sz="0" w:space="0"/>
            <w:bottom w:val="none" w:color="auto" w:sz="0" w:space="0"/>
            <w:right w:val="none" w:color="auto" w:sz="0" w:space="0"/>
            <w:insideH w:val="single" w:color="auto" w:sz="6" w:space="0"/>
            <w:insideV w:val="none" w:color="auto" w:sz="0" w:space="0"/>
          </w:tblBorders>
          <w:tblCellMar>
            <w:top w:w="10" w:type="dxa"/>
            <w:left w:w="10" w:type="dxa"/>
            <w:bottom w:w="10" w:type="dxa"/>
            <w:right w:w="10" w:type="dxa"/>
          </w:tblCellMar>
        </w:tblPrEx>
        <w:tc>
          <w:tcPr>
            <w:tcW w:w="1808" w:type="dxa"/>
            <w:tcBorders>
              <w:top w:val="single" w:color="auto" w:sz="6" w:space="0"/>
              <w:left w:val="nil"/>
              <w:bottom w:val="nil"/>
              <w:right w:val="nil"/>
              <w:tl2br w:val="nil"/>
              <w:tr2bl w:val="nil"/>
            </w:tcBorders>
            <w:noWrap w:val="0"/>
            <w:vAlign w:val="top"/>
          </w:tcPr>
          <w:p>
            <w:pPr>
              <w:autoSpaceDE w:val="0"/>
              <w:autoSpaceDN w:val="0"/>
              <w:adjustRightInd w:val="0"/>
              <w:spacing w:before="0" w:after="0"/>
              <w:jc w:val="center"/>
              <w:rPr>
                <w:rFonts w:hint="eastAsia" w:ascii="宋体"/>
                <w:b/>
                <w:sz w:val="18"/>
                <w:lang w:val="zh-CN"/>
              </w:rPr>
            </w:pPr>
            <w:r>
              <w:rPr>
                <w:rFonts w:hint="eastAsia" w:ascii="宋体"/>
                <w:b/>
                <w:sz w:val="18"/>
                <w:lang w:val="zh-CN"/>
              </w:rPr>
              <w:t>项  目</w:t>
            </w:r>
          </w:p>
        </w:tc>
        <w:tc>
          <w:tcPr>
            <w:tcW w:w="1701" w:type="dxa"/>
            <w:tcBorders>
              <w:top w:val="single" w:color="auto" w:sz="6" w:space="0"/>
              <w:left w:val="nil"/>
              <w:bottom w:val="nil"/>
              <w:right w:val="nil"/>
              <w:tl2br w:val="nil"/>
              <w:tr2bl w:val="nil"/>
            </w:tcBorders>
            <w:noWrap w:val="0"/>
            <w:vAlign w:val="top"/>
          </w:tcPr>
          <w:p>
            <w:pPr>
              <w:autoSpaceDE w:val="0"/>
              <w:autoSpaceDN w:val="0"/>
              <w:adjustRightInd w:val="0"/>
              <w:spacing w:before="0" w:after="0"/>
              <w:jc w:val="center"/>
              <w:rPr>
                <w:rFonts w:hint="eastAsia" w:ascii="宋体"/>
                <w:b/>
                <w:sz w:val="18"/>
                <w:lang w:val="zh-CN"/>
              </w:rPr>
            </w:pPr>
            <w:r>
              <w:rPr>
                <w:rFonts w:hint="eastAsia" w:ascii="宋体"/>
                <w:b/>
                <w:sz w:val="18"/>
                <w:lang w:val="zh-CN"/>
              </w:rPr>
              <w:t>确定组合的依据</w:t>
            </w:r>
          </w:p>
        </w:tc>
        <w:tc>
          <w:tcPr>
            <w:tcW w:w="5286" w:type="dxa"/>
            <w:tcBorders>
              <w:top w:val="single" w:color="auto" w:sz="6" w:space="0"/>
              <w:left w:val="nil"/>
              <w:bottom w:val="nil"/>
              <w:right w:val="nil"/>
              <w:tl2br w:val="nil"/>
              <w:tr2bl w:val="nil"/>
            </w:tcBorders>
            <w:noWrap w:val="0"/>
            <w:vAlign w:val="top"/>
          </w:tcPr>
          <w:p>
            <w:pPr>
              <w:autoSpaceDE w:val="0"/>
              <w:autoSpaceDN w:val="0"/>
              <w:adjustRightInd w:val="0"/>
              <w:spacing w:before="0" w:after="0"/>
              <w:jc w:val="center"/>
              <w:rPr>
                <w:rFonts w:hint="eastAsia" w:ascii="宋体"/>
                <w:b/>
                <w:sz w:val="18"/>
                <w:lang w:val="zh-CN"/>
              </w:rPr>
            </w:pPr>
            <w:r>
              <w:rPr>
                <w:rFonts w:hint="eastAsia" w:ascii="宋体"/>
                <w:b/>
                <w:sz w:val="18"/>
                <w:lang w:val="zh-CN"/>
              </w:rPr>
              <w:t>计量预期信用损失的方法</w:t>
            </w:r>
          </w:p>
        </w:tc>
      </w:tr>
      <w:tr>
        <w:tblPrEx>
          <w:tblBorders>
            <w:top w:val="single" w:color="auto" w:sz="6" w:space="0"/>
            <w:left w:val="none" w:color="auto" w:sz="0" w:space="0"/>
            <w:bottom w:val="none" w:color="auto" w:sz="0" w:space="0"/>
            <w:right w:val="none" w:color="auto" w:sz="0" w:space="0"/>
            <w:insideH w:val="single" w:color="auto" w:sz="6" w:space="0"/>
            <w:insideV w:val="none" w:color="auto" w:sz="0" w:space="0"/>
          </w:tblBorders>
          <w:tblCellMar>
            <w:top w:w="10" w:type="dxa"/>
            <w:left w:w="10" w:type="dxa"/>
            <w:bottom w:w="10" w:type="dxa"/>
            <w:right w:w="10" w:type="dxa"/>
          </w:tblCellMar>
        </w:tblPrEx>
        <w:tc>
          <w:tcPr>
            <w:tcW w:w="1808" w:type="dxa"/>
            <w:tcBorders>
              <w:top w:val="single" w:color="auto" w:sz="6" w:space="0"/>
              <w:left w:val="nil"/>
              <w:bottom w:val="nil"/>
              <w:right w:val="nil"/>
              <w:tl2br w:val="nil"/>
              <w:tr2bl w:val="nil"/>
            </w:tcBorders>
            <w:noWrap w:val="0"/>
            <w:vAlign w:val="top"/>
          </w:tcPr>
          <w:p>
            <w:pPr>
              <w:autoSpaceDE w:val="0"/>
              <w:autoSpaceDN w:val="0"/>
              <w:adjustRightInd w:val="0"/>
              <w:spacing w:before="0" w:after="0"/>
              <w:rPr>
                <w:rFonts w:hint="default" w:eastAsia="Times New Roman"/>
                <w:sz w:val="18"/>
                <w:lang w:val="zh-CN"/>
              </w:rPr>
            </w:pPr>
            <w:r>
              <w:rPr>
                <w:rFonts w:hint="eastAsia" w:ascii="宋体"/>
                <w:sz w:val="18"/>
                <w:lang w:val="zh-CN"/>
              </w:rPr>
              <w:t>应收款项融资</w:t>
            </w:r>
            <w:r>
              <w:rPr>
                <w:rFonts w:hint="default" w:eastAsia="Times New Roman"/>
                <w:sz w:val="18"/>
                <w:lang w:val="zh-CN"/>
              </w:rPr>
              <w:t>—</w:t>
            </w:r>
            <w:r>
              <w:rPr>
                <w:rFonts w:hint="eastAsia" w:ascii="宋体"/>
                <w:sz w:val="18"/>
                <w:lang w:val="zh-CN"/>
              </w:rPr>
              <w:t>银行承兑汇票</w:t>
            </w:r>
          </w:p>
        </w:tc>
        <w:tc>
          <w:tcPr>
            <w:tcW w:w="1701" w:type="dxa"/>
            <w:tcBorders>
              <w:top w:val="single" w:color="auto" w:sz="6" w:space="0"/>
              <w:left w:val="nil"/>
              <w:bottom w:val="nil"/>
              <w:right w:val="nil"/>
              <w:tl2br w:val="nil"/>
              <w:tr2bl w:val="nil"/>
            </w:tcBorders>
            <w:noWrap w:val="0"/>
            <w:vAlign w:val="top"/>
          </w:tcPr>
          <w:p>
            <w:pPr>
              <w:autoSpaceDE w:val="0"/>
              <w:autoSpaceDN w:val="0"/>
              <w:adjustRightInd w:val="0"/>
              <w:spacing w:before="0" w:after="0"/>
              <w:jc w:val="center"/>
              <w:rPr>
                <w:rFonts w:hint="eastAsia" w:ascii="宋体"/>
                <w:sz w:val="18"/>
                <w:lang w:val="zh-CN"/>
              </w:rPr>
            </w:pPr>
            <w:r>
              <w:rPr>
                <w:rFonts w:hint="eastAsia" w:ascii="宋体"/>
                <w:sz w:val="18"/>
                <w:lang w:val="zh-CN"/>
              </w:rPr>
              <w:t>票据承兑人</w:t>
            </w:r>
          </w:p>
        </w:tc>
        <w:tc>
          <w:tcPr>
            <w:tcW w:w="5286" w:type="dxa"/>
            <w:tcBorders>
              <w:top w:val="single" w:color="auto" w:sz="6" w:space="0"/>
              <w:left w:val="nil"/>
              <w:bottom w:val="nil"/>
              <w:right w:val="nil"/>
              <w:tl2br w:val="nil"/>
              <w:tr2bl w:val="nil"/>
            </w:tcBorders>
            <w:noWrap w:val="0"/>
            <w:vAlign w:val="top"/>
          </w:tcPr>
          <w:p>
            <w:pPr>
              <w:autoSpaceDE w:val="0"/>
              <w:autoSpaceDN w:val="0"/>
              <w:adjustRightInd w:val="0"/>
              <w:spacing w:before="0" w:after="0"/>
              <w:rPr>
                <w:rFonts w:hint="eastAsia" w:ascii="宋体"/>
                <w:sz w:val="18"/>
                <w:lang w:val="zh-CN"/>
              </w:rPr>
            </w:pPr>
            <w:r>
              <w:rPr>
                <w:rFonts w:hint="eastAsia" w:ascii="宋体"/>
                <w:sz w:val="18"/>
                <w:lang w:val="zh-CN"/>
              </w:rPr>
              <w:t>本公司考虑所有合理且有依据的信息，包括历史信用损失经验，并考虑前瞻性信息结合当前状况以及未来经济情况的预测，通过违约风险敞口和整个存续期信用损失率，以单项或组合的方式对预期信用损失进行估计。</w:t>
            </w:r>
          </w:p>
        </w:tc>
      </w:tr>
    </w:tbl>
    <w:p>
      <w:pPr>
        <w:pStyle w:val="8"/>
        <w:outlineLvl w:val="2"/>
        <w:rPr>
          <w:rFonts w:hint="default" w:eastAsia="Times New Roman"/>
          <w:sz w:val="21"/>
        </w:rPr>
      </w:pPr>
      <w:r>
        <w:rPr>
          <w:rFonts w:hint="default"/>
          <w:sz w:val="21"/>
        </w:rPr>
        <w:t>14</w:t>
      </w:r>
      <w:r>
        <w:rPr>
          <w:rFonts w:hint="eastAsia"/>
          <w:sz w:val="21"/>
        </w:rPr>
        <w:t>、其他应收款</w:t>
      </w:r>
    </w:p>
    <w:p>
      <w:pPr>
        <w:jc w:val="left"/>
        <w:rPr>
          <w:rFonts w:hint="default" w:eastAsia="Times New Roman"/>
          <w:sz w:val="18"/>
        </w:rPr>
      </w:pPr>
      <w:r>
        <w:rPr>
          <w:rFonts w:hint="eastAsia"/>
          <w:sz w:val="18"/>
        </w:rPr>
        <w:t>其他应收款的预期信用损失的确定方法及会计处理方法</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本公司对其他应收款采用预期信用损失的一般模型（详见附注</w:t>
      </w:r>
      <w:r>
        <w:rPr>
          <w:rFonts w:hint="default" w:eastAsia="Times New Roman"/>
          <w:sz w:val="21"/>
          <w:lang w:val="zh-CN"/>
        </w:rPr>
        <w:t>“</w:t>
      </w:r>
      <w:r>
        <w:rPr>
          <w:rFonts w:hint="eastAsia"/>
          <w:sz w:val="21"/>
          <w:lang w:val="zh-CN"/>
        </w:rPr>
        <w:t>五、</w:t>
      </w:r>
      <w:r>
        <w:rPr>
          <w:rFonts w:hint="default"/>
          <w:sz w:val="21"/>
        </w:rPr>
        <w:t>10</w:t>
      </w:r>
      <w:r>
        <w:rPr>
          <w:rFonts w:hint="eastAsia"/>
          <w:sz w:val="21"/>
        </w:rPr>
        <w:t>、</w:t>
      </w:r>
      <w:r>
        <w:rPr>
          <w:rFonts w:hint="eastAsia" w:ascii="宋体"/>
          <w:sz w:val="21"/>
          <w:lang w:val="zh-CN"/>
        </w:rPr>
        <w:t>金融工具</w:t>
      </w:r>
      <w:r>
        <w:rPr>
          <w:rFonts w:hint="default" w:eastAsia="Times New Roman"/>
          <w:sz w:val="21"/>
          <w:lang w:val="zh-CN"/>
        </w:rPr>
        <w:t>”</w:t>
      </w:r>
      <w:r>
        <w:rPr>
          <w:rFonts w:hint="eastAsia" w:ascii="宋体"/>
          <w:sz w:val="21"/>
          <w:lang w:val="zh-CN"/>
        </w:rPr>
        <w:t>）进行处理。</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1</w:t>
      </w:r>
      <w:r>
        <w:rPr>
          <w:rFonts w:hint="eastAsia" w:ascii="宋体"/>
          <w:sz w:val="21"/>
          <w:lang w:val="zh-CN"/>
        </w:rPr>
        <w:t>、公司账龄组合与整个存续期间预期信用损失率对照表如下：</w:t>
      </w:r>
    </w:p>
    <w:tbl>
      <w:tblPr>
        <w:tblStyle w:val="4"/>
        <w:tblW w:w="0" w:type="auto"/>
        <w:tblInd w:w="10" w:type="dxa"/>
        <w:tblBorders>
          <w:top w:val="single" w:color="auto" w:sz="6" w:space="0"/>
          <w:left w:val="none" w:color="auto" w:sz="0" w:space="0"/>
          <w:bottom w:val="none" w:color="auto" w:sz="0" w:space="0"/>
          <w:right w:val="none" w:color="auto" w:sz="0" w:space="0"/>
          <w:insideH w:val="single" w:color="auto" w:sz="6" w:space="0"/>
          <w:insideV w:val="none" w:color="auto" w:sz="0" w:space="0"/>
        </w:tblBorders>
        <w:tblLayout w:type="fixed"/>
        <w:tblCellMar>
          <w:top w:w="10" w:type="dxa"/>
          <w:left w:w="10" w:type="dxa"/>
          <w:bottom w:w="10" w:type="dxa"/>
          <w:right w:w="10" w:type="dxa"/>
        </w:tblCellMar>
      </w:tblPr>
      <w:tblGrid>
        <w:gridCol w:w="2869"/>
        <w:gridCol w:w="2870"/>
        <w:gridCol w:w="2870"/>
      </w:tblGrid>
      <w:tr>
        <w:tblPrEx>
          <w:tblBorders>
            <w:top w:val="single" w:color="auto" w:sz="6" w:space="0"/>
            <w:left w:val="none" w:color="auto" w:sz="0" w:space="0"/>
            <w:bottom w:val="none" w:color="auto" w:sz="0" w:space="0"/>
            <w:right w:val="none" w:color="auto" w:sz="0" w:space="0"/>
            <w:insideH w:val="single" w:color="auto" w:sz="6" w:space="0"/>
            <w:insideV w:val="none" w:color="auto" w:sz="0" w:space="0"/>
          </w:tblBorders>
          <w:tblCellMar>
            <w:top w:w="10" w:type="dxa"/>
            <w:left w:w="10" w:type="dxa"/>
            <w:bottom w:w="10" w:type="dxa"/>
            <w:right w:w="10" w:type="dxa"/>
          </w:tblCellMar>
        </w:tblPrEx>
        <w:tc>
          <w:tcPr>
            <w:tcW w:w="2869" w:type="dxa"/>
            <w:tcBorders>
              <w:top w:val="single" w:color="auto" w:sz="6" w:space="0"/>
              <w:left w:val="nil"/>
              <w:bottom w:val="nil"/>
              <w:right w:val="nil"/>
              <w:tl2br w:val="nil"/>
              <w:tr2bl w:val="nil"/>
            </w:tcBorders>
            <w:noWrap w:val="0"/>
            <w:vAlign w:val="top"/>
          </w:tcPr>
          <w:p>
            <w:pPr>
              <w:autoSpaceDE w:val="0"/>
              <w:autoSpaceDN w:val="0"/>
              <w:adjustRightInd w:val="0"/>
              <w:spacing w:before="0" w:after="0"/>
              <w:jc w:val="center"/>
              <w:rPr>
                <w:rFonts w:hint="eastAsia" w:ascii="宋体"/>
                <w:b/>
                <w:sz w:val="18"/>
                <w:lang w:val="zh-CN"/>
              </w:rPr>
            </w:pPr>
            <w:r>
              <w:rPr>
                <w:rFonts w:hint="eastAsia" w:ascii="宋体"/>
                <w:b/>
                <w:sz w:val="18"/>
                <w:lang w:val="zh-CN"/>
              </w:rPr>
              <w:t>其他应收款账龄</w:t>
            </w:r>
          </w:p>
        </w:tc>
        <w:tc>
          <w:tcPr>
            <w:tcW w:w="2870" w:type="dxa"/>
            <w:tcBorders>
              <w:top w:val="single" w:color="auto" w:sz="6" w:space="0"/>
              <w:left w:val="nil"/>
              <w:bottom w:val="nil"/>
              <w:right w:val="nil"/>
              <w:tl2br w:val="nil"/>
              <w:tr2bl w:val="nil"/>
            </w:tcBorders>
            <w:noWrap w:val="0"/>
            <w:vAlign w:val="top"/>
          </w:tcPr>
          <w:p>
            <w:pPr>
              <w:autoSpaceDE w:val="0"/>
              <w:autoSpaceDN w:val="0"/>
              <w:adjustRightInd w:val="0"/>
              <w:spacing w:before="0" w:after="0"/>
              <w:jc w:val="center"/>
              <w:rPr>
                <w:rFonts w:hint="default" w:eastAsia="Times New Roman"/>
                <w:b/>
                <w:sz w:val="18"/>
                <w:lang w:val="zh-CN"/>
              </w:rPr>
            </w:pPr>
            <w:r>
              <w:rPr>
                <w:rFonts w:hint="eastAsia" w:ascii="宋体"/>
                <w:b/>
                <w:sz w:val="18"/>
                <w:lang w:val="zh-CN"/>
              </w:rPr>
              <w:t>预期信用损失率</w:t>
            </w:r>
            <w:r>
              <w:rPr>
                <w:rFonts w:hint="default" w:eastAsia="Times New Roman"/>
                <w:b/>
                <w:sz w:val="18"/>
                <w:lang w:val="zh-CN"/>
              </w:rPr>
              <w:t>1</w:t>
            </w:r>
            <w:r>
              <w:rPr>
                <w:rFonts w:hint="eastAsia" w:ascii="宋体"/>
                <w:b/>
                <w:sz w:val="18"/>
                <w:lang w:val="zh-CN"/>
              </w:rPr>
              <w:t>（</w:t>
            </w:r>
            <w:r>
              <w:rPr>
                <w:rFonts w:hint="default" w:eastAsia="Times New Roman"/>
                <w:b/>
                <w:sz w:val="18"/>
                <w:lang w:val="zh-CN"/>
              </w:rPr>
              <w:t>%</w:t>
            </w:r>
            <w:r>
              <w:rPr>
                <w:rFonts w:hint="eastAsia" w:ascii="宋体"/>
                <w:b/>
                <w:sz w:val="18"/>
                <w:lang w:val="zh-CN"/>
              </w:rPr>
              <w:t>）</w:t>
            </w:r>
          </w:p>
        </w:tc>
        <w:tc>
          <w:tcPr>
            <w:tcW w:w="2870" w:type="dxa"/>
            <w:tcBorders>
              <w:top w:val="single" w:color="auto" w:sz="6" w:space="0"/>
              <w:left w:val="nil"/>
              <w:bottom w:val="nil"/>
              <w:right w:val="nil"/>
              <w:tl2br w:val="nil"/>
              <w:tr2bl w:val="nil"/>
            </w:tcBorders>
            <w:noWrap w:val="0"/>
            <w:vAlign w:val="top"/>
          </w:tcPr>
          <w:p>
            <w:pPr>
              <w:autoSpaceDE w:val="0"/>
              <w:autoSpaceDN w:val="0"/>
              <w:adjustRightInd w:val="0"/>
              <w:spacing w:before="0" w:after="0"/>
              <w:jc w:val="center"/>
              <w:rPr>
                <w:rFonts w:hint="default" w:eastAsia="Times New Roman"/>
                <w:b/>
                <w:sz w:val="18"/>
                <w:lang w:val="zh-CN"/>
              </w:rPr>
            </w:pPr>
            <w:r>
              <w:rPr>
                <w:rFonts w:hint="eastAsia" w:ascii="宋体"/>
                <w:b/>
                <w:sz w:val="18"/>
                <w:lang w:val="zh-CN"/>
              </w:rPr>
              <w:t>预期信用损失率</w:t>
            </w:r>
            <w:r>
              <w:rPr>
                <w:rFonts w:hint="default" w:eastAsia="Times New Roman"/>
                <w:b/>
                <w:sz w:val="18"/>
                <w:lang w:val="zh-CN"/>
              </w:rPr>
              <w:t>2</w:t>
            </w:r>
            <w:r>
              <w:rPr>
                <w:rFonts w:hint="eastAsia" w:ascii="宋体"/>
                <w:b/>
                <w:sz w:val="18"/>
                <w:lang w:val="zh-CN"/>
              </w:rPr>
              <w:t>（</w:t>
            </w:r>
            <w:r>
              <w:rPr>
                <w:rFonts w:hint="default" w:eastAsia="Times New Roman"/>
                <w:b/>
                <w:sz w:val="18"/>
                <w:lang w:val="zh-CN"/>
              </w:rPr>
              <w:t>%</w:t>
            </w:r>
            <w:r>
              <w:rPr>
                <w:rFonts w:hint="eastAsia" w:ascii="宋体"/>
                <w:b/>
                <w:sz w:val="18"/>
                <w:lang w:val="zh-CN"/>
              </w:rPr>
              <w:t>）</w:t>
            </w:r>
          </w:p>
        </w:tc>
      </w:tr>
      <w:tr>
        <w:tblPrEx>
          <w:tblBorders>
            <w:top w:val="single" w:color="auto" w:sz="6" w:space="0"/>
            <w:left w:val="none" w:color="auto" w:sz="0" w:space="0"/>
            <w:bottom w:val="none" w:color="auto" w:sz="0" w:space="0"/>
            <w:right w:val="none" w:color="auto" w:sz="0" w:space="0"/>
            <w:insideH w:val="single" w:color="auto" w:sz="6" w:space="0"/>
            <w:insideV w:val="none" w:color="auto" w:sz="0" w:space="0"/>
          </w:tblBorders>
          <w:tblCellMar>
            <w:top w:w="10" w:type="dxa"/>
            <w:left w:w="10" w:type="dxa"/>
            <w:bottom w:w="10" w:type="dxa"/>
            <w:right w:w="10" w:type="dxa"/>
          </w:tblCellMar>
        </w:tblPrEx>
        <w:tc>
          <w:tcPr>
            <w:tcW w:w="2869" w:type="dxa"/>
            <w:tcBorders>
              <w:top w:val="single" w:color="auto" w:sz="6" w:space="0"/>
              <w:left w:val="nil"/>
              <w:bottom w:val="nil"/>
              <w:right w:val="nil"/>
              <w:tl2br w:val="nil"/>
              <w:tr2bl w:val="nil"/>
            </w:tcBorders>
            <w:noWrap w:val="0"/>
            <w:vAlign w:val="top"/>
          </w:tcPr>
          <w:p>
            <w:pPr>
              <w:autoSpaceDE w:val="0"/>
              <w:autoSpaceDN w:val="0"/>
              <w:adjustRightInd w:val="0"/>
              <w:spacing w:before="0" w:after="0"/>
              <w:ind w:firstLine="283"/>
              <w:jc w:val="left"/>
              <w:rPr>
                <w:rFonts w:hint="default" w:eastAsia="Times New Roman"/>
                <w:sz w:val="18"/>
                <w:lang w:val="zh-CN"/>
              </w:rPr>
            </w:pPr>
            <w:r>
              <w:rPr>
                <w:rFonts w:hint="default" w:eastAsia="Times New Roman"/>
                <w:sz w:val="18"/>
                <w:lang w:val="zh-CN"/>
              </w:rPr>
              <w:t>1</w:t>
            </w:r>
            <w:r>
              <w:rPr>
                <w:rFonts w:hint="eastAsia" w:ascii="宋体"/>
                <w:sz w:val="18"/>
                <w:lang w:val="zh-CN"/>
              </w:rPr>
              <w:t>年以下（含</w:t>
            </w:r>
            <w:r>
              <w:rPr>
                <w:rFonts w:hint="default" w:eastAsia="Times New Roman"/>
                <w:sz w:val="18"/>
                <w:lang w:val="zh-CN"/>
              </w:rPr>
              <w:t>1</w:t>
            </w:r>
            <w:r>
              <w:rPr>
                <w:rFonts w:hint="eastAsia" w:ascii="宋体"/>
                <w:sz w:val="18"/>
                <w:lang w:val="zh-CN"/>
              </w:rPr>
              <w:t>年）</w:t>
            </w:r>
          </w:p>
        </w:tc>
        <w:tc>
          <w:tcPr>
            <w:tcW w:w="2870" w:type="dxa"/>
            <w:tcBorders>
              <w:top w:val="single" w:color="auto" w:sz="6" w:space="0"/>
              <w:left w:val="nil"/>
              <w:bottom w:val="nil"/>
              <w:right w:val="nil"/>
              <w:tl2br w:val="nil"/>
              <w:tr2bl w:val="nil"/>
            </w:tcBorders>
            <w:noWrap w:val="0"/>
            <w:vAlign w:val="top"/>
          </w:tcPr>
          <w:p>
            <w:pPr>
              <w:autoSpaceDE w:val="0"/>
              <w:autoSpaceDN w:val="0"/>
              <w:adjustRightInd w:val="0"/>
              <w:spacing w:before="0" w:after="0"/>
              <w:jc w:val="center"/>
              <w:rPr>
                <w:rFonts w:hint="default" w:eastAsia="Times New Roman"/>
                <w:sz w:val="18"/>
                <w:lang w:val="zh-CN"/>
              </w:rPr>
            </w:pPr>
            <w:r>
              <w:rPr>
                <w:rFonts w:hint="default" w:eastAsia="Times New Roman"/>
                <w:sz w:val="18"/>
                <w:lang w:val="zh-CN"/>
              </w:rPr>
              <w:t>5</w:t>
            </w:r>
          </w:p>
        </w:tc>
        <w:tc>
          <w:tcPr>
            <w:tcW w:w="2870" w:type="dxa"/>
            <w:tcBorders>
              <w:top w:val="single" w:color="auto" w:sz="6" w:space="0"/>
              <w:left w:val="nil"/>
              <w:bottom w:val="nil"/>
              <w:right w:val="nil"/>
              <w:tl2br w:val="nil"/>
              <w:tr2bl w:val="nil"/>
            </w:tcBorders>
            <w:noWrap w:val="0"/>
            <w:vAlign w:val="top"/>
          </w:tcPr>
          <w:p>
            <w:pPr>
              <w:autoSpaceDE w:val="0"/>
              <w:autoSpaceDN w:val="0"/>
              <w:adjustRightInd w:val="0"/>
              <w:spacing w:before="0" w:after="0"/>
              <w:ind w:left="1"/>
              <w:jc w:val="center"/>
              <w:rPr>
                <w:rFonts w:hint="default" w:eastAsia="Times New Roman"/>
                <w:sz w:val="18"/>
                <w:lang w:val="zh-CN"/>
              </w:rPr>
            </w:pPr>
            <w:r>
              <w:rPr>
                <w:rFonts w:hint="default" w:eastAsia="Times New Roman"/>
                <w:sz w:val="18"/>
                <w:lang w:val="zh-CN"/>
              </w:rPr>
              <w:t>5</w:t>
            </w:r>
          </w:p>
        </w:tc>
      </w:tr>
      <w:tr>
        <w:tblPrEx>
          <w:tblBorders>
            <w:top w:val="single" w:color="auto" w:sz="6" w:space="0"/>
            <w:left w:val="none" w:color="auto" w:sz="0" w:space="0"/>
            <w:bottom w:val="none" w:color="auto" w:sz="0" w:space="0"/>
            <w:right w:val="none" w:color="auto" w:sz="0" w:space="0"/>
            <w:insideH w:val="single" w:color="auto" w:sz="6" w:space="0"/>
            <w:insideV w:val="none" w:color="auto" w:sz="0" w:space="0"/>
          </w:tblBorders>
          <w:tblCellMar>
            <w:top w:w="10" w:type="dxa"/>
            <w:left w:w="10" w:type="dxa"/>
            <w:bottom w:w="10" w:type="dxa"/>
            <w:right w:w="10" w:type="dxa"/>
          </w:tblCellMar>
        </w:tblPrEx>
        <w:tc>
          <w:tcPr>
            <w:tcW w:w="2869" w:type="dxa"/>
            <w:tcBorders>
              <w:top w:val="single" w:color="auto" w:sz="6" w:space="0"/>
              <w:left w:val="nil"/>
              <w:bottom w:val="nil"/>
              <w:right w:val="nil"/>
              <w:tl2br w:val="nil"/>
              <w:tr2bl w:val="nil"/>
            </w:tcBorders>
            <w:noWrap w:val="0"/>
            <w:vAlign w:val="top"/>
          </w:tcPr>
          <w:p>
            <w:pPr>
              <w:autoSpaceDE w:val="0"/>
              <w:autoSpaceDN w:val="0"/>
              <w:adjustRightInd w:val="0"/>
              <w:spacing w:before="0" w:after="0"/>
              <w:ind w:firstLine="283"/>
              <w:jc w:val="left"/>
              <w:rPr>
                <w:rFonts w:hint="default" w:eastAsia="Times New Roman"/>
                <w:sz w:val="18"/>
                <w:lang w:val="zh-CN"/>
              </w:rPr>
            </w:pPr>
            <w:r>
              <w:rPr>
                <w:rFonts w:hint="default" w:eastAsia="Times New Roman"/>
                <w:sz w:val="18"/>
                <w:lang w:val="zh-CN"/>
              </w:rPr>
              <w:t>1-2</w:t>
            </w:r>
            <w:r>
              <w:rPr>
                <w:rFonts w:hint="eastAsia" w:ascii="宋体"/>
                <w:sz w:val="18"/>
                <w:lang w:val="zh-CN"/>
              </w:rPr>
              <w:t>年（含</w:t>
            </w:r>
            <w:r>
              <w:rPr>
                <w:rFonts w:hint="default" w:eastAsia="Times New Roman"/>
                <w:sz w:val="18"/>
                <w:lang w:val="zh-CN"/>
              </w:rPr>
              <w:t>2</w:t>
            </w:r>
            <w:r>
              <w:rPr>
                <w:rFonts w:hint="eastAsia" w:ascii="宋体"/>
                <w:sz w:val="18"/>
                <w:lang w:val="zh-CN"/>
              </w:rPr>
              <w:t>年）</w:t>
            </w:r>
          </w:p>
        </w:tc>
        <w:tc>
          <w:tcPr>
            <w:tcW w:w="2870" w:type="dxa"/>
            <w:tcBorders>
              <w:top w:val="single" w:color="auto" w:sz="6" w:space="0"/>
              <w:left w:val="nil"/>
              <w:bottom w:val="nil"/>
              <w:right w:val="nil"/>
              <w:tl2br w:val="nil"/>
              <w:tr2bl w:val="nil"/>
            </w:tcBorders>
            <w:noWrap w:val="0"/>
            <w:vAlign w:val="top"/>
          </w:tcPr>
          <w:p>
            <w:pPr>
              <w:autoSpaceDE w:val="0"/>
              <w:autoSpaceDN w:val="0"/>
              <w:adjustRightInd w:val="0"/>
              <w:spacing w:before="0" w:after="0"/>
              <w:jc w:val="center"/>
              <w:rPr>
                <w:rFonts w:hint="default" w:eastAsia="Times New Roman"/>
                <w:sz w:val="18"/>
                <w:lang w:val="zh-CN"/>
              </w:rPr>
            </w:pPr>
            <w:r>
              <w:rPr>
                <w:rFonts w:hint="default" w:eastAsia="Times New Roman"/>
                <w:sz w:val="18"/>
                <w:lang w:val="zh-CN"/>
              </w:rPr>
              <w:t>10</w:t>
            </w:r>
          </w:p>
        </w:tc>
        <w:tc>
          <w:tcPr>
            <w:tcW w:w="2870" w:type="dxa"/>
            <w:tcBorders>
              <w:top w:val="single" w:color="auto" w:sz="6" w:space="0"/>
              <w:left w:val="nil"/>
              <w:bottom w:val="nil"/>
              <w:right w:val="nil"/>
              <w:tl2br w:val="nil"/>
              <w:tr2bl w:val="nil"/>
            </w:tcBorders>
            <w:noWrap w:val="0"/>
            <w:vAlign w:val="top"/>
          </w:tcPr>
          <w:p>
            <w:pPr>
              <w:autoSpaceDE w:val="0"/>
              <w:autoSpaceDN w:val="0"/>
              <w:adjustRightInd w:val="0"/>
              <w:spacing w:before="0" w:after="0"/>
              <w:ind w:left="1"/>
              <w:jc w:val="center"/>
              <w:rPr>
                <w:rFonts w:hint="default" w:eastAsia="Times New Roman"/>
                <w:sz w:val="18"/>
                <w:lang w:val="zh-CN"/>
              </w:rPr>
            </w:pPr>
            <w:r>
              <w:rPr>
                <w:rFonts w:hint="default" w:eastAsia="Times New Roman"/>
                <w:sz w:val="18"/>
                <w:lang w:val="zh-CN"/>
              </w:rPr>
              <w:t>10</w:t>
            </w:r>
          </w:p>
        </w:tc>
      </w:tr>
      <w:tr>
        <w:tblPrEx>
          <w:tblBorders>
            <w:top w:val="single" w:color="auto" w:sz="6" w:space="0"/>
            <w:left w:val="none" w:color="auto" w:sz="0" w:space="0"/>
            <w:bottom w:val="none" w:color="auto" w:sz="0" w:space="0"/>
            <w:right w:val="none" w:color="auto" w:sz="0" w:space="0"/>
            <w:insideH w:val="single" w:color="auto" w:sz="6" w:space="0"/>
            <w:insideV w:val="none" w:color="auto" w:sz="0" w:space="0"/>
          </w:tblBorders>
          <w:tblCellMar>
            <w:top w:w="10" w:type="dxa"/>
            <w:left w:w="10" w:type="dxa"/>
            <w:bottom w:w="10" w:type="dxa"/>
            <w:right w:w="10" w:type="dxa"/>
          </w:tblCellMar>
        </w:tblPrEx>
        <w:tc>
          <w:tcPr>
            <w:tcW w:w="2869" w:type="dxa"/>
            <w:tcBorders>
              <w:top w:val="single" w:color="auto" w:sz="6" w:space="0"/>
              <w:left w:val="nil"/>
              <w:bottom w:val="nil"/>
              <w:right w:val="nil"/>
              <w:tl2br w:val="nil"/>
              <w:tr2bl w:val="nil"/>
            </w:tcBorders>
            <w:noWrap w:val="0"/>
            <w:vAlign w:val="top"/>
          </w:tcPr>
          <w:p>
            <w:pPr>
              <w:autoSpaceDE w:val="0"/>
              <w:autoSpaceDN w:val="0"/>
              <w:adjustRightInd w:val="0"/>
              <w:spacing w:before="0" w:after="0"/>
              <w:ind w:firstLine="283"/>
              <w:jc w:val="left"/>
              <w:rPr>
                <w:rFonts w:hint="default" w:eastAsia="Times New Roman"/>
                <w:sz w:val="18"/>
                <w:lang w:val="zh-CN"/>
              </w:rPr>
            </w:pPr>
            <w:r>
              <w:rPr>
                <w:rFonts w:hint="default" w:eastAsia="Times New Roman"/>
                <w:sz w:val="18"/>
                <w:lang w:val="zh-CN"/>
              </w:rPr>
              <w:t>2-3</w:t>
            </w:r>
            <w:r>
              <w:rPr>
                <w:rFonts w:hint="eastAsia" w:ascii="宋体"/>
                <w:sz w:val="18"/>
                <w:lang w:val="zh-CN"/>
              </w:rPr>
              <w:t>年（含</w:t>
            </w:r>
            <w:r>
              <w:rPr>
                <w:rFonts w:hint="default" w:eastAsia="Times New Roman"/>
                <w:sz w:val="18"/>
                <w:lang w:val="zh-CN"/>
              </w:rPr>
              <w:t>3</w:t>
            </w:r>
            <w:r>
              <w:rPr>
                <w:rFonts w:hint="eastAsia" w:ascii="宋体"/>
                <w:sz w:val="18"/>
                <w:lang w:val="zh-CN"/>
              </w:rPr>
              <w:t>年）</w:t>
            </w:r>
          </w:p>
        </w:tc>
        <w:tc>
          <w:tcPr>
            <w:tcW w:w="2870" w:type="dxa"/>
            <w:tcBorders>
              <w:top w:val="single" w:color="auto" w:sz="6" w:space="0"/>
              <w:left w:val="nil"/>
              <w:bottom w:val="nil"/>
              <w:right w:val="nil"/>
              <w:tl2br w:val="nil"/>
              <w:tr2bl w:val="nil"/>
            </w:tcBorders>
            <w:noWrap w:val="0"/>
            <w:vAlign w:val="top"/>
          </w:tcPr>
          <w:p>
            <w:pPr>
              <w:autoSpaceDE w:val="0"/>
              <w:autoSpaceDN w:val="0"/>
              <w:adjustRightInd w:val="0"/>
              <w:spacing w:before="0" w:after="0"/>
              <w:jc w:val="center"/>
              <w:rPr>
                <w:rFonts w:hint="default" w:eastAsia="Times New Roman"/>
                <w:sz w:val="18"/>
                <w:lang w:val="zh-CN"/>
              </w:rPr>
            </w:pPr>
            <w:r>
              <w:rPr>
                <w:rFonts w:hint="default" w:eastAsia="Times New Roman"/>
                <w:sz w:val="18"/>
                <w:lang w:val="zh-CN"/>
              </w:rPr>
              <w:t>20</w:t>
            </w:r>
          </w:p>
        </w:tc>
        <w:tc>
          <w:tcPr>
            <w:tcW w:w="2870" w:type="dxa"/>
            <w:tcBorders>
              <w:top w:val="single" w:color="auto" w:sz="6" w:space="0"/>
              <w:left w:val="nil"/>
              <w:bottom w:val="nil"/>
              <w:right w:val="nil"/>
              <w:tl2br w:val="nil"/>
              <w:tr2bl w:val="nil"/>
            </w:tcBorders>
            <w:noWrap w:val="0"/>
            <w:vAlign w:val="top"/>
          </w:tcPr>
          <w:p>
            <w:pPr>
              <w:autoSpaceDE w:val="0"/>
              <w:autoSpaceDN w:val="0"/>
              <w:adjustRightInd w:val="0"/>
              <w:spacing w:before="0" w:after="0"/>
              <w:ind w:left="1"/>
              <w:jc w:val="center"/>
              <w:rPr>
                <w:rFonts w:hint="default" w:eastAsia="Times New Roman"/>
                <w:sz w:val="18"/>
                <w:lang w:val="zh-CN"/>
              </w:rPr>
            </w:pPr>
            <w:r>
              <w:rPr>
                <w:rFonts w:hint="default" w:eastAsia="Times New Roman"/>
                <w:sz w:val="18"/>
                <w:lang w:val="zh-CN"/>
              </w:rPr>
              <w:t>20</w:t>
            </w:r>
          </w:p>
        </w:tc>
      </w:tr>
      <w:tr>
        <w:tblPrEx>
          <w:tblBorders>
            <w:top w:val="single" w:color="auto" w:sz="6" w:space="0"/>
            <w:left w:val="none" w:color="auto" w:sz="0" w:space="0"/>
            <w:bottom w:val="none" w:color="auto" w:sz="0" w:space="0"/>
            <w:right w:val="none" w:color="auto" w:sz="0" w:space="0"/>
            <w:insideH w:val="single" w:color="auto" w:sz="6" w:space="0"/>
            <w:insideV w:val="none" w:color="auto" w:sz="0" w:space="0"/>
          </w:tblBorders>
          <w:tblCellMar>
            <w:top w:w="10" w:type="dxa"/>
            <w:left w:w="10" w:type="dxa"/>
            <w:bottom w:w="10" w:type="dxa"/>
            <w:right w:w="10" w:type="dxa"/>
          </w:tblCellMar>
        </w:tblPrEx>
        <w:tc>
          <w:tcPr>
            <w:tcW w:w="2869" w:type="dxa"/>
            <w:tcBorders>
              <w:top w:val="single" w:color="auto" w:sz="6" w:space="0"/>
              <w:left w:val="nil"/>
              <w:bottom w:val="nil"/>
              <w:right w:val="nil"/>
              <w:tl2br w:val="nil"/>
              <w:tr2bl w:val="nil"/>
            </w:tcBorders>
            <w:noWrap w:val="0"/>
            <w:vAlign w:val="top"/>
          </w:tcPr>
          <w:p>
            <w:pPr>
              <w:autoSpaceDE w:val="0"/>
              <w:autoSpaceDN w:val="0"/>
              <w:adjustRightInd w:val="0"/>
              <w:spacing w:before="0" w:after="0"/>
              <w:ind w:firstLine="283"/>
              <w:jc w:val="left"/>
              <w:rPr>
                <w:rFonts w:hint="default" w:eastAsia="Times New Roman"/>
                <w:sz w:val="18"/>
                <w:lang w:val="zh-CN"/>
              </w:rPr>
            </w:pPr>
            <w:r>
              <w:rPr>
                <w:rFonts w:hint="default" w:eastAsia="Times New Roman"/>
                <w:sz w:val="18"/>
                <w:lang w:val="zh-CN"/>
              </w:rPr>
              <w:t>3-4</w:t>
            </w:r>
            <w:r>
              <w:rPr>
                <w:rFonts w:hint="eastAsia" w:ascii="宋体"/>
                <w:sz w:val="18"/>
                <w:lang w:val="zh-CN"/>
              </w:rPr>
              <w:t>年（含</w:t>
            </w:r>
            <w:r>
              <w:rPr>
                <w:rFonts w:hint="default" w:eastAsia="Times New Roman"/>
                <w:sz w:val="18"/>
                <w:lang w:val="zh-CN"/>
              </w:rPr>
              <w:t>4</w:t>
            </w:r>
            <w:r>
              <w:rPr>
                <w:rFonts w:hint="eastAsia" w:ascii="宋体"/>
                <w:sz w:val="18"/>
                <w:lang w:val="zh-CN"/>
              </w:rPr>
              <w:t>年）</w:t>
            </w:r>
          </w:p>
        </w:tc>
        <w:tc>
          <w:tcPr>
            <w:tcW w:w="2870" w:type="dxa"/>
            <w:tcBorders>
              <w:top w:val="single" w:color="auto" w:sz="6" w:space="0"/>
              <w:left w:val="nil"/>
              <w:bottom w:val="nil"/>
              <w:right w:val="nil"/>
              <w:tl2br w:val="nil"/>
              <w:tr2bl w:val="nil"/>
            </w:tcBorders>
            <w:noWrap w:val="0"/>
            <w:vAlign w:val="top"/>
          </w:tcPr>
          <w:p>
            <w:pPr>
              <w:autoSpaceDE w:val="0"/>
              <w:autoSpaceDN w:val="0"/>
              <w:adjustRightInd w:val="0"/>
              <w:spacing w:before="0" w:after="0"/>
              <w:jc w:val="center"/>
              <w:rPr>
                <w:rFonts w:hint="default" w:eastAsia="Times New Roman"/>
                <w:sz w:val="18"/>
                <w:lang w:val="zh-CN"/>
              </w:rPr>
            </w:pPr>
            <w:r>
              <w:rPr>
                <w:rFonts w:hint="default" w:eastAsia="Times New Roman"/>
                <w:sz w:val="18"/>
                <w:lang w:val="zh-CN"/>
              </w:rPr>
              <w:t>30</w:t>
            </w:r>
          </w:p>
        </w:tc>
        <w:tc>
          <w:tcPr>
            <w:tcW w:w="2870" w:type="dxa"/>
            <w:tcBorders>
              <w:top w:val="single" w:color="auto" w:sz="6" w:space="0"/>
              <w:left w:val="nil"/>
              <w:bottom w:val="nil"/>
              <w:right w:val="nil"/>
              <w:tl2br w:val="nil"/>
              <w:tr2bl w:val="nil"/>
            </w:tcBorders>
            <w:noWrap w:val="0"/>
            <w:vAlign w:val="top"/>
          </w:tcPr>
          <w:p>
            <w:pPr>
              <w:autoSpaceDE w:val="0"/>
              <w:autoSpaceDN w:val="0"/>
              <w:adjustRightInd w:val="0"/>
              <w:spacing w:before="0" w:after="0"/>
              <w:ind w:left="1"/>
              <w:jc w:val="center"/>
              <w:rPr>
                <w:rFonts w:hint="default" w:eastAsia="Times New Roman"/>
                <w:sz w:val="18"/>
                <w:lang w:val="zh-CN"/>
              </w:rPr>
            </w:pPr>
            <w:r>
              <w:rPr>
                <w:rFonts w:hint="default" w:eastAsia="Times New Roman"/>
                <w:sz w:val="18"/>
                <w:lang w:val="zh-CN"/>
              </w:rPr>
              <w:t>40</w:t>
            </w:r>
          </w:p>
        </w:tc>
      </w:tr>
      <w:tr>
        <w:tblPrEx>
          <w:tblBorders>
            <w:top w:val="single" w:color="auto" w:sz="6" w:space="0"/>
            <w:left w:val="none" w:color="auto" w:sz="0" w:space="0"/>
            <w:bottom w:val="none" w:color="auto" w:sz="0" w:space="0"/>
            <w:right w:val="none" w:color="auto" w:sz="0" w:space="0"/>
            <w:insideH w:val="single" w:color="auto" w:sz="6" w:space="0"/>
            <w:insideV w:val="none" w:color="auto" w:sz="0" w:space="0"/>
          </w:tblBorders>
          <w:tblCellMar>
            <w:top w:w="10" w:type="dxa"/>
            <w:left w:w="10" w:type="dxa"/>
            <w:bottom w:w="10" w:type="dxa"/>
            <w:right w:w="10" w:type="dxa"/>
          </w:tblCellMar>
        </w:tblPrEx>
        <w:tc>
          <w:tcPr>
            <w:tcW w:w="2869" w:type="dxa"/>
            <w:tcBorders>
              <w:top w:val="single" w:color="auto" w:sz="6" w:space="0"/>
              <w:left w:val="nil"/>
              <w:bottom w:val="nil"/>
              <w:right w:val="nil"/>
              <w:tl2br w:val="nil"/>
              <w:tr2bl w:val="nil"/>
            </w:tcBorders>
            <w:noWrap w:val="0"/>
            <w:vAlign w:val="top"/>
          </w:tcPr>
          <w:p>
            <w:pPr>
              <w:autoSpaceDE w:val="0"/>
              <w:autoSpaceDN w:val="0"/>
              <w:adjustRightInd w:val="0"/>
              <w:spacing w:before="0" w:after="0"/>
              <w:ind w:firstLine="283"/>
              <w:jc w:val="left"/>
              <w:rPr>
                <w:rFonts w:hint="default" w:eastAsia="Times New Roman"/>
                <w:sz w:val="18"/>
                <w:lang w:val="zh-CN"/>
              </w:rPr>
            </w:pPr>
            <w:r>
              <w:rPr>
                <w:rFonts w:hint="default" w:eastAsia="Times New Roman"/>
                <w:sz w:val="18"/>
                <w:lang w:val="zh-CN"/>
              </w:rPr>
              <w:t>4-5</w:t>
            </w:r>
            <w:r>
              <w:rPr>
                <w:rFonts w:hint="eastAsia" w:ascii="宋体"/>
                <w:sz w:val="18"/>
                <w:lang w:val="zh-CN"/>
              </w:rPr>
              <w:t>年（含</w:t>
            </w:r>
            <w:r>
              <w:rPr>
                <w:rFonts w:hint="default" w:eastAsia="Times New Roman"/>
                <w:sz w:val="18"/>
                <w:lang w:val="zh-CN"/>
              </w:rPr>
              <w:t>5</w:t>
            </w:r>
            <w:r>
              <w:rPr>
                <w:rFonts w:hint="eastAsia" w:ascii="宋体"/>
                <w:sz w:val="18"/>
                <w:lang w:val="zh-CN"/>
              </w:rPr>
              <w:t>年）</w:t>
            </w:r>
          </w:p>
        </w:tc>
        <w:tc>
          <w:tcPr>
            <w:tcW w:w="2870" w:type="dxa"/>
            <w:tcBorders>
              <w:top w:val="single" w:color="auto" w:sz="6" w:space="0"/>
              <w:left w:val="nil"/>
              <w:bottom w:val="nil"/>
              <w:right w:val="nil"/>
              <w:tl2br w:val="nil"/>
              <w:tr2bl w:val="nil"/>
            </w:tcBorders>
            <w:noWrap w:val="0"/>
            <w:vAlign w:val="top"/>
          </w:tcPr>
          <w:p>
            <w:pPr>
              <w:autoSpaceDE w:val="0"/>
              <w:autoSpaceDN w:val="0"/>
              <w:adjustRightInd w:val="0"/>
              <w:spacing w:before="0" w:after="0"/>
              <w:jc w:val="center"/>
              <w:rPr>
                <w:rFonts w:hint="default" w:eastAsia="Times New Roman"/>
                <w:sz w:val="18"/>
                <w:lang w:val="zh-CN"/>
              </w:rPr>
            </w:pPr>
            <w:r>
              <w:rPr>
                <w:rFonts w:hint="default" w:eastAsia="Times New Roman"/>
                <w:sz w:val="18"/>
                <w:lang w:val="zh-CN"/>
              </w:rPr>
              <w:t>50</w:t>
            </w:r>
          </w:p>
        </w:tc>
        <w:tc>
          <w:tcPr>
            <w:tcW w:w="2870" w:type="dxa"/>
            <w:tcBorders>
              <w:top w:val="single" w:color="auto" w:sz="6" w:space="0"/>
              <w:left w:val="nil"/>
              <w:bottom w:val="nil"/>
              <w:right w:val="nil"/>
              <w:tl2br w:val="nil"/>
              <w:tr2bl w:val="nil"/>
            </w:tcBorders>
            <w:noWrap w:val="0"/>
            <w:vAlign w:val="top"/>
          </w:tcPr>
          <w:p>
            <w:pPr>
              <w:autoSpaceDE w:val="0"/>
              <w:autoSpaceDN w:val="0"/>
              <w:adjustRightInd w:val="0"/>
              <w:spacing w:before="0" w:after="0"/>
              <w:ind w:left="1"/>
              <w:jc w:val="center"/>
              <w:rPr>
                <w:rFonts w:hint="default" w:eastAsia="Times New Roman"/>
                <w:sz w:val="18"/>
                <w:lang w:val="zh-CN"/>
              </w:rPr>
            </w:pPr>
            <w:r>
              <w:rPr>
                <w:rFonts w:hint="default" w:eastAsia="Times New Roman"/>
                <w:sz w:val="18"/>
                <w:lang w:val="zh-CN"/>
              </w:rPr>
              <w:t>80</w:t>
            </w:r>
          </w:p>
        </w:tc>
      </w:tr>
      <w:tr>
        <w:tblPrEx>
          <w:tblBorders>
            <w:top w:val="single" w:color="auto" w:sz="6" w:space="0"/>
            <w:left w:val="none" w:color="auto" w:sz="0" w:space="0"/>
            <w:bottom w:val="none" w:color="auto" w:sz="0" w:space="0"/>
            <w:right w:val="none" w:color="auto" w:sz="0" w:space="0"/>
            <w:insideH w:val="single" w:color="auto" w:sz="6" w:space="0"/>
            <w:insideV w:val="none" w:color="auto" w:sz="0" w:space="0"/>
          </w:tblBorders>
          <w:tblCellMar>
            <w:top w:w="10" w:type="dxa"/>
            <w:left w:w="10" w:type="dxa"/>
            <w:bottom w:w="10" w:type="dxa"/>
            <w:right w:w="10" w:type="dxa"/>
          </w:tblCellMar>
        </w:tblPrEx>
        <w:tc>
          <w:tcPr>
            <w:tcW w:w="2869" w:type="dxa"/>
            <w:tcBorders>
              <w:top w:val="single" w:color="auto" w:sz="6" w:space="0"/>
              <w:left w:val="nil"/>
              <w:bottom w:val="nil"/>
              <w:right w:val="nil"/>
              <w:tl2br w:val="nil"/>
              <w:tr2bl w:val="nil"/>
            </w:tcBorders>
            <w:noWrap w:val="0"/>
            <w:vAlign w:val="top"/>
          </w:tcPr>
          <w:p>
            <w:pPr>
              <w:autoSpaceDE w:val="0"/>
              <w:autoSpaceDN w:val="0"/>
              <w:adjustRightInd w:val="0"/>
              <w:spacing w:before="0" w:after="0"/>
              <w:ind w:firstLine="283"/>
              <w:jc w:val="left"/>
              <w:rPr>
                <w:rFonts w:hint="default" w:eastAsia="Times New Roman"/>
                <w:sz w:val="18"/>
                <w:lang w:val="zh-CN"/>
              </w:rPr>
            </w:pPr>
            <w:r>
              <w:rPr>
                <w:rFonts w:hint="default" w:eastAsia="Times New Roman"/>
                <w:sz w:val="18"/>
                <w:lang w:val="zh-CN"/>
              </w:rPr>
              <w:t>5</w:t>
            </w:r>
            <w:r>
              <w:rPr>
                <w:rFonts w:hint="eastAsia" w:ascii="宋体"/>
                <w:sz w:val="18"/>
                <w:lang w:val="zh-CN"/>
              </w:rPr>
              <w:t>年以上</w:t>
            </w:r>
          </w:p>
        </w:tc>
        <w:tc>
          <w:tcPr>
            <w:tcW w:w="2870" w:type="dxa"/>
            <w:tcBorders>
              <w:top w:val="single" w:color="auto" w:sz="6" w:space="0"/>
              <w:left w:val="nil"/>
              <w:bottom w:val="nil"/>
              <w:right w:val="nil"/>
              <w:tl2br w:val="nil"/>
              <w:tr2bl w:val="nil"/>
            </w:tcBorders>
            <w:noWrap w:val="0"/>
            <w:vAlign w:val="top"/>
          </w:tcPr>
          <w:p>
            <w:pPr>
              <w:autoSpaceDE w:val="0"/>
              <w:autoSpaceDN w:val="0"/>
              <w:adjustRightInd w:val="0"/>
              <w:spacing w:before="0" w:after="0"/>
              <w:jc w:val="center"/>
              <w:rPr>
                <w:rFonts w:hint="default" w:eastAsia="Times New Roman"/>
                <w:sz w:val="18"/>
                <w:lang w:val="zh-CN"/>
              </w:rPr>
            </w:pPr>
            <w:r>
              <w:rPr>
                <w:rFonts w:hint="default" w:eastAsia="Times New Roman"/>
                <w:sz w:val="18"/>
                <w:lang w:val="zh-CN"/>
              </w:rPr>
              <w:t>100</w:t>
            </w:r>
          </w:p>
        </w:tc>
        <w:tc>
          <w:tcPr>
            <w:tcW w:w="2870" w:type="dxa"/>
            <w:tcBorders>
              <w:top w:val="single" w:color="auto" w:sz="6" w:space="0"/>
              <w:left w:val="nil"/>
              <w:bottom w:val="nil"/>
              <w:right w:val="nil"/>
              <w:tl2br w:val="nil"/>
              <w:tr2bl w:val="nil"/>
            </w:tcBorders>
            <w:noWrap w:val="0"/>
            <w:vAlign w:val="top"/>
          </w:tcPr>
          <w:p>
            <w:pPr>
              <w:autoSpaceDE w:val="0"/>
              <w:autoSpaceDN w:val="0"/>
              <w:adjustRightInd w:val="0"/>
              <w:spacing w:before="0" w:after="0"/>
              <w:ind w:left="1"/>
              <w:jc w:val="center"/>
              <w:rPr>
                <w:rFonts w:hint="default" w:eastAsia="Times New Roman"/>
                <w:sz w:val="18"/>
                <w:lang w:val="zh-CN"/>
              </w:rPr>
            </w:pPr>
            <w:r>
              <w:rPr>
                <w:rFonts w:hint="default" w:eastAsia="Times New Roman"/>
                <w:sz w:val="18"/>
                <w:lang w:val="zh-CN"/>
              </w:rPr>
              <w:t>100</w:t>
            </w:r>
          </w:p>
        </w:tc>
      </w:tr>
    </w:tbl>
    <w:p>
      <w:pPr>
        <w:autoSpaceDE w:val="0"/>
        <w:autoSpaceDN w:val="0"/>
        <w:adjustRightInd w:val="0"/>
        <w:spacing w:before="100" w:after="120"/>
        <w:ind w:firstLine="420"/>
        <w:jc w:val="left"/>
        <w:rPr>
          <w:rFonts w:hint="default" w:eastAsia="Times New Roman"/>
          <w:sz w:val="21"/>
          <w:lang w:val="zh-CN"/>
        </w:rPr>
      </w:pPr>
      <w:r>
        <w:rPr>
          <w:rFonts w:hint="eastAsia" w:ascii="宋体"/>
          <w:sz w:val="21"/>
          <w:lang w:val="zh-CN"/>
        </w:rPr>
        <w:t>注：湖南博云新材料股份有限公司、湖南博云东方粉末冶金有限公司和长沙鑫航机轮刹车有限公司按照</w:t>
      </w:r>
      <w:r>
        <w:rPr>
          <w:rFonts w:hint="default" w:eastAsia="Times New Roman"/>
          <w:sz w:val="21"/>
          <w:lang w:val="zh-CN"/>
        </w:rPr>
        <w:t>“</w:t>
      </w:r>
      <w:r>
        <w:rPr>
          <w:rFonts w:hint="eastAsia" w:ascii="宋体"/>
          <w:sz w:val="21"/>
          <w:lang w:val="zh-CN"/>
        </w:rPr>
        <w:t>预期信用损失率</w:t>
      </w:r>
      <w:r>
        <w:rPr>
          <w:rFonts w:hint="default" w:eastAsia="Times New Roman"/>
          <w:sz w:val="21"/>
          <w:lang w:val="zh-CN"/>
        </w:rPr>
        <w:t>1</w:t>
      </w:r>
      <w:r>
        <w:rPr>
          <w:rFonts w:hint="eastAsia" w:ascii="宋体"/>
          <w:sz w:val="21"/>
          <w:lang w:val="zh-CN"/>
        </w:rPr>
        <w:t>（</w:t>
      </w:r>
      <w:r>
        <w:rPr>
          <w:rFonts w:hint="default" w:eastAsia="Times New Roman"/>
          <w:sz w:val="21"/>
          <w:lang w:val="zh-CN"/>
        </w:rPr>
        <w:t>%</w:t>
      </w:r>
      <w:r>
        <w:rPr>
          <w:rFonts w:hint="eastAsia" w:ascii="宋体"/>
          <w:sz w:val="21"/>
          <w:lang w:val="zh-CN"/>
        </w:rPr>
        <w:t>）</w:t>
      </w:r>
      <w:r>
        <w:rPr>
          <w:rFonts w:hint="default" w:eastAsia="Times New Roman"/>
          <w:sz w:val="21"/>
          <w:lang w:val="zh-CN"/>
        </w:rPr>
        <w:t>”</w:t>
      </w:r>
      <w:r>
        <w:rPr>
          <w:rFonts w:hint="eastAsia" w:ascii="宋体"/>
          <w:sz w:val="21"/>
          <w:lang w:val="zh-CN"/>
        </w:rPr>
        <w:t>计提，长沙伟徽高科技新材料有限公司按照</w:t>
      </w:r>
      <w:r>
        <w:rPr>
          <w:rFonts w:hint="default" w:eastAsia="Times New Roman"/>
          <w:sz w:val="21"/>
          <w:lang w:val="zh-CN"/>
        </w:rPr>
        <w:t>“</w:t>
      </w:r>
      <w:r>
        <w:rPr>
          <w:rFonts w:hint="eastAsia" w:ascii="宋体"/>
          <w:sz w:val="21"/>
          <w:lang w:val="zh-CN"/>
        </w:rPr>
        <w:t>预期信用损失率</w:t>
      </w:r>
      <w:r>
        <w:rPr>
          <w:rFonts w:hint="default" w:eastAsia="Times New Roman"/>
          <w:sz w:val="21"/>
          <w:lang w:val="zh-CN"/>
        </w:rPr>
        <w:t>2</w:t>
      </w:r>
      <w:r>
        <w:rPr>
          <w:rFonts w:hint="eastAsia" w:ascii="宋体"/>
          <w:sz w:val="21"/>
          <w:lang w:val="zh-CN"/>
        </w:rPr>
        <w:t>（</w:t>
      </w:r>
      <w:r>
        <w:rPr>
          <w:rFonts w:hint="default" w:eastAsia="Times New Roman"/>
          <w:sz w:val="21"/>
          <w:lang w:val="zh-CN"/>
        </w:rPr>
        <w:t>%</w:t>
      </w:r>
      <w:r>
        <w:rPr>
          <w:rFonts w:hint="eastAsia" w:ascii="宋体"/>
          <w:sz w:val="21"/>
          <w:lang w:val="zh-CN"/>
        </w:rPr>
        <w:t>）</w:t>
      </w:r>
      <w:r>
        <w:rPr>
          <w:rFonts w:hint="default" w:eastAsia="Times New Roman"/>
          <w:sz w:val="21"/>
          <w:lang w:val="zh-CN"/>
        </w:rPr>
        <w:t>”</w:t>
      </w:r>
      <w:r>
        <w:rPr>
          <w:rFonts w:hint="eastAsia" w:ascii="宋体"/>
          <w:sz w:val="21"/>
          <w:lang w:val="zh-CN"/>
        </w:rPr>
        <w:t>计提。</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2</w:t>
      </w:r>
      <w:r>
        <w:rPr>
          <w:rFonts w:hint="eastAsia" w:ascii="宋体"/>
          <w:sz w:val="21"/>
          <w:lang w:val="zh-CN"/>
        </w:rPr>
        <w:t>、如果有客观证据表明某项其他应收款已经发生信用减值，则本公司对该其他应收款单项计提坏账准备并确认预期信用损失。</w:t>
      </w:r>
    </w:p>
    <w:p>
      <w:pPr>
        <w:pStyle w:val="8"/>
        <w:outlineLvl w:val="2"/>
        <w:rPr>
          <w:rFonts w:hint="default" w:eastAsia="Times New Roman"/>
          <w:sz w:val="21"/>
        </w:rPr>
      </w:pPr>
      <w:r>
        <w:rPr>
          <w:rFonts w:hint="default"/>
          <w:sz w:val="21"/>
        </w:rPr>
        <w:t>15</w:t>
      </w:r>
      <w:r>
        <w:rPr>
          <w:rFonts w:hint="eastAsia"/>
          <w:sz w:val="21"/>
        </w:rPr>
        <w:t>、存货</w:t>
      </w:r>
    </w:p>
    <w:p>
      <w:pPr>
        <w:autoSpaceDE w:val="0"/>
        <w:autoSpaceDN w:val="0"/>
        <w:adjustRightInd w:val="0"/>
        <w:spacing w:before="0" w:after="120"/>
        <w:ind w:firstLine="420"/>
        <w:jc w:val="left"/>
        <w:rPr>
          <w:rFonts w:hint="default" w:eastAsia="Times New Roman"/>
          <w:sz w:val="21"/>
          <w:lang w:val="zh-CN"/>
        </w:rPr>
      </w:pPr>
      <w:r>
        <w:rPr>
          <w:rFonts w:hint="default" w:eastAsia="Times New Roman"/>
          <w:sz w:val="21"/>
          <w:lang w:val="zh-CN"/>
        </w:rPr>
        <w:t>1</w:t>
      </w:r>
      <w:r>
        <w:rPr>
          <w:rFonts w:hint="eastAsia" w:ascii="宋体"/>
          <w:sz w:val="21"/>
          <w:lang w:val="zh-CN"/>
        </w:rPr>
        <w:t>、存货包括在生产经营过程中为销售或耗用而储备的原材料、在产品、库存商品、周转材料、委托加工物资、发出商品等。</w:t>
      </w:r>
    </w:p>
    <w:p>
      <w:pPr>
        <w:autoSpaceDE w:val="0"/>
        <w:autoSpaceDN w:val="0"/>
        <w:adjustRightInd w:val="0"/>
        <w:spacing w:before="0" w:after="120"/>
        <w:ind w:firstLine="420"/>
        <w:jc w:val="left"/>
        <w:rPr>
          <w:rFonts w:hint="default" w:eastAsia="Times New Roman"/>
          <w:sz w:val="21"/>
          <w:lang w:val="zh-CN"/>
        </w:rPr>
      </w:pPr>
      <w:r>
        <w:rPr>
          <w:rFonts w:hint="default" w:eastAsia="Times New Roman"/>
          <w:sz w:val="21"/>
          <w:lang w:val="zh-CN"/>
        </w:rPr>
        <w:t>2</w:t>
      </w:r>
      <w:r>
        <w:rPr>
          <w:rFonts w:hint="eastAsia" w:ascii="宋体"/>
          <w:sz w:val="21"/>
          <w:lang w:val="zh-CN"/>
        </w:rPr>
        <w:t>、存货按实际成本计价。购入并已验收入库的原材料按实际成本计价，领用发出时采用加权平均法核算；开发产品按实际成本计价；产成品入库按实际成本计价，发出采用加权平均法；低值易耗品于领用时一次转销列成本费用。</w:t>
      </w:r>
    </w:p>
    <w:p>
      <w:pPr>
        <w:autoSpaceDE w:val="0"/>
        <w:autoSpaceDN w:val="0"/>
        <w:adjustRightInd w:val="0"/>
        <w:spacing w:before="0" w:after="120"/>
        <w:ind w:firstLine="420"/>
        <w:jc w:val="left"/>
        <w:rPr>
          <w:rFonts w:hint="default" w:eastAsia="Times New Roman"/>
          <w:sz w:val="21"/>
          <w:lang w:val="zh-CN"/>
        </w:rPr>
      </w:pPr>
      <w:r>
        <w:rPr>
          <w:rFonts w:hint="default" w:eastAsia="Times New Roman"/>
          <w:sz w:val="21"/>
          <w:lang w:val="zh-CN"/>
        </w:rPr>
        <w:t>3</w:t>
      </w:r>
      <w:r>
        <w:rPr>
          <w:rFonts w:hint="eastAsia" w:ascii="宋体"/>
          <w:sz w:val="21"/>
          <w:lang w:val="zh-CN"/>
        </w:rPr>
        <w:t>、存货采用永续盘存制，平时不定期对存货进行清查，年末对存货进行全面清查，对清查中发现的账实差异及时进行处理。</w:t>
      </w:r>
    </w:p>
    <w:p>
      <w:pPr>
        <w:autoSpaceDE w:val="0"/>
        <w:autoSpaceDN w:val="0"/>
        <w:adjustRightInd w:val="0"/>
        <w:spacing w:before="0" w:after="120"/>
        <w:ind w:firstLine="420"/>
        <w:jc w:val="left"/>
        <w:rPr>
          <w:rFonts w:hint="default" w:eastAsia="Times New Roman"/>
          <w:sz w:val="21"/>
          <w:lang w:val="zh-CN"/>
        </w:rPr>
      </w:pPr>
      <w:r>
        <w:rPr>
          <w:rFonts w:hint="default" w:eastAsia="Times New Roman"/>
          <w:sz w:val="21"/>
          <w:lang w:val="zh-CN"/>
        </w:rPr>
        <w:t>4</w:t>
      </w:r>
      <w:r>
        <w:rPr>
          <w:rFonts w:hint="eastAsia" w:ascii="宋体"/>
          <w:sz w:val="21"/>
          <w:lang w:val="zh-CN"/>
        </w:rPr>
        <w:t>、资产负债表日，存货应当按照成本与可变现净值孰低计量。存货成本高于其可变现净值的，应当计提存货跌价准备，计入当期损益。可变现净值，是指在日常活动中，存货的估计售价减去至完工时估计将要发生的成本、估计的销售费用以及相关税费后的金额。在确定存货的可变现净值时，以取得的确凿证据为基础，同时考虑持有存货的目的以及资产负债表日后事项的影响。</w:t>
      </w:r>
    </w:p>
    <w:p>
      <w:pPr>
        <w:pStyle w:val="8"/>
        <w:outlineLvl w:val="2"/>
        <w:rPr>
          <w:rFonts w:hint="default" w:eastAsia="Times New Roman"/>
          <w:sz w:val="21"/>
        </w:rPr>
      </w:pPr>
      <w:r>
        <w:rPr>
          <w:rFonts w:hint="default"/>
          <w:sz w:val="21"/>
        </w:rPr>
        <w:t>16</w:t>
      </w:r>
      <w:r>
        <w:rPr>
          <w:rFonts w:hint="eastAsia"/>
          <w:sz w:val="21"/>
        </w:rPr>
        <w:t>、合同资产</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1</w:t>
      </w:r>
      <w:r>
        <w:rPr>
          <w:rFonts w:hint="eastAsia" w:ascii="宋体"/>
          <w:sz w:val="21"/>
          <w:lang w:val="zh-CN"/>
        </w:rPr>
        <w:t>、合同资产的确认方法及标准</w:t>
      </w:r>
    </w:p>
    <w:p>
      <w:pPr>
        <w:autoSpaceDE w:val="0"/>
        <w:autoSpaceDN w:val="0"/>
        <w:adjustRightInd w:val="0"/>
        <w:spacing w:before="0" w:after="120"/>
        <w:ind w:firstLine="420"/>
        <w:rPr>
          <w:rFonts w:hint="eastAsia" w:ascii="宋体"/>
          <w:sz w:val="21"/>
          <w:lang w:val="zh-CN"/>
        </w:rPr>
      </w:pPr>
      <w:r>
        <w:rPr>
          <w:rFonts w:hint="eastAsia" w:ascii="宋体"/>
          <w:sz w:val="21"/>
          <w:lang w:val="zh-CN"/>
        </w:rPr>
        <w:t>本公司根据履行履约义务与客户付款之间的关系在资产负债表中列示合同资产或合同负债。本公司已向客户转让商品或提供服务而有权收取的对价（除应收款项）列示为合同资产。</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2</w:t>
      </w:r>
      <w:r>
        <w:rPr>
          <w:rFonts w:hint="eastAsia" w:ascii="宋体"/>
          <w:sz w:val="21"/>
          <w:lang w:val="zh-CN"/>
        </w:rPr>
        <w:t>、合同资产预期信用损失的确定方法及会计处理方法</w:t>
      </w:r>
    </w:p>
    <w:p>
      <w:pPr>
        <w:autoSpaceDE w:val="0"/>
        <w:autoSpaceDN w:val="0"/>
        <w:adjustRightInd w:val="0"/>
        <w:spacing w:before="0" w:after="120"/>
        <w:ind w:firstLine="420"/>
        <w:rPr>
          <w:rFonts w:hint="eastAsia" w:ascii="宋体"/>
          <w:sz w:val="21"/>
          <w:lang w:val="zh-CN"/>
        </w:rPr>
      </w:pPr>
      <w:r>
        <w:rPr>
          <w:rFonts w:hint="eastAsia" w:ascii="宋体"/>
          <w:sz w:val="21"/>
          <w:lang w:val="zh-CN"/>
        </w:rPr>
        <w:t>对于不包含重大融资成分的合同资产，本公司采用预期信用损失的简化模型，即始终按照相当于整个存续期内预期信用损失的金额计量其损失准备，由此形成的损失准备的增加或转回金额，作为减值损失或利得计入当期损益。</w:t>
      </w:r>
    </w:p>
    <w:p>
      <w:pPr>
        <w:autoSpaceDE w:val="0"/>
        <w:autoSpaceDN w:val="0"/>
        <w:adjustRightInd w:val="0"/>
        <w:spacing w:before="0" w:after="120"/>
        <w:ind w:firstLine="420"/>
        <w:rPr>
          <w:rFonts w:hint="eastAsia" w:ascii="宋体"/>
          <w:sz w:val="21"/>
          <w:lang w:val="zh-CN"/>
        </w:rPr>
      </w:pPr>
      <w:r>
        <w:rPr>
          <w:rFonts w:hint="eastAsia" w:ascii="宋体"/>
          <w:sz w:val="21"/>
          <w:lang w:val="zh-CN"/>
        </w:rPr>
        <w:t>对于包含重大融资成分的合同资产，本公司选择采用预期信用损失的简化模型，即始终按照相当于整个存续期内预期信用损失的金额计量其损失准备，由此形成的损失准备的增加或转回金额，作为减值损失或利得计入当期损益。</w:t>
      </w:r>
    </w:p>
    <w:p>
      <w:pPr>
        <w:pStyle w:val="8"/>
        <w:outlineLvl w:val="2"/>
        <w:rPr>
          <w:rFonts w:hint="default" w:eastAsia="Times New Roman"/>
          <w:sz w:val="21"/>
        </w:rPr>
      </w:pPr>
      <w:r>
        <w:rPr>
          <w:rFonts w:hint="default"/>
          <w:sz w:val="21"/>
        </w:rPr>
        <w:t>17</w:t>
      </w:r>
      <w:r>
        <w:rPr>
          <w:rFonts w:hint="eastAsia"/>
          <w:sz w:val="21"/>
        </w:rPr>
        <w:t>、持有待售资产</w:t>
      </w:r>
    </w:p>
    <w:p>
      <w:pPr>
        <w:autoSpaceDE w:val="0"/>
        <w:autoSpaceDN w:val="0"/>
        <w:adjustRightInd w:val="0"/>
        <w:spacing w:before="0" w:after="120"/>
        <w:ind w:firstLine="420"/>
        <w:jc w:val="left"/>
        <w:rPr>
          <w:rFonts w:hint="default" w:eastAsia="Times New Roman"/>
          <w:sz w:val="21"/>
          <w:lang w:val="zh-CN"/>
        </w:rPr>
      </w:pPr>
      <w:r>
        <w:rPr>
          <w:rFonts w:hint="eastAsia" w:ascii="宋体"/>
          <w:sz w:val="21"/>
          <w:lang w:val="zh-CN"/>
        </w:rPr>
        <w:t>本公司将同时满足下列条件的企业组成部分（或非流动资产）划分为持有待售：（</w:t>
      </w:r>
      <w:r>
        <w:rPr>
          <w:rFonts w:hint="default" w:eastAsia="Times New Roman"/>
          <w:sz w:val="21"/>
          <w:lang w:val="zh-CN"/>
        </w:rPr>
        <w:t>1</w:t>
      </w:r>
      <w:r>
        <w:rPr>
          <w:rFonts w:hint="eastAsia" w:ascii="宋体"/>
          <w:sz w:val="21"/>
          <w:lang w:val="zh-CN"/>
        </w:rPr>
        <w:t>）根据类似交易中出售此类资产或处置组的惯例，在当前状况下即可立即出售；（</w:t>
      </w:r>
      <w:r>
        <w:rPr>
          <w:rFonts w:hint="default" w:eastAsia="Times New Roman"/>
          <w:sz w:val="21"/>
          <w:lang w:val="zh-CN"/>
        </w:rPr>
        <w:t>2</w:t>
      </w:r>
      <w:r>
        <w:rPr>
          <w:rFonts w:hint="eastAsia" w:ascii="宋体"/>
          <w:sz w:val="21"/>
          <w:lang w:val="zh-CN"/>
        </w:rPr>
        <w:t>）出售极可能发生，已经就一项出售计划作出决议且获得确定的购买承诺（确定的购买承诺，是指企业与其他方签订的具有法律约束力的购买协议，该协议包含交易价格、时间和足够严厉的违约惩罚等重要条款，使协议出现重大调整或者撤销的可能性极小。），预计出售将在一年内完成。已经获得按照有关规定需得到相关权力机构或者监管部门的批准。</w:t>
      </w:r>
    </w:p>
    <w:p>
      <w:pPr>
        <w:autoSpaceDE w:val="0"/>
        <w:autoSpaceDN w:val="0"/>
        <w:adjustRightInd w:val="0"/>
        <w:spacing w:before="0" w:after="120"/>
        <w:ind w:firstLine="420"/>
        <w:jc w:val="left"/>
        <w:rPr>
          <w:rFonts w:hint="default" w:eastAsia="Times New Roman"/>
          <w:sz w:val="21"/>
          <w:lang w:val="zh-CN"/>
        </w:rPr>
      </w:pPr>
      <w:r>
        <w:rPr>
          <w:rFonts w:hint="eastAsia" w:ascii="宋体"/>
          <w:sz w:val="21"/>
          <w:lang w:val="zh-CN"/>
        </w:rPr>
        <w:t>本公司将持有待售的预计净残值调整为反映其公允价值减去出售费用后的净额（但不得超过该项持有待售的原账面价值），原账面价值高于调整后预计净残值的差额，作为资产减值损失计入当期损益，同时计提持有待售资产减值准备。对于持有待售的处置组确认的资产减值损失金额，先抵减处置组中商誉的账面价值，再根据处置组中适用《企业会计准则第</w:t>
      </w:r>
      <w:r>
        <w:rPr>
          <w:rFonts w:hint="default" w:eastAsia="Times New Roman"/>
          <w:sz w:val="21"/>
          <w:lang w:val="zh-CN"/>
        </w:rPr>
        <w:t>42</w:t>
      </w:r>
      <w:r>
        <w:rPr>
          <w:rFonts w:hint="eastAsia" w:ascii="宋体"/>
          <w:sz w:val="21"/>
          <w:lang w:val="zh-CN"/>
        </w:rPr>
        <w:t>号</w:t>
      </w:r>
      <w:r>
        <w:rPr>
          <w:rFonts w:hint="default" w:eastAsia="Times New Roman"/>
          <w:sz w:val="21"/>
          <w:lang w:val="zh-CN"/>
        </w:rPr>
        <w:t>——</w:t>
      </w:r>
      <w:r>
        <w:rPr>
          <w:rFonts w:hint="eastAsia" w:ascii="宋体"/>
          <w:sz w:val="21"/>
          <w:lang w:val="zh-CN"/>
        </w:rPr>
        <w:t>持有待售的非流动资产、处置组和终止经营》计量规定的各项非流动资产账面价值所占比重，按比例抵减其账面价值。</w:t>
      </w:r>
    </w:p>
    <w:p>
      <w:pPr>
        <w:autoSpaceDE w:val="0"/>
        <w:autoSpaceDN w:val="0"/>
        <w:adjustRightInd w:val="0"/>
        <w:spacing w:before="0" w:after="120"/>
        <w:ind w:firstLine="420"/>
        <w:jc w:val="left"/>
        <w:rPr>
          <w:rFonts w:hint="default" w:eastAsia="Times New Roman"/>
          <w:sz w:val="21"/>
          <w:lang w:val="zh-CN"/>
        </w:rPr>
      </w:pPr>
      <w:r>
        <w:rPr>
          <w:rFonts w:hint="eastAsia" w:ascii="宋体"/>
          <w:sz w:val="21"/>
          <w:lang w:val="zh-CN"/>
        </w:rPr>
        <w:t>后续资产负债表日持有待售的非流动资产公允价值减去出售费用后的净额增加的，以前减记的金额予以恢复，并在划分为持有待售类别后确认的资产减值损失金额内转回，转回金额计入当期损益。划分为持有待售类别前确认的资产减值损失不得转回。后续资产负债表日持有待售的处置组公允价值减去出售费用后的净额增加的，以前减记的金额予以恢复，并在划分为持有待售类别后适用《企业会计准则第</w:t>
      </w:r>
      <w:r>
        <w:rPr>
          <w:rFonts w:hint="default" w:eastAsia="Times New Roman"/>
          <w:sz w:val="21"/>
          <w:lang w:val="zh-CN"/>
        </w:rPr>
        <w:t>42</w:t>
      </w:r>
      <w:r>
        <w:rPr>
          <w:rFonts w:hint="eastAsia" w:ascii="宋体"/>
          <w:sz w:val="21"/>
          <w:lang w:val="zh-CN"/>
        </w:rPr>
        <w:t>号</w:t>
      </w:r>
      <w:r>
        <w:rPr>
          <w:rFonts w:hint="default" w:eastAsia="Times New Roman"/>
          <w:sz w:val="21"/>
          <w:lang w:val="zh-CN"/>
        </w:rPr>
        <w:t>——</w:t>
      </w:r>
      <w:r>
        <w:rPr>
          <w:rFonts w:hint="eastAsia" w:ascii="宋体"/>
          <w:sz w:val="21"/>
          <w:lang w:val="zh-CN"/>
        </w:rPr>
        <w:t>持有待售的非流动资产、处置组和终止经营》计量规定的非流动资产确认的资产减值损失金额内转回，转回金额计入当期损益。已抵减的商誉账面价值，以及适用《企业会计准则第</w:t>
      </w:r>
      <w:r>
        <w:rPr>
          <w:rFonts w:hint="default" w:eastAsia="Times New Roman"/>
          <w:sz w:val="21"/>
          <w:lang w:val="zh-CN"/>
        </w:rPr>
        <w:t>42</w:t>
      </w:r>
      <w:r>
        <w:rPr>
          <w:rFonts w:hint="eastAsia" w:ascii="宋体"/>
          <w:sz w:val="21"/>
          <w:lang w:val="zh-CN"/>
        </w:rPr>
        <w:t>号</w:t>
      </w:r>
      <w:r>
        <w:rPr>
          <w:rFonts w:hint="default" w:eastAsia="Times New Roman"/>
          <w:sz w:val="21"/>
          <w:lang w:val="zh-CN"/>
        </w:rPr>
        <w:t>——</w:t>
      </w:r>
      <w:r>
        <w:rPr>
          <w:rFonts w:hint="eastAsia" w:ascii="宋体"/>
          <w:sz w:val="21"/>
          <w:lang w:val="zh-CN"/>
        </w:rPr>
        <w:t>持有待售的非流动资产、处置组和终止经营》计量规定的非流动资产在划分为持有待售类别前确认的资产减值损失不得转回。持有待售的处置组确认的资产减值损失后续转回金额，根据处置组中除商誉外适用《企业会计准则第</w:t>
      </w:r>
      <w:r>
        <w:rPr>
          <w:rFonts w:hint="default" w:eastAsia="Times New Roman"/>
          <w:sz w:val="21"/>
          <w:lang w:val="zh-CN"/>
        </w:rPr>
        <w:t>42</w:t>
      </w:r>
      <w:r>
        <w:rPr>
          <w:rFonts w:hint="eastAsia" w:ascii="宋体"/>
          <w:sz w:val="21"/>
          <w:lang w:val="zh-CN"/>
        </w:rPr>
        <w:t>号</w:t>
      </w:r>
      <w:r>
        <w:rPr>
          <w:rFonts w:hint="default" w:eastAsia="Times New Roman"/>
          <w:sz w:val="21"/>
          <w:lang w:val="zh-CN"/>
        </w:rPr>
        <w:t>——</w:t>
      </w:r>
      <w:r>
        <w:rPr>
          <w:rFonts w:hint="eastAsia" w:ascii="宋体"/>
          <w:sz w:val="21"/>
          <w:lang w:val="zh-CN"/>
        </w:rPr>
        <w:t>持有待售的非流动资产、处置组和终止经营》计量规定的各项非流动资产账面价值所占比重，按比例增加其账面价值。</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本公司因出售对子公司的投资等原因导致其丧失对子公司控制权的，无论出售后本公司是否保留部分权益性投资，在拟出售的对子公司投资满足持有待售类别划分条件时，在母公司个别财务报表中将对子公司投资整体划分为持有待售类别，在合并财务报表中将子公司所有资产和负债划分为持有待售类别。</w:t>
      </w:r>
    </w:p>
    <w:p>
      <w:pPr>
        <w:pStyle w:val="8"/>
        <w:outlineLvl w:val="2"/>
        <w:rPr>
          <w:rFonts w:hint="default" w:eastAsia="Times New Roman"/>
          <w:sz w:val="21"/>
        </w:rPr>
      </w:pPr>
      <w:r>
        <w:rPr>
          <w:rFonts w:hint="default"/>
          <w:sz w:val="21"/>
        </w:rPr>
        <w:t>18</w:t>
      </w:r>
      <w:r>
        <w:rPr>
          <w:rFonts w:hint="eastAsia"/>
          <w:sz w:val="21"/>
        </w:rPr>
        <w:t>、终止经营</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终止经营，是指企业满足下列条件之一的、能够单独区分的组成部分，且该组成部分已经处置或划分为持有待售类别：</w:t>
      </w:r>
    </w:p>
    <w:p>
      <w:pPr>
        <w:autoSpaceDE w:val="0"/>
        <w:autoSpaceDN w:val="0"/>
        <w:adjustRightInd w:val="0"/>
        <w:spacing w:before="0" w:after="120"/>
        <w:ind w:firstLine="420"/>
        <w:jc w:val="left"/>
        <w:rPr>
          <w:rFonts w:hint="default" w:eastAsia="Times New Roman"/>
          <w:sz w:val="21"/>
          <w:lang w:val="zh-CN"/>
        </w:rPr>
      </w:pPr>
      <w:r>
        <w:rPr>
          <w:rFonts w:hint="default" w:eastAsia="Times New Roman"/>
          <w:sz w:val="21"/>
          <w:lang w:val="zh-CN"/>
        </w:rPr>
        <w:t>1</w:t>
      </w:r>
      <w:r>
        <w:rPr>
          <w:rFonts w:hint="eastAsia" w:ascii="宋体"/>
          <w:sz w:val="21"/>
          <w:lang w:val="zh-CN"/>
        </w:rPr>
        <w:t>、该组成部分代表一项独立的主要业务或一个单独的主要经营地区；</w:t>
      </w:r>
    </w:p>
    <w:p>
      <w:pPr>
        <w:autoSpaceDE w:val="0"/>
        <w:autoSpaceDN w:val="0"/>
        <w:adjustRightInd w:val="0"/>
        <w:spacing w:before="0" w:after="120"/>
        <w:ind w:firstLine="420"/>
        <w:jc w:val="left"/>
        <w:rPr>
          <w:rFonts w:hint="default" w:eastAsia="Times New Roman"/>
          <w:sz w:val="21"/>
          <w:lang w:val="zh-CN"/>
        </w:rPr>
      </w:pPr>
      <w:r>
        <w:rPr>
          <w:rFonts w:hint="default" w:eastAsia="Times New Roman"/>
          <w:sz w:val="21"/>
          <w:lang w:val="zh-CN"/>
        </w:rPr>
        <w:t>2</w:t>
      </w:r>
      <w:r>
        <w:rPr>
          <w:rFonts w:hint="eastAsia" w:ascii="宋体"/>
          <w:sz w:val="21"/>
          <w:lang w:val="zh-CN"/>
        </w:rPr>
        <w:t>、该组成部分是拟对一项独立的主要业务或一个单独的主要经营地区进行处置的一项相关联计划的一部分；</w:t>
      </w:r>
    </w:p>
    <w:p>
      <w:pPr>
        <w:autoSpaceDE w:val="0"/>
        <w:autoSpaceDN w:val="0"/>
        <w:adjustRightInd w:val="0"/>
        <w:spacing w:before="0" w:after="120"/>
        <w:ind w:firstLine="420"/>
        <w:jc w:val="left"/>
        <w:rPr>
          <w:rFonts w:hint="default" w:eastAsia="Times New Roman"/>
          <w:sz w:val="21"/>
          <w:lang w:val="zh-CN"/>
        </w:rPr>
      </w:pPr>
      <w:r>
        <w:rPr>
          <w:rFonts w:hint="default" w:eastAsia="Times New Roman"/>
          <w:sz w:val="21"/>
          <w:lang w:val="zh-CN"/>
        </w:rPr>
        <w:t>3</w:t>
      </w:r>
      <w:r>
        <w:rPr>
          <w:rFonts w:hint="eastAsia" w:ascii="宋体"/>
          <w:sz w:val="21"/>
          <w:lang w:val="zh-CN"/>
        </w:rPr>
        <w:t>、该组成部分是专为转售而取得的子公司。</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本公司在利润表中分别列示持续经营损益和终止经营损益。不符合终止经营定义的持有待售的非流动资产或处置组，其减值损失和转回金额及处置损益作为持续经营损益列报。终止经营的减值损失和转回金额等经营损益及处置损益作为终止经营损益列报。</w:t>
      </w:r>
    </w:p>
    <w:p>
      <w:pPr>
        <w:pStyle w:val="8"/>
        <w:outlineLvl w:val="2"/>
        <w:rPr>
          <w:rFonts w:hint="default" w:eastAsia="Times New Roman"/>
          <w:sz w:val="21"/>
        </w:rPr>
      </w:pPr>
      <w:r>
        <w:rPr>
          <w:rFonts w:hint="default"/>
          <w:sz w:val="21"/>
        </w:rPr>
        <w:t>19</w:t>
      </w:r>
      <w:r>
        <w:rPr>
          <w:rFonts w:hint="eastAsia"/>
          <w:sz w:val="21"/>
        </w:rPr>
        <w:t>、长期股权投资</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1</w:t>
      </w:r>
      <w:r>
        <w:rPr>
          <w:rFonts w:hint="eastAsia" w:ascii="宋体"/>
          <w:sz w:val="21"/>
          <w:lang w:val="zh-CN"/>
        </w:rPr>
        <w:t>、长期股权投资的投资成本的确定</w:t>
      </w:r>
    </w:p>
    <w:p>
      <w:pPr>
        <w:autoSpaceDE w:val="0"/>
        <w:autoSpaceDN w:val="0"/>
        <w:adjustRightInd w:val="0"/>
        <w:spacing w:before="0" w:after="120"/>
        <w:ind w:firstLine="420"/>
        <w:jc w:val="left"/>
        <w:rPr>
          <w:rFonts w:hint="default" w:eastAsia="Times New Roman"/>
          <w:sz w:val="21"/>
          <w:lang w:val="zh-CN"/>
        </w:rPr>
      </w:pPr>
      <w:r>
        <w:rPr>
          <w:rFonts w:hint="eastAsia" w:ascii="宋体"/>
          <w:sz w:val="21"/>
          <w:lang w:val="zh-CN"/>
        </w:rPr>
        <w:t>（</w:t>
      </w:r>
      <w:r>
        <w:rPr>
          <w:rFonts w:hint="default" w:eastAsia="Times New Roman"/>
          <w:sz w:val="21"/>
          <w:lang w:val="zh-CN"/>
        </w:rPr>
        <w:t>1</w:t>
      </w:r>
      <w:r>
        <w:rPr>
          <w:rFonts w:hint="eastAsia" w:ascii="宋体"/>
          <w:sz w:val="21"/>
          <w:lang w:val="zh-CN"/>
        </w:rPr>
        <w:t>）同一控制下的企业合并形成的，合并方以支付现金、转让非现金资产、承担债务或发行权益性证券作为合并对价的，在合并日按照被合并方所有者权益在最终控制方合并财务报表中的账面价值的份额作为其初始投资成本。长期股权投资初始投资成本与支付的合并对价的账面价值或发行股份的面值总额之间的差额调整资本公积</w:t>
      </w:r>
      <w:r>
        <w:rPr>
          <w:rFonts w:hint="default" w:eastAsia="Times New Roman"/>
          <w:sz w:val="21"/>
          <w:lang w:val="zh-CN"/>
        </w:rPr>
        <w:t>(</w:t>
      </w:r>
      <w:r>
        <w:rPr>
          <w:rFonts w:hint="eastAsia" w:ascii="宋体"/>
          <w:sz w:val="21"/>
          <w:lang w:val="zh-CN"/>
        </w:rPr>
        <w:t>资本溢价或股本溢价</w:t>
      </w:r>
      <w:r>
        <w:rPr>
          <w:rFonts w:hint="default" w:eastAsia="Times New Roman"/>
          <w:sz w:val="21"/>
          <w:lang w:val="zh-CN"/>
        </w:rPr>
        <w:t>)</w:t>
      </w:r>
      <w:r>
        <w:rPr>
          <w:rFonts w:hint="eastAsia" w:ascii="宋体"/>
          <w:sz w:val="21"/>
          <w:lang w:val="zh-CN"/>
        </w:rPr>
        <w:t>；资本公积不足冲减的，调整留存收益。</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分步实现同一控制下企业合并的，应当以持股比例计算的合并日应享有被合并方账面所有者权益份额作为该项投资的初始投资成本。初始投资成本与其原长期股权投资账面价值加上合并日取得进一步股份新支付对价的公允价值之和的差额，调整资本公积（资本溢价或股本溢价），资本公积不足冲减的，冲减留存收益。</w:t>
      </w:r>
    </w:p>
    <w:p>
      <w:pPr>
        <w:autoSpaceDE w:val="0"/>
        <w:autoSpaceDN w:val="0"/>
        <w:adjustRightInd w:val="0"/>
        <w:spacing w:before="0" w:after="120"/>
        <w:ind w:firstLine="420"/>
        <w:jc w:val="left"/>
        <w:rPr>
          <w:rFonts w:hint="default" w:eastAsia="Times New Roman"/>
          <w:sz w:val="21"/>
          <w:lang w:val="zh-CN"/>
        </w:rPr>
      </w:pPr>
      <w:r>
        <w:rPr>
          <w:rFonts w:hint="eastAsia" w:ascii="宋体"/>
          <w:sz w:val="21"/>
          <w:lang w:val="zh-CN"/>
        </w:rPr>
        <w:t>（</w:t>
      </w:r>
      <w:r>
        <w:rPr>
          <w:rFonts w:hint="default" w:eastAsia="Times New Roman"/>
          <w:sz w:val="21"/>
          <w:lang w:val="zh-CN"/>
        </w:rPr>
        <w:t>2</w:t>
      </w:r>
      <w:r>
        <w:rPr>
          <w:rFonts w:hint="eastAsia" w:ascii="宋体"/>
          <w:sz w:val="21"/>
          <w:lang w:val="zh-CN"/>
        </w:rPr>
        <w:t>）非同一控制下的企业合并形成的，在购买日按照支付的合并对价的公允价值作为其初始投资成本。</w:t>
      </w:r>
    </w:p>
    <w:p>
      <w:pPr>
        <w:autoSpaceDE w:val="0"/>
        <w:autoSpaceDN w:val="0"/>
        <w:adjustRightInd w:val="0"/>
        <w:spacing w:before="0" w:after="120"/>
        <w:ind w:firstLine="420"/>
        <w:jc w:val="left"/>
        <w:rPr>
          <w:rFonts w:hint="default" w:eastAsia="Times New Roman"/>
          <w:sz w:val="21"/>
          <w:lang w:val="zh-CN"/>
        </w:rPr>
      </w:pPr>
      <w:r>
        <w:rPr>
          <w:rFonts w:hint="eastAsia" w:ascii="宋体"/>
          <w:sz w:val="21"/>
          <w:lang w:val="zh-CN"/>
        </w:rPr>
        <w:t>（</w:t>
      </w:r>
      <w:r>
        <w:rPr>
          <w:rFonts w:hint="default" w:eastAsia="Times New Roman"/>
          <w:sz w:val="21"/>
          <w:lang w:val="zh-CN"/>
        </w:rPr>
        <w:t>3</w:t>
      </w:r>
      <w:r>
        <w:rPr>
          <w:rFonts w:hint="eastAsia" w:ascii="宋体"/>
          <w:sz w:val="21"/>
          <w:lang w:val="zh-CN"/>
        </w:rPr>
        <w:t>）除企业合并形成以外的：以支付现金取得的，按照实际支付的购买价款作为其初始投资成本；以发行权益性证券取得的，按照发行权益性证券的公允价值作为其初始投资成本；投资者投入的，按照投资合同或协议约定的价值作为其初始投资成本（合同或协议约定价值不公允的除外）。</w:t>
      </w:r>
    </w:p>
    <w:p>
      <w:pPr>
        <w:autoSpaceDE w:val="0"/>
        <w:autoSpaceDN w:val="0"/>
        <w:adjustRightInd w:val="0"/>
        <w:spacing w:before="0" w:after="120"/>
        <w:ind w:firstLine="420"/>
        <w:jc w:val="left"/>
        <w:rPr>
          <w:rFonts w:hint="default" w:eastAsia="Times New Roman"/>
          <w:sz w:val="21"/>
          <w:lang w:val="zh-CN"/>
        </w:rPr>
      </w:pPr>
      <w:r>
        <w:rPr>
          <w:rFonts w:hint="default" w:eastAsia="Times New Roman"/>
          <w:sz w:val="21"/>
          <w:lang w:val="zh-CN"/>
        </w:rPr>
        <w:t>2</w:t>
      </w:r>
      <w:r>
        <w:rPr>
          <w:rFonts w:hint="eastAsia" w:ascii="宋体"/>
          <w:sz w:val="21"/>
          <w:lang w:val="zh-CN"/>
        </w:rPr>
        <w:t>、后续计量及损益确认方法</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本公司能够对被投资单位实施控制的长期股权投资，在本公司个别财务报表中采用成本法核算；对具有共同控制或重大影响的长期股权投资，采用权益法核算。</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采用成本法时，长期股权投资按初始投资成本计价，除取得投资时实际支付的价款或对价中包含的已宣告但尚未发放的现金股利或利润外，按享有被投资单位宣告分派的现金股利或利润，确认为当期投资收益，并同时根据有关资产减值政策考虑长期投资是否减值。</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采用权益法时，长期股权投资的初始投资成本大于投资时应享有被投资单位可辨认净资产公允价值份额的，归入长期股权投资的初始投资成本；长期股权投资的初始投资成本小于投资时应享有被投资单位可辨认净资产公允价值份额的，其差额计入当期损益，同时调整长期股权投资的成本。</w:t>
      </w:r>
    </w:p>
    <w:p>
      <w:pPr>
        <w:autoSpaceDE w:val="0"/>
        <w:autoSpaceDN w:val="0"/>
        <w:adjustRightInd w:val="0"/>
        <w:spacing w:before="0" w:after="120"/>
        <w:ind w:firstLine="420"/>
        <w:jc w:val="left"/>
        <w:rPr>
          <w:rFonts w:hint="default" w:eastAsia="Times New Roman"/>
          <w:sz w:val="21"/>
          <w:lang w:val="zh-CN"/>
        </w:rPr>
      </w:pPr>
      <w:r>
        <w:rPr>
          <w:rFonts w:hint="eastAsia" w:ascii="宋体"/>
          <w:sz w:val="21"/>
          <w:lang w:val="zh-CN"/>
        </w:rPr>
        <w:t>采用权益法时</w:t>
      </w:r>
      <w:r>
        <w:rPr>
          <w:rFonts w:hint="default" w:eastAsia="Times New Roman"/>
          <w:sz w:val="21"/>
          <w:lang w:val="zh-CN"/>
        </w:rPr>
        <w:t>,</w:t>
      </w:r>
      <w:r>
        <w:rPr>
          <w:rFonts w:hint="eastAsia" w:ascii="宋体"/>
          <w:sz w:val="21"/>
          <w:lang w:val="zh-CN"/>
        </w:rPr>
        <w:t>取得长期股权投资后，按照应享有或应分担的被投资单位实现的净损益的份额，确认投资损益并调整长期股权投资的账面价值。在确认应享有被投资单位净损益的份额时，以取得投资时被投资单位各项可辨认资产等的公允价值为基础，按照本公司的会计政策及会计期间，并抵销与联营企业及合营企业之间发生的内部交易损益按照持股比例计算归属于投资企业的部分</w:t>
      </w:r>
      <w:r>
        <w:rPr>
          <w:rFonts w:hint="default" w:eastAsia="Times New Roman"/>
          <w:sz w:val="21"/>
          <w:lang w:val="zh-CN"/>
        </w:rPr>
        <w:t>(</w:t>
      </w:r>
      <w:r>
        <w:rPr>
          <w:rFonts w:hint="eastAsia" w:ascii="宋体"/>
          <w:sz w:val="21"/>
          <w:lang w:val="zh-CN"/>
        </w:rPr>
        <w:t>但内部交易损失属于资产减值损失的</w:t>
      </w:r>
      <w:r>
        <w:rPr>
          <w:rFonts w:hint="default" w:eastAsia="Times New Roman"/>
          <w:sz w:val="21"/>
          <w:lang w:val="zh-CN"/>
        </w:rPr>
        <w:t>,</w:t>
      </w:r>
      <w:r>
        <w:rPr>
          <w:rFonts w:hint="eastAsia" w:ascii="宋体"/>
          <w:sz w:val="21"/>
          <w:lang w:val="zh-CN"/>
        </w:rPr>
        <w:t>应全额确认</w:t>
      </w:r>
      <w:r>
        <w:rPr>
          <w:rFonts w:hint="default" w:eastAsia="Times New Roman"/>
          <w:sz w:val="21"/>
          <w:lang w:val="zh-CN"/>
        </w:rPr>
        <w:t>)</w:t>
      </w:r>
      <w:r>
        <w:rPr>
          <w:rFonts w:hint="eastAsia" w:ascii="宋体"/>
          <w:sz w:val="21"/>
          <w:lang w:val="zh-CN"/>
        </w:rPr>
        <w:t>，对被投资单位的净利润进行调整后确认。按照被投资单位宣告分派的利润或现金股利计算应分得的部分，相应减少长期股权投资的账面价值。本公司确认被投资单位发生的净亏损，以长期股权投资的账面价值以及其他实质上构成对被投资单位净投资的长期权益减记至零为限，本公司负有承担额外损失义务的除外。对于被投资单位其他综合收益的变动，按照应享有或应分担的其他综合收益份额，确认其他综合收益，同时调整长期股权投资的账面价值；对于被投资单位除净损益、其他综合收益和利润分配以外所有者权益的其他变动，调整长期股权投资的账面价值并计入资本公积。</w:t>
      </w:r>
    </w:p>
    <w:p>
      <w:pPr>
        <w:autoSpaceDE w:val="0"/>
        <w:autoSpaceDN w:val="0"/>
        <w:adjustRightInd w:val="0"/>
        <w:spacing w:before="0" w:after="120"/>
        <w:ind w:firstLine="420"/>
        <w:jc w:val="left"/>
        <w:rPr>
          <w:rFonts w:hint="default" w:eastAsia="Times New Roman"/>
          <w:sz w:val="21"/>
          <w:lang w:val="zh-CN"/>
        </w:rPr>
      </w:pPr>
      <w:r>
        <w:rPr>
          <w:rFonts w:hint="default" w:eastAsia="Times New Roman"/>
          <w:sz w:val="21"/>
          <w:lang w:val="zh-CN"/>
        </w:rPr>
        <w:t>3</w:t>
      </w:r>
      <w:r>
        <w:rPr>
          <w:rFonts w:hint="eastAsia" w:ascii="宋体"/>
          <w:sz w:val="21"/>
          <w:lang w:val="zh-CN"/>
        </w:rPr>
        <w:t>、确定对被投资单位具有控制、重大影响的依据</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控制，是指拥有对被投资方的权力，通过参与被投资方的相关活动而享有可变回报，并且有能力运用对被投资方的权力影响回报金额；重大影响，是指投资方对被投资单位的财务和经营政策有参与决策的权力，但并不能够控制或者与其他方一起共同控制这些政策的制定。</w:t>
      </w:r>
    </w:p>
    <w:p>
      <w:pPr>
        <w:autoSpaceDE w:val="0"/>
        <w:autoSpaceDN w:val="0"/>
        <w:adjustRightInd w:val="0"/>
        <w:spacing w:before="0" w:after="120"/>
        <w:ind w:firstLine="420"/>
        <w:jc w:val="left"/>
        <w:rPr>
          <w:rFonts w:hint="default" w:eastAsia="Times New Roman"/>
          <w:sz w:val="21"/>
          <w:lang w:val="zh-CN"/>
        </w:rPr>
      </w:pPr>
      <w:r>
        <w:rPr>
          <w:rFonts w:hint="default" w:eastAsia="Times New Roman"/>
          <w:sz w:val="21"/>
          <w:lang w:val="zh-CN"/>
        </w:rPr>
        <w:t>4</w:t>
      </w:r>
      <w:r>
        <w:rPr>
          <w:rFonts w:hint="eastAsia" w:ascii="宋体"/>
          <w:sz w:val="21"/>
          <w:lang w:val="zh-CN"/>
        </w:rPr>
        <w:t>、长期股权投资的处置</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w:t>
      </w:r>
      <w:r>
        <w:rPr>
          <w:rFonts w:hint="default" w:eastAsia="Times New Roman"/>
          <w:sz w:val="21"/>
          <w:lang w:val="zh-CN"/>
        </w:rPr>
        <w:t>1</w:t>
      </w:r>
      <w:r>
        <w:rPr>
          <w:rFonts w:hint="eastAsia" w:ascii="宋体"/>
          <w:sz w:val="21"/>
          <w:lang w:val="zh-CN"/>
        </w:rPr>
        <w:t>）部分处置对子公司的长期股权投资，但不丧失控制权的情形</w:t>
      </w:r>
    </w:p>
    <w:p>
      <w:pPr>
        <w:autoSpaceDE w:val="0"/>
        <w:autoSpaceDN w:val="0"/>
        <w:adjustRightInd w:val="0"/>
        <w:spacing w:before="0" w:after="120"/>
        <w:ind w:firstLine="420"/>
        <w:rPr>
          <w:rFonts w:hint="eastAsia" w:ascii="宋体"/>
          <w:sz w:val="21"/>
          <w:lang w:val="zh-CN"/>
        </w:rPr>
      </w:pPr>
      <w:r>
        <w:rPr>
          <w:rFonts w:hint="eastAsia" w:ascii="宋体"/>
          <w:sz w:val="21"/>
          <w:lang w:val="zh-CN"/>
        </w:rPr>
        <w:t>部分处置对子公司的长期股权投资，但不丧失控制权时，应当将处置价款与处置投资对应的账面价值的差额确认为当期投资收益。</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w:t>
      </w:r>
      <w:r>
        <w:rPr>
          <w:rFonts w:hint="default" w:eastAsia="Times New Roman"/>
          <w:sz w:val="21"/>
          <w:lang w:val="zh-CN"/>
        </w:rPr>
        <w:t>2</w:t>
      </w:r>
      <w:r>
        <w:rPr>
          <w:rFonts w:hint="eastAsia" w:ascii="宋体"/>
          <w:sz w:val="21"/>
          <w:lang w:val="zh-CN"/>
        </w:rPr>
        <w:t>）部分处置股权投资或其他原因丧失了对子公司控制权的情形</w:t>
      </w:r>
    </w:p>
    <w:p>
      <w:pPr>
        <w:autoSpaceDE w:val="0"/>
        <w:autoSpaceDN w:val="0"/>
        <w:adjustRightInd w:val="0"/>
        <w:spacing w:before="0" w:after="120"/>
        <w:ind w:firstLine="420"/>
        <w:rPr>
          <w:rFonts w:hint="eastAsia" w:ascii="宋体"/>
          <w:sz w:val="21"/>
          <w:lang w:val="zh-CN"/>
        </w:rPr>
      </w:pPr>
      <w:r>
        <w:rPr>
          <w:rFonts w:hint="eastAsia" w:ascii="宋体"/>
          <w:sz w:val="21"/>
          <w:lang w:val="zh-CN"/>
        </w:rPr>
        <w:t>部分处置股权投资或其他原因丧失了对子公司控制权的，对于处置的股权，应结转与所售股权相对应的长期股权投资的账面价值，出售所得价款与处置长期股权投资账面价值之间差额，确认为投资收益（损失）；同时，对于剩余股权，应当按其账面价值确认为长期股权投资或其它相关金融资产。处置后的剩余股权能够对子公司实施共同控制或重大影响的，应按有关成本法转为权益法的相关规定进行会计处理。</w:t>
      </w:r>
    </w:p>
    <w:p>
      <w:pPr>
        <w:autoSpaceDE w:val="0"/>
        <w:autoSpaceDN w:val="0"/>
        <w:adjustRightInd w:val="0"/>
        <w:spacing w:before="0" w:after="120"/>
        <w:ind w:firstLine="420"/>
        <w:jc w:val="left"/>
        <w:rPr>
          <w:rFonts w:hint="default" w:eastAsia="Times New Roman"/>
          <w:sz w:val="21"/>
          <w:lang w:val="zh-CN"/>
        </w:rPr>
      </w:pPr>
      <w:r>
        <w:rPr>
          <w:rFonts w:hint="default" w:eastAsia="Times New Roman"/>
          <w:sz w:val="21"/>
          <w:lang w:val="zh-CN"/>
        </w:rPr>
        <w:t>5</w:t>
      </w:r>
      <w:r>
        <w:rPr>
          <w:rFonts w:hint="eastAsia" w:ascii="宋体"/>
          <w:sz w:val="21"/>
          <w:lang w:val="zh-CN"/>
        </w:rPr>
        <w:t>、减值测试方法及减值准备计提方法</w:t>
      </w:r>
    </w:p>
    <w:p>
      <w:pPr>
        <w:autoSpaceDE w:val="0"/>
        <w:autoSpaceDN w:val="0"/>
        <w:adjustRightInd w:val="0"/>
        <w:spacing w:before="0" w:after="120"/>
        <w:ind w:firstLine="420"/>
        <w:rPr>
          <w:rFonts w:hint="eastAsia" w:ascii="宋体"/>
          <w:sz w:val="21"/>
          <w:lang w:val="zh-CN"/>
        </w:rPr>
      </w:pPr>
      <w:r>
        <w:rPr>
          <w:rFonts w:hint="eastAsia" w:ascii="宋体"/>
          <w:sz w:val="21"/>
          <w:lang w:val="zh-CN"/>
        </w:rPr>
        <w:t>对子公司、联营企业及合营企业的投资，在资产负债表日有客观证据表明其发生减值的，按照账面价值与可收回金额的差额计提相应的减值准备。</w:t>
      </w:r>
    </w:p>
    <w:p>
      <w:pPr>
        <w:pStyle w:val="8"/>
        <w:outlineLvl w:val="2"/>
        <w:rPr>
          <w:rFonts w:hint="default" w:eastAsia="Times New Roman"/>
          <w:sz w:val="21"/>
        </w:rPr>
      </w:pPr>
      <w:r>
        <w:rPr>
          <w:rFonts w:hint="default"/>
          <w:sz w:val="21"/>
        </w:rPr>
        <w:t>20</w:t>
      </w:r>
      <w:r>
        <w:rPr>
          <w:rFonts w:hint="eastAsia"/>
          <w:sz w:val="21"/>
        </w:rPr>
        <w:t>、固定资产</w:t>
      </w:r>
    </w:p>
    <w:p>
      <w:pPr>
        <w:pStyle w:val="8"/>
        <w:outlineLvl w:val="3"/>
        <w:rPr>
          <w:rFonts w:hint="default" w:eastAsia="Times New Roman"/>
          <w:sz w:val="21"/>
        </w:rPr>
      </w:pPr>
      <w:r>
        <w:rPr>
          <w:rFonts w:hint="eastAsia"/>
          <w:sz w:val="21"/>
        </w:rPr>
        <w:t>（</w:t>
      </w:r>
      <w:r>
        <w:rPr>
          <w:rFonts w:hint="default"/>
          <w:sz w:val="21"/>
        </w:rPr>
        <w:t>1</w:t>
      </w:r>
      <w:r>
        <w:rPr>
          <w:rFonts w:hint="eastAsia"/>
          <w:sz w:val="21"/>
        </w:rPr>
        <w:t>）确认条件</w:t>
      </w:r>
    </w:p>
    <w:p>
      <w:pPr>
        <w:ind w:firstLine="360" w:firstLineChars="200"/>
        <w:jc w:val="left"/>
        <w:rPr>
          <w:rFonts w:hint="default" w:eastAsia="Times New Roman"/>
          <w:sz w:val="18"/>
        </w:rPr>
      </w:pPr>
      <w:r>
        <w:rPr>
          <w:rFonts w:hint="eastAsia"/>
          <w:sz w:val="18"/>
        </w:rPr>
        <w:t>固定资产是指为生产商品、提供劳务、出租或经营管理而持有的，使用年限超过一个会计年度的有形资产。包括房屋及建筑物、机器设备、运输工具、办公设备及其他等。</w:t>
      </w:r>
    </w:p>
    <w:p>
      <w:pPr>
        <w:ind w:firstLine="360" w:firstLineChars="200"/>
        <w:jc w:val="left"/>
        <w:rPr>
          <w:rFonts w:hint="default" w:eastAsia="Times New Roman"/>
          <w:sz w:val="18"/>
        </w:rPr>
      </w:pPr>
      <w:r>
        <w:rPr>
          <w:rFonts w:hint="eastAsia"/>
          <w:sz w:val="18"/>
        </w:rPr>
        <w:t>固定资产以取得时的成本作为入账价值。</w:t>
      </w:r>
    </w:p>
    <w:p>
      <w:pPr>
        <w:ind w:firstLine="360" w:firstLineChars="200"/>
        <w:jc w:val="left"/>
        <w:rPr>
          <w:rFonts w:hint="default" w:eastAsia="Times New Roman"/>
          <w:sz w:val="18"/>
        </w:rPr>
      </w:pPr>
      <w:r>
        <w:rPr>
          <w:rFonts w:hint="eastAsia"/>
          <w:sz w:val="18"/>
        </w:rPr>
        <w:t>固定资产折旧采用年限平均法，从其达到预定可使用状态的次月起提取折旧。除已提足折旧仍继续使用的固定资产，对所有固定资产计提折旧。折旧按预计的使用年限，以分类或单项折旧率按月计算，并根据用途分别计入相关资产的成本或当期费用。已计提减值准备的固定资产以扣除已计提的固定资产减值准备累计金额后的金额作为应计折旧额。对持有待售的固定资产，停止计提折旧并对其预计净残值进行调整。</w:t>
      </w:r>
    </w:p>
    <w:p>
      <w:pPr>
        <w:ind w:firstLine="360" w:firstLineChars="200"/>
        <w:jc w:val="left"/>
        <w:rPr>
          <w:rFonts w:hint="default" w:eastAsia="Times New Roman"/>
          <w:sz w:val="18"/>
        </w:rPr>
      </w:pPr>
      <w:r>
        <w:rPr>
          <w:rFonts w:hint="eastAsia"/>
          <w:sz w:val="18"/>
        </w:rPr>
        <w:t>固定资产后续支出的处理：固定资产的修理与维护支出于发生时计入当期损益。固定资产的重大改建、扩建、改良及装修等发生的后续支出，在使该固定资产可能流入企业的经济利益超过了原先的估计时，予以资本化；重大改建、扩建及改良等发生的后续支出按直线法在固定资产尚可使用年限期间内计提折旧；装修支出按直线法在预计受益期间内计提折旧。</w:t>
      </w:r>
    </w:p>
    <w:p>
      <w:pPr>
        <w:pStyle w:val="8"/>
        <w:numPr>
          <w:ilvl w:val="0"/>
          <w:numId w:val="1"/>
        </w:numPr>
        <w:outlineLvl w:val="3"/>
        <w:rPr>
          <w:rFonts w:hint="default" w:eastAsia="Times New Roman"/>
          <w:sz w:val="21"/>
        </w:rPr>
      </w:pPr>
      <w:r>
        <w:rPr>
          <w:rFonts w:hint="eastAsia"/>
          <w:sz w:val="21"/>
        </w:rPr>
        <w:t>折旧方法</w:t>
      </w:r>
    </w:p>
    <w:p>
      <w:pPr>
        <w:ind w:firstLine="360" w:firstLineChars="200"/>
        <w:jc w:val="left"/>
        <w:rPr>
          <w:rFonts w:hint="default" w:eastAsia="Times New Roman"/>
          <w:sz w:val="18"/>
        </w:rPr>
      </w:pPr>
      <w:r>
        <w:rPr>
          <w:rFonts w:hint="eastAsia"/>
          <w:sz w:val="18"/>
        </w:rPr>
        <w:t>各类固定资产的预计净残值率、预计使用年限和年折旧率如下：</w:t>
      </w:r>
    </w:p>
    <w:p>
      <w:pPr>
        <w:rPr>
          <w:rFonts w:hint="default" w:eastAsia="Times New Roman"/>
          <w:sz w:val="18"/>
        </w:rPr>
      </w:pP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eastAsia="Times New Roman"/>
                <w:sz w:val="18"/>
              </w:rPr>
            </w:pPr>
            <w:r>
              <w:rPr>
                <w:rFonts w:hint="eastAsia"/>
                <w:sz w:val="18"/>
              </w:rPr>
              <w:t>类别</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eastAsia="Times New Roman"/>
                <w:sz w:val="18"/>
              </w:rPr>
            </w:pPr>
            <w:r>
              <w:rPr>
                <w:rFonts w:hint="eastAsia"/>
                <w:sz w:val="18"/>
              </w:rPr>
              <w:t>折旧方法</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eastAsia="Times New Roman"/>
                <w:sz w:val="18"/>
              </w:rPr>
            </w:pPr>
            <w:r>
              <w:rPr>
                <w:rFonts w:hint="eastAsia"/>
                <w:sz w:val="18"/>
              </w:rPr>
              <w:t>折旧年限</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eastAsia="Times New Roman"/>
                <w:sz w:val="18"/>
              </w:rPr>
            </w:pPr>
            <w:r>
              <w:rPr>
                <w:rFonts w:hint="eastAsia"/>
                <w:sz w:val="18"/>
              </w:rPr>
              <w:t>残值率</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default" w:eastAsia="Times New Roman"/>
                <w:sz w:val="18"/>
              </w:rPr>
            </w:pPr>
            <w:r>
              <w:rPr>
                <w:rFonts w:hint="eastAsia"/>
                <w:sz w:val="18"/>
              </w:rPr>
              <w:t>年折旧率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eastAsia="Times New Roman"/>
                <w:sz w:val="18"/>
              </w:rPr>
            </w:pPr>
            <w:r>
              <w:rPr>
                <w:rFonts w:hint="eastAsia"/>
                <w:sz w:val="18"/>
              </w:rPr>
              <w:t>房屋及建筑物</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eastAsia="Times New Roman"/>
                <w:sz w:val="18"/>
              </w:rPr>
            </w:pPr>
            <w:r>
              <w:rPr>
                <w:rFonts w:hint="eastAsia"/>
                <w:sz w:val="18"/>
              </w:rPr>
              <w:t>年限平均法</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rPr>
            </w:pPr>
            <w:r>
              <w:rPr>
                <w:rFonts w:hint="default"/>
                <w:sz w:val="18"/>
              </w:rPr>
              <w:t>10-40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rPr>
            </w:pPr>
            <w:r>
              <w:rPr>
                <w:rFonts w:hint="default"/>
                <w:sz w:val="18"/>
              </w:rPr>
              <w:t>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rPr>
            </w:pPr>
            <w:r>
              <w:rPr>
                <w:rFonts w:hint="default"/>
                <w:sz w:val="18"/>
              </w:rPr>
              <w:t>2.38-9.50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eastAsia="Times New Roman"/>
                <w:sz w:val="18"/>
              </w:rPr>
            </w:pPr>
            <w:r>
              <w:rPr>
                <w:rFonts w:hint="eastAsia"/>
                <w:sz w:val="18"/>
              </w:rPr>
              <w:t>机器设备</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eastAsia="Times New Roman"/>
                <w:sz w:val="18"/>
              </w:rPr>
            </w:pPr>
            <w:r>
              <w:rPr>
                <w:rFonts w:hint="eastAsia"/>
                <w:sz w:val="18"/>
              </w:rPr>
              <w:t>年限平均法</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rPr>
            </w:pPr>
            <w:r>
              <w:rPr>
                <w:rFonts w:hint="default"/>
                <w:sz w:val="18"/>
              </w:rPr>
              <w:t>3-10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rPr>
            </w:pPr>
            <w:r>
              <w:rPr>
                <w:rFonts w:hint="default"/>
                <w:sz w:val="18"/>
              </w:rPr>
              <w:t>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rPr>
            </w:pPr>
            <w:r>
              <w:rPr>
                <w:rFonts w:hint="default"/>
                <w:sz w:val="18"/>
              </w:rPr>
              <w:t>9.50-31.67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eastAsia="Times New Roman"/>
                <w:sz w:val="18"/>
              </w:rPr>
            </w:pPr>
            <w:r>
              <w:rPr>
                <w:rFonts w:hint="eastAsia"/>
                <w:sz w:val="18"/>
              </w:rPr>
              <w:t>运输工具</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eastAsia="Times New Roman"/>
                <w:sz w:val="18"/>
              </w:rPr>
            </w:pPr>
            <w:r>
              <w:rPr>
                <w:rFonts w:hint="eastAsia"/>
                <w:sz w:val="18"/>
              </w:rPr>
              <w:t>年限平均法</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rPr>
            </w:pPr>
            <w:r>
              <w:rPr>
                <w:rFonts w:hint="default"/>
                <w:sz w:val="18"/>
              </w:rPr>
              <w:t>5-10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rPr>
            </w:pPr>
            <w:r>
              <w:rPr>
                <w:rFonts w:hint="default"/>
                <w:sz w:val="18"/>
              </w:rPr>
              <w:t>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rPr>
            </w:pPr>
            <w:r>
              <w:rPr>
                <w:rFonts w:hint="default"/>
                <w:sz w:val="18"/>
              </w:rPr>
              <w:t>9.50-19.00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eastAsia="Times New Roman"/>
                <w:sz w:val="18"/>
              </w:rPr>
            </w:pPr>
            <w:r>
              <w:rPr>
                <w:rFonts w:hint="eastAsia"/>
                <w:sz w:val="18"/>
              </w:rPr>
              <w:t>办公设备及其他</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eastAsia="Times New Roman"/>
                <w:sz w:val="18"/>
              </w:rPr>
            </w:pPr>
            <w:r>
              <w:rPr>
                <w:rFonts w:hint="eastAsia"/>
                <w:sz w:val="18"/>
              </w:rPr>
              <w:t>年限平均法</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rPr>
            </w:pPr>
            <w:r>
              <w:rPr>
                <w:rFonts w:hint="default"/>
                <w:sz w:val="18"/>
              </w:rPr>
              <w:t>3-5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rPr>
            </w:pPr>
            <w:r>
              <w:rPr>
                <w:rFonts w:hint="default"/>
                <w:sz w:val="18"/>
              </w:rPr>
              <w:t>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default"/>
                <w:sz w:val="18"/>
              </w:rPr>
            </w:pPr>
            <w:r>
              <w:rPr>
                <w:rFonts w:hint="default"/>
                <w:sz w:val="18"/>
              </w:rPr>
              <w:t>19.00-31.67</w:t>
            </w:r>
          </w:p>
        </w:tc>
      </w:tr>
    </w:tbl>
    <w:p>
      <w:pPr>
        <w:autoSpaceDE w:val="0"/>
        <w:autoSpaceDN w:val="0"/>
        <w:adjustRightInd w:val="0"/>
        <w:spacing w:before="100" w:after="120"/>
        <w:ind w:firstLine="420"/>
        <w:jc w:val="left"/>
        <w:rPr>
          <w:rFonts w:hint="eastAsia" w:ascii="宋体"/>
          <w:sz w:val="21"/>
          <w:lang w:val="zh-CN"/>
        </w:rPr>
      </w:pPr>
      <w:r>
        <w:rPr>
          <w:rFonts w:hint="eastAsia" w:ascii="宋体"/>
          <w:sz w:val="21"/>
          <w:lang w:val="zh-CN"/>
        </w:rPr>
        <w:t>固定资产减值准备的计提方法</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年末如果出现了市价持续下跌，或技术陈旧、损坏、长期闲置等减值迹象，导致固定资产可收回金额低于账面价值的，按单项固定资产可收回金额低于年末账面价值的差额计提固定资产减值准备。可收回金额根据固定资产的公允价值减去处置费用后的净额与资产预计未来现金流量的现值之间较高者确定。</w:t>
      </w:r>
    </w:p>
    <w:p>
      <w:pPr>
        <w:pStyle w:val="8"/>
        <w:outlineLvl w:val="2"/>
        <w:rPr>
          <w:rFonts w:hint="default" w:eastAsia="Times New Roman"/>
          <w:sz w:val="21"/>
        </w:rPr>
      </w:pPr>
      <w:r>
        <w:rPr>
          <w:rFonts w:hint="default"/>
          <w:sz w:val="21"/>
        </w:rPr>
        <w:t>21</w:t>
      </w:r>
      <w:r>
        <w:rPr>
          <w:rFonts w:hint="eastAsia"/>
          <w:sz w:val="21"/>
        </w:rPr>
        <w:t>、在建工程</w:t>
      </w:r>
    </w:p>
    <w:p>
      <w:pPr>
        <w:autoSpaceDE w:val="0"/>
        <w:autoSpaceDN w:val="0"/>
        <w:adjustRightInd w:val="0"/>
        <w:spacing w:before="0" w:after="156"/>
        <w:ind w:firstLine="420"/>
        <w:jc w:val="left"/>
        <w:rPr>
          <w:rFonts w:hint="eastAsia" w:ascii="宋体"/>
          <w:sz w:val="21"/>
          <w:lang w:val="zh-CN"/>
        </w:rPr>
      </w:pPr>
      <w:r>
        <w:rPr>
          <w:rFonts w:hint="eastAsia" w:ascii="宋体"/>
          <w:sz w:val="21"/>
          <w:lang w:val="zh-CN"/>
        </w:rPr>
        <w:t>在建工程的核算方法</w:t>
      </w:r>
    </w:p>
    <w:p>
      <w:pPr>
        <w:autoSpaceDE w:val="0"/>
        <w:autoSpaceDN w:val="0"/>
        <w:adjustRightInd w:val="0"/>
        <w:spacing w:before="0" w:after="156"/>
        <w:ind w:firstLine="420"/>
        <w:jc w:val="left"/>
        <w:rPr>
          <w:rFonts w:hint="eastAsia" w:ascii="宋体"/>
          <w:sz w:val="21"/>
          <w:lang w:val="zh-CN"/>
        </w:rPr>
      </w:pPr>
      <w:r>
        <w:rPr>
          <w:rFonts w:hint="eastAsia" w:ascii="宋体"/>
          <w:sz w:val="21"/>
          <w:lang w:val="zh-CN"/>
        </w:rPr>
        <w:t>在建工程分为自营建造工程和出包建造工程两类。</w:t>
      </w:r>
    </w:p>
    <w:p>
      <w:pPr>
        <w:autoSpaceDE w:val="0"/>
        <w:autoSpaceDN w:val="0"/>
        <w:adjustRightInd w:val="0"/>
        <w:spacing w:before="0" w:after="156"/>
        <w:ind w:firstLine="420"/>
        <w:jc w:val="left"/>
        <w:rPr>
          <w:rFonts w:hint="default" w:eastAsia="Times New Roman"/>
          <w:sz w:val="21"/>
          <w:lang w:val="zh-CN"/>
        </w:rPr>
      </w:pPr>
      <w:r>
        <w:rPr>
          <w:rFonts w:hint="default"/>
          <w:sz w:val="21"/>
          <w:lang w:val="zh-CN"/>
        </w:rPr>
        <w:t>1</w:t>
      </w:r>
      <w:r>
        <w:rPr>
          <w:rFonts w:hint="eastAsia" w:ascii="宋体"/>
          <w:sz w:val="21"/>
          <w:lang w:val="zh-CN"/>
        </w:rPr>
        <w:t>、在建工程的计价</w:t>
      </w:r>
    </w:p>
    <w:p>
      <w:pPr>
        <w:autoSpaceDE w:val="0"/>
        <w:autoSpaceDN w:val="0"/>
        <w:adjustRightInd w:val="0"/>
        <w:spacing w:before="0" w:after="156"/>
        <w:ind w:firstLine="420"/>
        <w:jc w:val="left"/>
        <w:rPr>
          <w:rFonts w:hint="eastAsia" w:ascii="宋体"/>
          <w:sz w:val="21"/>
          <w:lang w:val="zh-CN"/>
        </w:rPr>
      </w:pPr>
      <w:r>
        <w:rPr>
          <w:rFonts w:hint="eastAsia" w:ascii="宋体"/>
          <w:sz w:val="21"/>
          <w:lang w:val="zh-CN"/>
        </w:rPr>
        <w:t>按实际发生的支出确定工程成本。自营工程按直接材料、直接工资、直接施工费等计量；出包工程按应支付的工程价款等计量；设备安装工程按所安装设备的价值、安装费用、工程试运转等所发生的支出确定工程成本。在建工程成本还包括应当资本化的借款费用和汇兑损益。</w:t>
      </w:r>
    </w:p>
    <w:p>
      <w:pPr>
        <w:autoSpaceDE w:val="0"/>
        <w:autoSpaceDN w:val="0"/>
        <w:adjustRightInd w:val="0"/>
        <w:spacing w:before="0" w:after="156"/>
        <w:ind w:firstLine="420"/>
        <w:jc w:val="left"/>
        <w:rPr>
          <w:rFonts w:hint="default" w:eastAsia="Times New Roman"/>
          <w:sz w:val="21"/>
          <w:lang w:val="zh-CN"/>
        </w:rPr>
      </w:pPr>
      <w:r>
        <w:rPr>
          <w:rFonts w:hint="default"/>
          <w:sz w:val="21"/>
          <w:lang w:val="zh-CN"/>
        </w:rPr>
        <w:t>2</w:t>
      </w:r>
      <w:r>
        <w:rPr>
          <w:rFonts w:hint="eastAsia" w:ascii="宋体"/>
          <w:sz w:val="21"/>
          <w:lang w:val="zh-CN"/>
        </w:rPr>
        <w:t>、在建工程结转固定资产的标准和时点</w:t>
      </w:r>
    </w:p>
    <w:p>
      <w:pPr>
        <w:autoSpaceDE w:val="0"/>
        <w:autoSpaceDN w:val="0"/>
        <w:adjustRightInd w:val="0"/>
        <w:spacing w:before="0" w:after="156"/>
        <w:ind w:firstLine="420"/>
        <w:jc w:val="left"/>
        <w:rPr>
          <w:rFonts w:hint="eastAsia" w:ascii="宋体"/>
          <w:sz w:val="21"/>
          <w:lang w:val="zh-CN"/>
        </w:rPr>
      </w:pPr>
      <w:r>
        <w:rPr>
          <w:rFonts w:hint="eastAsia" w:ascii="宋体"/>
          <w:sz w:val="21"/>
          <w:lang w:val="zh-CN"/>
        </w:rPr>
        <w:t>建造的固定资产从达到预定可使用状态之日起，根据工程预算、造价或工程实际成本等，按估计的价值结转固定资产，次月起开始计提折旧。待办理了竣工决算手续后再按实际成本调整原来的暂估价值，但原按暂估价值计提的折旧额不再追溯调整。</w:t>
      </w:r>
    </w:p>
    <w:p>
      <w:pPr>
        <w:autoSpaceDE w:val="0"/>
        <w:autoSpaceDN w:val="0"/>
        <w:adjustRightInd w:val="0"/>
        <w:spacing w:before="0" w:after="156"/>
        <w:ind w:firstLine="420"/>
        <w:jc w:val="left"/>
        <w:rPr>
          <w:rFonts w:hint="default" w:eastAsia="Times New Roman"/>
          <w:sz w:val="21"/>
          <w:lang w:val="zh-CN"/>
        </w:rPr>
      </w:pPr>
      <w:r>
        <w:rPr>
          <w:rFonts w:hint="default"/>
          <w:sz w:val="21"/>
          <w:lang w:val="zh-CN"/>
        </w:rPr>
        <w:t>3</w:t>
      </w:r>
      <w:r>
        <w:rPr>
          <w:rFonts w:hint="eastAsia" w:ascii="宋体"/>
          <w:sz w:val="21"/>
          <w:lang w:val="zh-CN"/>
        </w:rPr>
        <w:t>、在建工程减值准备的确认标准和计提方法</w:t>
      </w:r>
    </w:p>
    <w:p>
      <w:pPr>
        <w:autoSpaceDE w:val="0"/>
        <w:autoSpaceDN w:val="0"/>
        <w:adjustRightInd w:val="0"/>
        <w:spacing w:before="0" w:after="156"/>
        <w:ind w:firstLine="420"/>
        <w:jc w:val="left"/>
        <w:rPr>
          <w:rFonts w:hint="eastAsia" w:ascii="宋体"/>
          <w:sz w:val="21"/>
          <w:lang w:val="zh-CN"/>
        </w:rPr>
      </w:pPr>
      <w:r>
        <w:rPr>
          <w:rFonts w:hint="eastAsia" w:ascii="宋体"/>
          <w:sz w:val="21"/>
          <w:lang w:val="zh-CN"/>
        </w:rPr>
        <w:t>会计年末，对在建工程进行全面检查，当存在减值迹象时，估计其可收回金额，按该项工程可收回金额低于账面价值的差额计提减值准备。</w:t>
      </w:r>
    </w:p>
    <w:p>
      <w:pPr>
        <w:pStyle w:val="8"/>
        <w:outlineLvl w:val="2"/>
        <w:rPr>
          <w:rFonts w:hint="default" w:eastAsia="Times New Roman"/>
          <w:sz w:val="21"/>
        </w:rPr>
      </w:pPr>
      <w:r>
        <w:rPr>
          <w:rFonts w:hint="default"/>
          <w:sz w:val="21"/>
        </w:rPr>
        <w:t>22</w:t>
      </w:r>
      <w:r>
        <w:rPr>
          <w:rFonts w:hint="eastAsia"/>
          <w:sz w:val="21"/>
        </w:rPr>
        <w:t>、借款费用</w:t>
      </w:r>
    </w:p>
    <w:p>
      <w:pPr>
        <w:autoSpaceDE w:val="0"/>
        <w:autoSpaceDN w:val="0"/>
        <w:adjustRightInd w:val="0"/>
        <w:spacing w:before="0" w:after="120"/>
        <w:ind w:firstLine="420"/>
        <w:rPr>
          <w:rFonts w:hint="eastAsia" w:ascii="宋体"/>
          <w:sz w:val="21"/>
          <w:lang w:val="zh-CN"/>
        </w:rPr>
      </w:pPr>
      <w:r>
        <w:rPr>
          <w:rFonts w:hint="eastAsia" w:ascii="宋体"/>
          <w:sz w:val="21"/>
          <w:lang w:val="zh-CN"/>
        </w:rPr>
        <w:t>借款费用包括因借款而发生的借款利息、折价或者溢价的摊销、辅助费用以及因外币借款而发生的汇兑差额等。</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1</w:t>
      </w:r>
      <w:r>
        <w:rPr>
          <w:rFonts w:hint="eastAsia" w:ascii="宋体"/>
          <w:sz w:val="21"/>
          <w:lang w:val="zh-CN"/>
        </w:rPr>
        <w:t>、借款费用资本化金额</w:t>
      </w:r>
    </w:p>
    <w:p>
      <w:pPr>
        <w:autoSpaceDE w:val="0"/>
        <w:autoSpaceDN w:val="0"/>
        <w:adjustRightInd w:val="0"/>
        <w:spacing w:before="0" w:after="120"/>
        <w:ind w:firstLine="420"/>
        <w:rPr>
          <w:rFonts w:hint="eastAsia" w:ascii="宋体"/>
          <w:sz w:val="21"/>
          <w:lang w:val="zh-CN"/>
        </w:rPr>
      </w:pPr>
      <w:r>
        <w:rPr>
          <w:rFonts w:hint="eastAsia" w:ascii="宋体"/>
          <w:sz w:val="21"/>
          <w:lang w:val="zh-CN"/>
        </w:rPr>
        <w:t>购建或者生产符合资本化条件的资产而借入的专门借款，当期资本化金额以借入专门借款当期发生的利息、折价或溢价的摊销和汇兑差额及其他辅助费用，减去将尚未动用的借款资金存入银行取得的利息收入或进行暂时性投资取得的投资收益后的金额确定；为购建或者生产符合资本化条件的资产而占用的一般借款，当期资本化金额根据累计资产支出超过专门借款部分的资产支出加权平均数乘以所占用一般借款的资本化率确定，资本化率根据一般借款加权平均利率计算确定，每一会计期间的利息资本化金额不超过当期相关借款实际发生的利息金额。</w:t>
      </w:r>
    </w:p>
    <w:p>
      <w:pPr>
        <w:autoSpaceDE w:val="0"/>
        <w:autoSpaceDN w:val="0"/>
        <w:adjustRightInd w:val="0"/>
        <w:spacing w:before="0" w:after="120"/>
        <w:ind w:firstLine="420"/>
        <w:rPr>
          <w:rFonts w:hint="eastAsia" w:ascii="宋体"/>
          <w:sz w:val="21"/>
          <w:lang w:val="zh-CN"/>
        </w:rPr>
      </w:pPr>
      <w:r>
        <w:rPr>
          <w:rFonts w:hint="eastAsia" w:ascii="宋体"/>
          <w:sz w:val="21"/>
          <w:lang w:val="zh-CN"/>
        </w:rPr>
        <w:t>借款存在折价或者溢价，本公司按照实际利率法确定每一会计期间应摊销的折价或者溢价金额，对每期资本化的利息金额进行调整。</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2</w:t>
      </w:r>
      <w:r>
        <w:rPr>
          <w:rFonts w:hint="eastAsia" w:ascii="宋体"/>
          <w:sz w:val="21"/>
          <w:lang w:val="zh-CN"/>
        </w:rPr>
        <w:t>、借款费用资本化期间</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w:t>
      </w:r>
      <w:r>
        <w:rPr>
          <w:rFonts w:hint="default" w:eastAsia="Times New Roman"/>
          <w:sz w:val="21"/>
          <w:lang w:val="zh-CN"/>
        </w:rPr>
        <w:t>1</w:t>
      </w:r>
      <w:r>
        <w:rPr>
          <w:rFonts w:hint="eastAsia" w:ascii="宋体"/>
          <w:sz w:val="21"/>
          <w:lang w:val="zh-CN"/>
        </w:rPr>
        <w:t>）开始资本化：当以下三个条件同时具备时，因借款而发生的利息、折价或溢价的摊销和汇兑差额开始资本化：①资产支出已经发生；②借款费用已经发生；③为使资产达到预定可使用状态所必要的购建活动已经开始。</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w:t>
      </w:r>
      <w:r>
        <w:rPr>
          <w:rFonts w:hint="default" w:eastAsia="Times New Roman"/>
          <w:sz w:val="21"/>
          <w:lang w:val="zh-CN"/>
        </w:rPr>
        <w:t>2</w:t>
      </w:r>
      <w:r>
        <w:rPr>
          <w:rFonts w:hint="eastAsia" w:ascii="宋体"/>
          <w:sz w:val="21"/>
          <w:lang w:val="zh-CN"/>
        </w:rPr>
        <w:t>）暂停资本化：若固定资产的购建活动发生非正常中断，并且中断时间连续超过</w:t>
      </w:r>
      <w:r>
        <w:rPr>
          <w:rFonts w:hint="default" w:eastAsia="Times New Roman"/>
          <w:sz w:val="21"/>
          <w:lang w:val="zh-CN"/>
        </w:rPr>
        <w:t>3</w:t>
      </w:r>
      <w:r>
        <w:rPr>
          <w:rFonts w:hint="eastAsia" w:ascii="宋体"/>
          <w:sz w:val="21"/>
          <w:lang w:val="zh-CN"/>
        </w:rPr>
        <w:t>个月，暂停借款费用的资本化，将其确认为当期费用，直至资产的购建活动重新开始。</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w:t>
      </w:r>
      <w:r>
        <w:rPr>
          <w:rFonts w:hint="default" w:eastAsia="Times New Roman"/>
          <w:sz w:val="21"/>
          <w:lang w:val="zh-CN"/>
        </w:rPr>
        <w:t>3</w:t>
      </w:r>
      <w:r>
        <w:rPr>
          <w:rFonts w:hint="eastAsia" w:ascii="宋体"/>
          <w:sz w:val="21"/>
          <w:lang w:val="zh-CN"/>
        </w:rPr>
        <w:t>）停止资本化：当所购建或生产的资产达到预定可使用或者可销售状态时，停止其借款费用的资本化。</w:t>
      </w:r>
    </w:p>
    <w:p>
      <w:pPr>
        <w:pStyle w:val="8"/>
        <w:outlineLvl w:val="2"/>
        <w:rPr>
          <w:rFonts w:hint="default" w:eastAsia="Times New Roman"/>
          <w:sz w:val="21"/>
        </w:rPr>
      </w:pPr>
      <w:r>
        <w:rPr>
          <w:rFonts w:hint="default"/>
          <w:sz w:val="21"/>
        </w:rPr>
        <w:t>23</w:t>
      </w:r>
      <w:r>
        <w:rPr>
          <w:rFonts w:hint="eastAsia"/>
          <w:sz w:val="21"/>
        </w:rPr>
        <w:t>、使用权资产</w:t>
      </w:r>
    </w:p>
    <w:p>
      <w:pPr>
        <w:autoSpaceDE w:val="0"/>
        <w:autoSpaceDN w:val="0"/>
        <w:adjustRightInd w:val="0"/>
        <w:spacing w:before="0" w:after="120"/>
        <w:ind w:firstLine="420"/>
        <w:rPr>
          <w:rFonts w:hint="eastAsia" w:ascii="宋体"/>
          <w:sz w:val="21"/>
          <w:lang w:val="zh-CN"/>
        </w:rPr>
      </w:pPr>
      <w:r>
        <w:rPr>
          <w:rFonts w:hint="eastAsia" w:ascii="宋体"/>
          <w:sz w:val="21"/>
          <w:lang w:val="zh-CN"/>
        </w:rPr>
        <w:t>使用权资产的核算方法</w:t>
      </w:r>
    </w:p>
    <w:p>
      <w:pPr>
        <w:autoSpaceDE w:val="0"/>
        <w:autoSpaceDN w:val="0"/>
        <w:adjustRightInd w:val="0"/>
        <w:spacing w:before="0" w:after="120"/>
        <w:ind w:firstLine="420"/>
        <w:rPr>
          <w:rFonts w:hint="eastAsia" w:ascii="宋体"/>
          <w:sz w:val="21"/>
          <w:lang w:val="zh-CN"/>
        </w:rPr>
      </w:pPr>
      <w:r>
        <w:rPr>
          <w:rFonts w:hint="eastAsia" w:ascii="宋体"/>
          <w:sz w:val="21"/>
          <w:lang w:val="zh-CN"/>
        </w:rPr>
        <w:t>在租赁期开始日，本公司对租赁确认使用权资产和租赁负债，应用准则进行简化处理的短期租赁和低价值资产租赁除外。</w:t>
      </w:r>
    </w:p>
    <w:p>
      <w:pPr>
        <w:autoSpaceDE w:val="0"/>
        <w:autoSpaceDN w:val="0"/>
        <w:adjustRightInd w:val="0"/>
        <w:spacing w:before="0" w:after="120"/>
        <w:ind w:firstLine="420"/>
        <w:rPr>
          <w:rFonts w:hint="eastAsia" w:ascii="宋体"/>
          <w:sz w:val="21"/>
          <w:lang w:val="zh-CN"/>
        </w:rPr>
      </w:pPr>
      <w:r>
        <w:rPr>
          <w:rFonts w:hint="eastAsia" w:ascii="宋体"/>
          <w:sz w:val="21"/>
          <w:lang w:val="zh-CN"/>
        </w:rPr>
        <w:t>本公司对使用权资产按照成本进行初始计量。该成本包括：</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1</w:t>
      </w:r>
      <w:r>
        <w:rPr>
          <w:rFonts w:hint="eastAsia" w:ascii="宋体"/>
          <w:sz w:val="21"/>
          <w:lang w:val="zh-CN"/>
        </w:rPr>
        <w:t>、租赁负债的初始计量金额；</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2</w:t>
      </w:r>
      <w:r>
        <w:rPr>
          <w:rFonts w:hint="eastAsia" w:ascii="宋体"/>
          <w:sz w:val="21"/>
          <w:lang w:val="zh-CN"/>
        </w:rPr>
        <w:t>、在租赁期开始日或之前支付的租赁付款额，存在租赁激励的，扣除已享受的租赁激励相关金额；</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3</w:t>
      </w:r>
      <w:r>
        <w:rPr>
          <w:rFonts w:hint="eastAsia" w:ascii="宋体"/>
          <w:sz w:val="21"/>
          <w:lang w:val="zh-CN"/>
        </w:rPr>
        <w:t>、发生的初始直接费用；</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4</w:t>
      </w:r>
      <w:r>
        <w:rPr>
          <w:rFonts w:hint="eastAsia" w:ascii="宋体"/>
          <w:sz w:val="21"/>
          <w:lang w:val="zh-CN"/>
        </w:rPr>
        <w:t>、为拆卸及移除租赁资产、复原租赁资产所在场地或将租赁资产恢复至租赁条款约定状态预计将发生的成本。前述成本属于为生产存货而发生的，适用《企业会计准则第</w:t>
      </w:r>
      <w:r>
        <w:rPr>
          <w:rFonts w:hint="default" w:eastAsia="Times New Roman"/>
          <w:sz w:val="21"/>
          <w:lang w:val="zh-CN"/>
        </w:rPr>
        <w:t>1</w:t>
      </w:r>
      <w:r>
        <w:rPr>
          <w:rFonts w:hint="eastAsia" w:ascii="宋体"/>
          <w:sz w:val="21"/>
          <w:lang w:val="zh-CN"/>
        </w:rPr>
        <w:t>号</w:t>
      </w:r>
      <w:r>
        <w:rPr>
          <w:rFonts w:hint="default" w:eastAsia="Times New Roman"/>
          <w:sz w:val="21"/>
          <w:lang w:val="zh-CN"/>
        </w:rPr>
        <w:t>——</w:t>
      </w:r>
      <w:r>
        <w:rPr>
          <w:rFonts w:hint="eastAsia" w:ascii="宋体"/>
          <w:sz w:val="21"/>
          <w:lang w:val="zh-CN"/>
        </w:rPr>
        <w:t>存货》。</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本公司按照《企业会计准则第</w:t>
      </w:r>
      <w:r>
        <w:rPr>
          <w:rFonts w:hint="default" w:eastAsia="Times New Roman"/>
          <w:sz w:val="21"/>
          <w:lang w:val="zh-CN"/>
        </w:rPr>
        <w:t>13</w:t>
      </w:r>
      <w:r>
        <w:rPr>
          <w:rFonts w:hint="eastAsia" w:ascii="宋体"/>
          <w:sz w:val="21"/>
          <w:lang w:val="zh-CN"/>
        </w:rPr>
        <w:t>号</w:t>
      </w:r>
      <w:r>
        <w:rPr>
          <w:rFonts w:hint="default" w:eastAsia="Times New Roman"/>
          <w:sz w:val="21"/>
          <w:lang w:val="zh-CN"/>
        </w:rPr>
        <w:t>——</w:t>
      </w:r>
      <w:r>
        <w:rPr>
          <w:rFonts w:hint="eastAsia" w:ascii="宋体"/>
          <w:sz w:val="21"/>
          <w:lang w:val="zh-CN"/>
        </w:rPr>
        <w:t>或有事项》对上述第</w:t>
      </w:r>
      <w:r>
        <w:rPr>
          <w:rFonts w:hint="default" w:eastAsia="Times New Roman"/>
          <w:sz w:val="21"/>
          <w:lang w:val="zh-CN"/>
        </w:rPr>
        <w:t>4</w:t>
      </w:r>
      <w:r>
        <w:rPr>
          <w:rFonts w:hint="eastAsia" w:ascii="宋体"/>
          <w:sz w:val="21"/>
          <w:lang w:val="zh-CN"/>
        </w:rPr>
        <w:t>项所述成本进行确认和计量。</w:t>
      </w:r>
    </w:p>
    <w:p>
      <w:pPr>
        <w:autoSpaceDE w:val="0"/>
        <w:autoSpaceDN w:val="0"/>
        <w:adjustRightInd w:val="0"/>
        <w:spacing w:before="0" w:after="120"/>
        <w:ind w:firstLine="420"/>
        <w:rPr>
          <w:rFonts w:hint="eastAsia" w:ascii="宋体"/>
          <w:sz w:val="21"/>
          <w:lang w:val="zh-CN"/>
        </w:rPr>
      </w:pPr>
      <w:r>
        <w:rPr>
          <w:rFonts w:hint="eastAsia" w:ascii="宋体"/>
          <w:sz w:val="21"/>
          <w:lang w:val="zh-CN"/>
        </w:rPr>
        <w:t>初始直接费用，是指为达成租赁所发生的增量成本。增量成本是指若企业不取得该租赁，则不会发生的成本。</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本公司参照《企业会计准则第</w:t>
      </w:r>
      <w:r>
        <w:rPr>
          <w:rFonts w:hint="default" w:eastAsia="Times New Roman"/>
          <w:sz w:val="21"/>
          <w:lang w:val="zh-CN"/>
        </w:rPr>
        <w:t>4</w:t>
      </w:r>
      <w:r>
        <w:rPr>
          <w:rFonts w:hint="eastAsia" w:ascii="宋体"/>
          <w:sz w:val="21"/>
          <w:lang w:val="zh-CN"/>
        </w:rPr>
        <w:t>号</w:t>
      </w:r>
      <w:r>
        <w:rPr>
          <w:rFonts w:hint="default" w:eastAsia="Times New Roman"/>
          <w:sz w:val="21"/>
          <w:lang w:val="zh-CN"/>
        </w:rPr>
        <w:t>——</w:t>
      </w:r>
      <w:r>
        <w:rPr>
          <w:rFonts w:hint="eastAsia" w:ascii="宋体"/>
          <w:sz w:val="21"/>
          <w:lang w:val="zh-CN"/>
        </w:rPr>
        <w:t>固定资产》有关折旧规定，对使用权资产计提折旧。对于能够合理确定租赁期届满时取得租赁资产所有权的，在租赁资产剩余使用寿命内计提折旧。无法合理确定租赁期届满时能够取得租赁资产所有权的，在租赁期与租赁资产剩余使用寿命两者孰短的期间内计提折旧。</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本公司按照《企业会计准则第</w:t>
      </w:r>
      <w:r>
        <w:rPr>
          <w:rFonts w:hint="default" w:eastAsia="Times New Roman"/>
          <w:sz w:val="21"/>
          <w:lang w:val="zh-CN"/>
        </w:rPr>
        <w:t>8</w:t>
      </w:r>
      <w:r>
        <w:rPr>
          <w:rFonts w:hint="eastAsia" w:ascii="宋体"/>
          <w:sz w:val="21"/>
          <w:lang w:val="zh-CN"/>
        </w:rPr>
        <w:t>号</w:t>
      </w:r>
      <w:r>
        <w:rPr>
          <w:rFonts w:hint="default" w:eastAsia="Times New Roman"/>
          <w:sz w:val="21"/>
          <w:lang w:val="zh-CN"/>
        </w:rPr>
        <w:t>——</w:t>
      </w:r>
      <w:r>
        <w:rPr>
          <w:rFonts w:hint="eastAsia" w:ascii="宋体"/>
          <w:sz w:val="21"/>
          <w:lang w:val="zh-CN"/>
        </w:rPr>
        <w:t>资产减值》的规定，确定使用权资产是否发生减值，并对已识别的减值损失进行会计处理。</w:t>
      </w:r>
    </w:p>
    <w:p>
      <w:pPr>
        <w:pStyle w:val="8"/>
        <w:outlineLvl w:val="2"/>
        <w:rPr>
          <w:rFonts w:hint="default" w:eastAsia="Times New Roman"/>
          <w:sz w:val="21"/>
        </w:rPr>
      </w:pPr>
      <w:r>
        <w:rPr>
          <w:rFonts w:hint="default"/>
          <w:sz w:val="21"/>
        </w:rPr>
        <w:t>24</w:t>
      </w:r>
      <w:r>
        <w:rPr>
          <w:rFonts w:hint="eastAsia"/>
          <w:sz w:val="21"/>
        </w:rPr>
        <w:t>、无形资产</w:t>
      </w:r>
    </w:p>
    <w:p>
      <w:pPr>
        <w:pStyle w:val="8"/>
        <w:outlineLvl w:val="3"/>
        <w:rPr>
          <w:rFonts w:hint="default" w:eastAsia="Times New Roman"/>
          <w:sz w:val="21"/>
        </w:rPr>
      </w:pPr>
      <w:r>
        <w:rPr>
          <w:rFonts w:hint="eastAsia"/>
          <w:sz w:val="21"/>
        </w:rPr>
        <w:t>（</w:t>
      </w:r>
      <w:r>
        <w:rPr>
          <w:rFonts w:hint="default"/>
          <w:sz w:val="21"/>
        </w:rPr>
        <w:t>1</w:t>
      </w:r>
      <w:r>
        <w:rPr>
          <w:rFonts w:hint="eastAsia"/>
          <w:sz w:val="21"/>
        </w:rPr>
        <w:t>）计价方法、使用寿命、减值测试</w:t>
      </w:r>
    </w:p>
    <w:p>
      <w:pPr>
        <w:autoSpaceDE w:val="0"/>
        <w:autoSpaceDN w:val="0"/>
        <w:adjustRightInd w:val="0"/>
        <w:spacing w:before="0" w:after="120"/>
        <w:ind w:firstLine="420"/>
        <w:jc w:val="left"/>
        <w:rPr>
          <w:rFonts w:hint="default" w:eastAsia="Times New Roman"/>
          <w:sz w:val="21"/>
          <w:lang w:val="zh-CN"/>
        </w:rPr>
      </w:pPr>
      <w:r>
        <w:rPr>
          <w:rFonts w:hint="default" w:eastAsia="Times New Roman"/>
          <w:sz w:val="21"/>
          <w:lang w:val="zh-CN"/>
        </w:rPr>
        <w:t>1</w:t>
      </w:r>
      <w:r>
        <w:rPr>
          <w:rFonts w:hint="eastAsia" w:ascii="宋体"/>
          <w:sz w:val="21"/>
          <w:lang w:val="zh-CN"/>
        </w:rPr>
        <w:t>、无形资产的计价与摊销方法</w:t>
      </w:r>
    </w:p>
    <w:p>
      <w:pPr>
        <w:autoSpaceDE w:val="0"/>
        <w:autoSpaceDN w:val="0"/>
        <w:adjustRightInd w:val="0"/>
        <w:spacing w:before="0" w:after="120"/>
        <w:ind w:firstLine="420"/>
        <w:rPr>
          <w:rFonts w:hint="eastAsia" w:ascii="宋体"/>
          <w:sz w:val="21"/>
          <w:lang w:val="zh-CN"/>
        </w:rPr>
      </w:pPr>
      <w:r>
        <w:rPr>
          <w:rFonts w:hint="eastAsia" w:ascii="宋体"/>
          <w:sz w:val="21"/>
          <w:lang w:val="zh-CN"/>
        </w:rPr>
        <w:t>本公司无形资产主要包括土地使用权、软件、专有技术等，取得时按成本计价，年末按照账面价值与可收回金额孰低计价。</w:t>
      </w:r>
    </w:p>
    <w:p>
      <w:pPr>
        <w:autoSpaceDE w:val="0"/>
        <w:autoSpaceDN w:val="0"/>
        <w:adjustRightInd w:val="0"/>
        <w:spacing w:before="0" w:after="120"/>
        <w:ind w:firstLine="420"/>
        <w:rPr>
          <w:rFonts w:hint="eastAsia" w:ascii="宋体"/>
          <w:sz w:val="21"/>
          <w:lang w:val="zh-CN"/>
        </w:rPr>
      </w:pPr>
      <w:r>
        <w:rPr>
          <w:rFonts w:hint="eastAsia" w:ascii="宋体"/>
          <w:sz w:val="21"/>
          <w:lang w:val="zh-CN"/>
        </w:rPr>
        <w:t>使用寿命有限的无形资产自可供使用时起在使用寿命内系统合理摊销计入损益，摊销方法以反映该项无形资产有关的经济利益的预期实现方式确定。无法可靠确定预期实现方式的，采用直线法进行摊销。具体年限如下：</w:t>
      </w:r>
    </w:p>
    <w:tbl>
      <w:tblPr>
        <w:tblStyle w:val="4"/>
        <w:tblW w:w="0" w:type="auto"/>
        <w:tblInd w:w="10" w:type="dxa"/>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10" w:type="dxa"/>
          <w:left w:w="10" w:type="dxa"/>
          <w:bottom w:w="10" w:type="dxa"/>
          <w:right w:w="10" w:type="dxa"/>
        </w:tblCellMar>
      </w:tblPr>
      <w:tblGrid>
        <w:gridCol w:w="4397"/>
        <w:gridCol w:w="4398"/>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10" w:type="dxa"/>
            <w:left w:w="10" w:type="dxa"/>
            <w:bottom w:w="10" w:type="dxa"/>
            <w:right w:w="10" w:type="dxa"/>
          </w:tblCellMar>
        </w:tblPrEx>
        <w:tc>
          <w:tcPr>
            <w:tcW w:w="4397" w:type="dxa"/>
            <w:tcBorders>
              <w:top w:val="nil"/>
              <w:left w:val="nil"/>
              <w:bottom w:val="single" w:color="auto" w:sz="8" w:space="0"/>
              <w:right w:val="nil"/>
              <w:tl2br w:val="nil"/>
              <w:tr2bl w:val="nil"/>
            </w:tcBorders>
            <w:noWrap w:val="0"/>
            <w:vAlign w:val="top"/>
          </w:tcPr>
          <w:p>
            <w:pPr>
              <w:autoSpaceDE w:val="0"/>
              <w:autoSpaceDN w:val="0"/>
              <w:adjustRightInd w:val="0"/>
              <w:spacing w:before="0" w:after="0"/>
              <w:jc w:val="center"/>
              <w:rPr>
                <w:rFonts w:hint="default" w:eastAsia="Times New Roman"/>
                <w:b/>
                <w:sz w:val="18"/>
                <w:lang w:val="zh-CN"/>
              </w:rPr>
            </w:pPr>
            <w:r>
              <w:rPr>
                <w:rFonts w:hint="eastAsia" w:ascii="宋体"/>
                <w:b/>
                <w:sz w:val="18"/>
                <w:lang w:val="zh-CN"/>
              </w:rPr>
              <w:t>项</w:t>
            </w:r>
            <w:r>
              <w:rPr>
                <w:rFonts w:hint="default" w:eastAsia="Times New Roman"/>
                <w:b/>
                <w:sz w:val="18"/>
                <w:lang w:val="zh-CN"/>
              </w:rPr>
              <w:t xml:space="preserve">  </w:t>
            </w:r>
            <w:r>
              <w:rPr>
                <w:rFonts w:hint="eastAsia" w:ascii="宋体"/>
                <w:b/>
                <w:sz w:val="18"/>
                <w:lang w:val="zh-CN"/>
              </w:rPr>
              <w:t>目</w:t>
            </w:r>
          </w:p>
        </w:tc>
        <w:tc>
          <w:tcPr>
            <w:tcW w:w="4398" w:type="dxa"/>
            <w:tcBorders>
              <w:top w:val="nil"/>
              <w:left w:val="nil"/>
              <w:bottom w:val="single" w:color="auto" w:sz="8" w:space="0"/>
              <w:right w:val="nil"/>
              <w:tl2br w:val="nil"/>
              <w:tr2bl w:val="nil"/>
            </w:tcBorders>
            <w:noWrap w:val="0"/>
            <w:vAlign w:val="top"/>
          </w:tcPr>
          <w:p>
            <w:pPr>
              <w:autoSpaceDE w:val="0"/>
              <w:autoSpaceDN w:val="0"/>
              <w:adjustRightInd w:val="0"/>
              <w:spacing w:before="0" w:after="0"/>
              <w:jc w:val="center"/>
              <w:rPr>
                <w:rFonts w:hint="eastAsia" w:ascii="宋体"/>
                <w:b/>
                <w:sz w:val="18"/>
                <w:lang w:val="zh-CN"/>
              </w:rPr>
            </w:pPr>
            <w:r>
              <w:rPr>
                <w:rFonts w:hint="eastAsia" w:ascii="宋体"/>
                <w:b/>
                <w:sz w:val="18"/>
                <w:lang w:val="zh-CN"/>
              </w:rPr>
              <w:t>摊销年限（年）</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10" w:type="dxa"/>
            <w:left w:w="10" w:type="dxa"/>
            <w:bottom w:w="10" w:type="dxa"/>
            <w:right w:w="10" w:type="dxa"/>
          </w:tblCellMar>
        </w:tblPrEx>
        <w:tc>
          <w:tcPr>
            <w:tcW w:w="4397" w:type="dxa"/>
            <w:tcBorders>
              <w:top w:val="nil"/>
              <w:left w:val="nil"/>
              <w:bottom w:val="single" w:color="auto" w:sz="8" w:space="0"/>
              <w:right w:val="nil"/>
              <w:tl2br w:val="nil"/>
              <w:tr2bl w:val="nil"/>
            </w:tcBorders>
            <w:noWrap w:val="0"/>
            <w:vAlign w:val="top"/>
          </w:tcPr>
          <w:p>
            <w:pPr>
              <w:autoSpaceDE w:val="0"/>
              <w:autoSpaceDN w:val="0"/>
              <w:adjustRightInd w:val="0"/>
              <w:spacing w:before="0" w:after="0"/>
              <w:ind w:firstLine="283"/>
              <w:rPr>
                <w:rFonts w:hint="eastAsia" w:ascii="宋体"/>
                <w:sz w:val="18"/>
                <w:lang w:val="zh-CN"/>
              </w:rPr>
            </w:pPr>
            <w:r>
              <w:rPr>
                <w:rFonts w:hint="eastAsia" w:ascii="宋体"/>
                <w:sz w:val="18"/>
                <w:lang w:val="zh-CN"/>
              </w:rPr>
              <w:t>土地使用权</w:t>
            </w:r>
          </w:p>
        </w:tc>
        <w:tc>
          <w:tcPr>
            <w:tcW w:w="4398" w:type="dxa"/>
            <w:tcBorders>
              <w:top w:val="nil"/>
              <w:left w:val="nil"/>
              <w:bottom w:val="single" w:color="auto" w:sz="8" w:space="0"/>
              <w:right w:val="nil"/>
              <w:tl2br w:val="nil"/>
              <w:tr2bl w:val="nil"/>
            </w:tcBorders>
            <w:noWrap w:val="0"/>
            <w:vAlign w:val="top"/>
          </w:tcPr>
          <w:p>
            <w:pPr>
              <w:autoSpaceDE w:val="0"/>
              <w:autoSpaceDN w:val="0"/>
              <w:adjustRightInd w:val="0"/>
              <w:spacing w:before="0" w:after="0"/>
              <w:jc w:val="center"/>
              <w:rPr>
                <w:rFonts w:hint="default" w:eastAsia="Times New Roman"/>
                <w:sz w:val="18"/>
                <w:lang w:val="zh-CN"/>
              </w:rPr>
            </w:pPr>
            <w:r>
              <w:rPr>
                <w:rFonts w:hint="default" w:eastAsia="Times New Roman"/>
                <w:sz w:val="18"/>
                <w:lang w:val="zh-CN"/>
              </w:rPr>
              <w:t>50</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10" w:type="dxa"/>
            <w:left w:w="10" w:type="dxa"/>
            <w:bottom w:w="10" w:type="dxa"/>
            <w:right w:w="10" w:type="dxa"/>
          </w:tblCellMar>
        </w:tblPrEx>
        <w:tc>
          <w:tcPr>
            <w:tcW w:w="4397" w:type="dxa"/>
            <w:tcBorders>
              <w:top w:val="nil"/>
              <w:left w:val="nil"/>
              <w:bottom w:val="single" w:color="auto" w:sz="8" w:space="0"/>
              <w:right w:val="nil"/>
              <w:tl2br w:val="nil"/>
              <w:tr2bl w:val="nil"/>
            </w:tcBorders>
            <w:noWrap w:val="0"/>
            <w:vAlign w:val="top"/>
          </w:tcPr>
          <w:p>
            <w:pPr>
              <w:autoSpaceDE w:val="0"/>
              <w:autoSpaceDN w:val="0"/>
              <w:adjustRightInd w:val="0"/>
              <w:spacing w:before="0" w:after="0"/>
              <w:ind w:firstLine="283"/>
              <w:rPr>
                <w:rFonts w:hint="eastAsia" w:ascii="宋体"/>
                <w:sz w:val="18"/>
                <w:lang w:val="zh-CN"/>
              </w:rPr>
            </w:pPr>
            <w:r>
              <w:rPr>
                <w:rFonts w:hint="eastAsia" w:ascii="宋体"/>
                <w:sz w:val="18"/>
                <w:lang w:val="zh-CN"/>
              </w:rPr>
              <w:t>软件</w:t>
            </w:r>
          </w:p>
        </w:tc>
        <w:tc>
          <w:tcPr>
            <w:tcW w:w="4398" w:type="dxa"/>
            <w:tcBorders>
              <w:top w:val="nil"/>
              <w:left w:val="nil"/>
              <w:bottom w:val="single" w:color="auto" w:sz="8" w:space="0"/>
              <w:right w:val="nil"/>
              <w:tl2br w:val="nil"/>
              <w:tr2bl w:val="nil"/>
            </w:tcBorders>
            <w:noWrap w:val="0"/>
            <w:vAlign w:val="top"/>
          </w:tcPr>
          <w:p>
            <w:pPr>
              <w:autoSpaceDE w:val="0"/>
              <w:autoSpaceDN w:val="0"/>
              <w:adjustRightInd w:val="0"/>
              <w:spacing w:before="0" w:after="0"/>
              <w:jc w:val="center"/>
              <w:rPr>
                <w:rFonts w:hint="default" w:eastAsia="Times New Roman"/>
                <w:sz w:val="18"/>
                <w:lang w:val="zh-CN"/>
              </w:rPr>
            </w:pPr>
            <w:r>
              <w:rPr>
                <w:rFonts w:hint="default" w:eastAsia="Times New Roman"/>
                <w:sz w:val="18"/>
                <w:lang w:val="zh-CN"/>
              </w:rPr>
              <w:t>10</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10" w:type="dxa"/>
            <w:left w:w="10" w:type="dxa"/>
            <w:bottom w:w="10" w:type="dxa"/>
            <w:right w:w="10" w:type="dxa"/>
          </w:tblCellMar>
        </w:tblPrEx>
        <w:tc>
          <w:tcPr>
            <w:tcW w:w="4397" w:type="dxa"/>
            <w:tcBorders>
              <w:top w:val="nil"/>
              <w:left w:val="nil"/>
              <w:bottom w:val="single" w:color="auto" w:sz="8" w:space="0"/>
              <w:right w:val="nil"/>
              <w:tl2br w:val="nil"/>
              <w:tr2bl w:val="nil"/>
            </w:tcBorders>
            <w:noWrap w:val="0"/>
            <w:vAlign w:val="top"/>
          </w:tcPr>
          <w:p>
            <w:pPr>
              <w:autoSpaceDE w:val="0"/>
              <w:autoSpaceDN w:val="0"/>
              <w:adjustRightInd w:val="0"/>
              <w:spacing w:before="0" w:after="0"/>
              <w:ind w:firstLine="283"/>
              <w:rPr>
                <w:rFonts w:hint="eastAsia" w:ascii="宋体"/>
                <w:sz w:val="18"/>
                <w:lang w:val="zh-CN"/>
              </w:rPr>
            </w:pPr>
            <w:r>
              <w:rPr>
                <w:rFonts w:hint="eastAsia" w:ascii="宋体"/>
                <w:sz w:val="18"/>
                <w:lang w:val="zh-CN"/>
              </w:rPr>
              <w:t>专有技术</w:t>
            </w:r>
          </w:p>
        </w:tc>
        <w:tc>
          <w:tcPr>
            <w:tcW w:w="4398" w:type="dxa"/>
            <w:tcBorders>
              <w:top w:val="nil"/>
              <w:left w:val="nil"/>
              <w:bottom w:val="single" w:color="auto" w:sz="8" w:space="0"/>
              <w:right w:val="nil"/>
              <w:tl2br w:val="nil"/>
              <w:tr2bl w:val="nil"/>
            </w:tcBorders>
            <w:noWrap w:val="0"/>
            <w:vAlign w:val="top"/>
          </w:tcPr>
          <w:p>
            <w:pPr>
              <w:autoSpaceDE w:val="0"/>
              <w:autoSpaceDN w:val="0"/>
              <w:adjustRightInd w:val="0"/>
              <w:spacing w:before="0" w:after="0"/>
              <w:jc w:val="center"/>
              <w:rPr>
                <w:rFonts w:hint="default" w:eastAsia="Times New Roman"/>
                <w:sz w:val="18"/>
                <w:lang w:val="zh-CN"/>
              </w:rPr>
            </w:pPr>
            <w:r>
              <w:rPr>
                <w:rFonts w:hint="default" w:eastAsia="Times New Roman"/>
                <w:sz w:val="18"/>
                <w:lang w:val="zh-CN"/>
              </w:rPr>
              <w:t>10/</w:t>
            </w:r>
            <w:r>
              <w:rPr>
                <w:rFonts w:hint="eastAsia" w:ascii="宋体"/>
                <w:sz w:val="18"/>
                <w:lang w:val="zh-CN"/>
              </w:rPr>
              <w:t>收益法评估预测年限</w:t>
            </w:r>
          </w:p>
        </w:tc>
      </w:tr>
    </w:tbl>
    <w:p>
      <w:pPr>
        <w:autoSpaceDE w:val="0"/>
        <w:autoSpaceDN w:val="0"/>
        <w:adjustRightInd w:val="0"/>
        <w:spacing w:before="100" w:after="120"/>
        <w:ind w:firstLine="420"/>
        <w:rPr>
          <w:rFonts w:hint="eastAsia" w:ascii="宋体"/>
          <w:sz w:val="21"/>
          <w:lang w:val="zh-CN"/>
        </w:rPr>
      </w:pPr>
      <w:r>
        <w:rPr>
          <w:rFonts w:hint="eastAsia" w:ascii="宋体"/>
          <w:sz w:val="21"/>
          <w:lang w:val="zh-CN"/>
        </w:rPr>
        <w:t>使用寿命不确定的无形资产不摊销，在每个会计期间均对该无形资产的使用寿命进行复核，如果有证据表明无形资产的使用寿命是有限的，应当估计其使用寿命，并按规定在使用寿命期限内进行摊销。无法预见无形资产为企业带来经济利益期限的，视为使用寿命不确定的无形资产，不予摊销。本公司尚不存在使用寿命不确定的无形资产。</w:t>
      </w:r>
    </w:p>
    <w:p>
      <w:pPr>
        <w:autoSpaceDE w:val="0"/>
        <w:autoSpaceDN w:val="0"/>
        <w:adjustRightInd w:val="0"/>
        <w:spacing w:before="0" w:after="120"/>
        <w:ind w:firstLine="420"/>
        <w:rPr>
          <w:rFonts w:hint="eastAsia" w:ascii="宋体"/>
          <w:sz w:val="21"/>
          <w:lang w:val="zh-CN"/>
        </w:rPr>
      </w:pPr>
      <w:r>
        <w:rPr>
          <w:rFonts w:hint="eastAsia" w:ascii="宋体"/>
          <w:sz w:val="21"/>
          <w:lang w:val="zh-CN"/>
        </w:rPr>
        <w:t>对使用寿命有限的无形资产的预计使用寿命及摊销方法于每年年度终了进行复核并作适当调整。公司确定无形资产使用寿命通常考虑如下因素：</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w:t>
      </w:r>
      <w:r>
        <w:rPr>
          <w:rFonts w:hint="default" w:eastAsia="Times New Roman"/>
          <w:sz w:val="21"/>
          <w:lang w:val="zh-CN"/>
        </w:rPr>
        <w:t>1</w:t>
      </w:r>
      <w:r>
        <w:rPr>
          <w:rFonts w:hint="eastAsia" w:ascii="宋体"/>
          <w:sz w:val="21"/>
          <w:lang w:val="zh-CN"/>
        </w:rPr>
        <w:t>）运用该资产生产的产品通常的寿命周期、可获得的类似资产使用寿命的信息；</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w:t>
      </w:r>
      <w:r>
        <w:rPr>
          <w:rFonts w:hint="default" w:eastAsia="Times New Roman"/>
          <w:sz w:val="21"/>
          <w:lang w:val="zh-CN"/>
        </w:rPr>
        <w:t>2</w:t>
      </w:r>
      <w:r>
        <w:rPr>
          <w:rFonts w:hint="eastAsia" w:ascii="宋体"/>
          <w:sz w:val="21"/>
          <w:lang w:val="zh-CN"/>
        </w:rPr>
        <w:t>）技术、工艺等方面的现阶段情况及对未来发展趋势的估计；</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w:t>
      </w:r>
      <w:r>
        <w:rPr>
          <w:rFonts w:hint="default" w:eastAsia="Times New Roman"/>
          <w:sz w:val="21"/>
          <w:lang w:val="zh-CN"/>
        </w:rPr>
        <w:t>3</w:t>
      </w:r>
      <w:r>
        <w:rPr>
          <w:rFonts w:hint="eastAsia" w:ascii="宋体"/>
          <w:sz w:val="21"/>
          <w:lang w:val="zh-CN"/>
        </w:rPr>
        <w:t>）以该资产生产的产品或提供的服务的市场需求情况；</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w:t>
      </w:r>
      <w:r>
        <w:rPr>
          <w:rFonts w:hint="default" w:eastAsia="Times New Roman"/>
          <w:sz w:val="21"/>
          <w:lang w:val="zh-CN"/>
        </w:rPr>
        <w:t>4</w:t>
      </w:r>
      <w:r>
        <w:rPr>
          <w:rFonts w:hint="eastAsia" w:ascii="宋体"/>
          <w:sz w:val="21"/>
          <w:lang w:val="zh-CN"/>
        </w:rPr>
        <w:t>）现在或潜在的竞争者预期采取的行动；</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w:t>
      </w:r>
      <w:r>
        <w:rPr>
          <w:rFonts w:hint="default" w:eastAsia="Times New Roman"/>
          <w:sz w:val="21"/>
          <w:lang w:val="zh-CN"/>
        </w:rPr>
        <w:t>5</w:t>
      </w:r>
      <w:r>
        <w:rPr>
          <w:rFonts w:hint="eastAsia" w:ascii="宋体"/>
          <w:sz w:val="21"/>
          <w:lang w:val="zh-CN"/>
        </w:rPr>
        <w:t>）为维护该资产带来经济利益能力的预期维护支出、以及公司预计支付有关支出的能力；</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w:t>
      </w:r>
      <w:r>
        <w:rPr>
          <w:rFonts w:hint="default" w:eastAsia="Times New Roman"/>
          <w:sz w:val="21"/>
          <w:lang w:val="zh-CN"/>
        </w:rPr>
        <w:t>6</w:t>
      </w:r>
      <w:r>
        <w:rPr>
          <w:rFonts w:hint="eastAsia" w:ascii="宋体"/>
          <w:sz w:val="21"/>
          <w:lang w:val="zh-CN"/>
        </w:rPr>
        <w:t>）对该资产控制期限的相关法律规定或类似限制；</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w:t>
      </w:r>
      <w:r>
        <w:rPr>
          <w:rFonts w:hint="default" w:eastAsia="Times New Roman"/>
          <w:sz w:val="21"/>
          <w:lang w:val="zh-CN"/>
        </w:rPr>
        <w:t>7</w:t>
      </w:r>
      <w:r>
        <w:rPr>
          <w:rFonts w:hint="eastAsia" w:ascii="宋体"/>
          <w:sz w:val="21"/>
          <w:lang w:val="zh-CN"/>
        </w:rPr>
        <w:t>）与公司持有的其他资产使用寿命的关联性等。</w:t>
      </w:r>
    </w:p>
    <w:p>
      <w:pPr>
        <w:autoSpaceDE w:val="0"/>
        <w:autoSpaceDN w:val="0"/>
        <w:adjustRightInd w:val="0"/>
        <w:spacing w:before="0" w:after="120"/>
        <w:ind w:firstLine="420"/>
        <w:jc w:val="left"/>
        <w:rPr>
          <w:rFonts w:hint="default" w:eastAsia="Times New Roman"/>
          <w:sz w:val="21"/>
          <w:lang w:val="zh-CN"/>
        </w:rPr>
      </w:pPr>
      <w:r>
        <w:rPr>
          <w:rFonts w:hint="eastAsia" w:ascii="宋体"/>
          <w:sz w:val="21"/>
        </w:rPr>
        <w:t>2</w:t>
      </w:r>
      <w:r>
        <w:rPr>
          <w:rFonts w:hint="eastAsia" w:ascii="宋体"/>
          <w:sz w:val="21"/>
          <w:lang w:val="zh-CN"/>
        </w:rPr>
        <w:t>、无形资产减值准备的确认标准和计提方法</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对无形资产，年末进行检查，当存在以下减值迹象时估计其可收回金额，按其可收回金额低于账面价值的差额计提无形资产减值准备：①已被其他新技术所代替，使其为本公司创造经济利益的能力受到重大不利影响；②市价在当期大幅下跌，在剩余摊销年限内预期不会恢复；③已超过法律保护期限，但仍然具有部分使用价值；④其他足以证明实际上已经发生减值的情形。</w:t>
      </w:r>
    </w:p>
    <w:p>
      <w:pPr>
        <w:pStyle w:val="8"/>
        <w:outlineLvl w:val="3"/>
        <w:rPr>
          <w:rFonts w:hint="default" w:eastAsia="Times New Roman"/>
          <w:sz w:val="21"/>
        </w:rPr>
      </w:pPr>
      <w:r>
        <w:rPr>
          <w:rFonts w:hint="eastAsia"/>
          <w:sz w:val="21"/>
        </w:rPr>
        <w:t>（</w:t>
      </w:r>
      <w:r>
        <w:rPr>
          <w:rFonts w:hint="default"/>
          <w:sz w:val="21"/>
        </w:rPr>
        <w:t>2</w:t>
      </w:r>
      <w:r>
        <w:rPr>
          <w:rFonts w:hint="eastAsia"/>
          <w:sz w:val="21"/>
        </w:rPr>
        <w:t>）内部研究开发支出会计政策</w:t>
      </w:r>
    </w:p>
    <w:p>
      <w:pPr>
        <w:autoSpaceDE w:val="0"/>
        <w:autoSpaceDN w:val="0"/>
        <w:adjustRightInd w:val="0"/>
        <w:spacing w:before="0" w:after="120"/>
        <w:ind w:firstLine="420"/>
        <w:jc w:val="left"/>
        <w:rPr>
          <w:rFonts w:hint="default" w:eastAsia="Times New Roman"/>
          <w:sz w:val="21"/>
          <w:lang w:val="zh-CN"/>
        </w:rPr>
      </w:pPr>
      <w:r>
        <w:rPr>
          <w:rFonts w:hint="eastAsia" w:ascii="宋体"/>
          <w:sz w:val="21"/>
          <w:lang w:val="zh-CN"/>
        </w:rPr>
        <w:t>划分研究开发项目研究阶段支出和开发阶段的支出的具体标准</w:t>
      </w:r>
    </w:p>
    <w:p>
      <w:pPr>
        <w:autoSpaceDE w:val="0"/>
        <w:autoSpaceDN w:val="0"/>
        <w:adjustRightInd w:val="0"/>
        <w:spacing w:before="0" w:after="120"/>
        <w:ind w:firstLine="420"/>
        <w:jc w:val="left"/>
        <w:rPr>
          <w:rFonts w:hint="default" w:eastAsia="Times New Roman"/>
          <w:sz w:val="21"/>
          <w:lang w:val="zh-CN"/>
        </w:rPr>
      </w:pPr>
      <w:r>
        <w:rPr>
          <w:rFonts w:hint="eastAsia" w:ascii="宋体"/>
          <w:sz w:val="21"/>
          <w:lang w:val="zh-CN"/>
        </w:rPr>
        <w:t>（</w:t>
      </w:r>
      <w:r>
        <w:rPr>
          <w:rFonts w:hint="default" w:eastAsia="Times New Roman"/>
          <w:sz w:val="21"/>
          <w:lang w:val="zh-CN"/>
        </w:rPr>
        <w:t>1</w:t>
      </w:r>
      <w:r>
        <w:rPr>
          <w:rFonts w:hint="eastAsia" w:ascii="宋体"/>
          <w:sz w:val="21"/>
          <w:lang w:val="zh-CN"/>
        </w:rPr>
        <w:t>）首先，本公司将内部研究开发项目区分为研究阶段和开发阶段：</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研究阶段是指为获取并理解新的科学或技术知识而进行的独创性的有计划调查阶段。</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开发阶段是指已完成研究阶段，在进行商业性生产或使用前，将研究成果或其他知识应用于某项计划或设计，以生产出新的或具有实质性改进的材料、装置、产品等阶段。</w:t>
      </w:r>
    </w:p>
    <w:p>
      <w:pPr>
        <w:autoSpaceDE w:val="0"/>
        <w:autoSpaceDN w:val="0"/>
        <w:adjustRightInd w:val="0"/>
        <w:spacing w:before="0" w:after="120"/>
        <w:ind w:firstLine="420"/>
        <w:jc w:val="left"/>
        <w:rPr>
          <w:rFonts w:hint="default" w:eastAsia="Times New Roman"/>
          <w:sz w:val="21"/>
          <w:lang w:val="zh-CN"/>
        </w:rPr>
      </w:pPr>
      <w:r>
        <w:rPr>
          <w:rFonts w:hint="eastAsia" w:ascii="宋体"/>
          <w:sz w:val="21"/>
          <w:lang w:val="zh-CN"/>
        </w:rPr>
        <w:t>（</w:t>
      </w:r>
      <w:r>
        <w:rPr>
          <w:rFonts w:hint="default" w:eastAsia="Times New Roman"/>
          <w:sz w:val="21"/>
          <w:lang w:val="zh-CN"/>
        </w:rPr>
        <w:t>2</w:t>
      </w:r>
      <w:r>
        <w:rPr>
          <w:rFonts w:hint="eastAsia" w:ascii="宋体"/>
          <w:sz w:val="21"/>
          <w:lang w:val="zh-CN"/>
        </w:rPr>
        <w:t>）其次，本公司根据上述划分研究阶段、开发阶段的标准，归集相应阶段的支出。研究阶段发生的支出于发生时计入当期损益；开发阶段的支出，在同时满足下列条件时，确认为无形资产：</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①完成该无形资产以使其能够使用或出售在技术上具有可行性；</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②具有完成该无形资产并使用或出售的意图；</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③无形资产产生经济利益的方式；</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④有足够的技术、服务资源和其他资源支持，以完成该无形资产的开发，并有能力使用或出售该无形资产；</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⑤归属于该无形资产开发阶段的支出能够可靠地计量。</w:t>
      </w:r>
    </w:p>
    <w:p>
      <w:pPr>
        <w:autoSpaceDE w:val="0"/>
        <w:autoSpaceDN w:val="0"/>
        <w:adjustRightInd w:val="0"/>
        <w:spacing w:before="0" w:after="120"/>
        <w:ind w:firstLine="420"/>
        <w:jc w:val="left"/>
        <w:rPr>
          <w:rFonts w:hint="default" w:eastAsia="Times New Roman"/>
          <w:sz w:val="21"/>
          <w:lang w:val="zh-CN"/>
        </w:rPr>
      </w:pPr>
      <w:r>
        <w:rPr>
          <w:rFonts w:hint="eastAsia" w:ascii="宋体"/>
          <w:sz w:val="21"/>
          <w:lang w:val="zh-CN"/>
        </w:rPr>
        <w:t>本公司主要研发项目为新型飞机刹车材料研制、飞机刹车材料改进研制、新型高性能模具材料研制等，其中：新型飞机刹车材料研制主要有市场调研、可行性研究、结构设计、材料选择及相关制造技术研究、形成飞机刹车技术规范、试验件的制造、地面试验、飞行试验、产品取证等阶段，本公司认为形成飞机刹车材料技术规范时，下一步研发已具备针对性，且形成成果的可能性较大时，作为资本化时点；飞机刹车材料改进研制项目，是基于在已研制完成项目基础上进行改进，故将实质性研发支出直接资本化；新型高性能模具材料研制，以完成配方试验作为资本化时点。以完成研发成果鉴定、验收或取得</w:t>
      </w:r>
      <w:r>
        <w:rPr>
          <w:rFonts w:hint="default" w:eastAsia="Times New Roman"/>
          <w:sz w:val="21"/>
          <w:lang w:val="zh-CN"/>
        </w:rPr>
        <w:t>PMA</w:t>
      </w:r>
      <w:r>
        <w:rPr>
          <w:rFonts w:hint="eastAsia" w:ascii="宋体"/>
          <w:sz w:val="21"/>
          <w:lang w:val="zh-CN"/>
        </w:rPr>
        <w:t>证书等作为转入无形资产核算时点。</w:t>
      </w:r>
    </w:p>
    <w:p>
      <w:pPr>
        <w:pStyle w:val="8"/>
        <w:outlineLvl w:val="2"/>
        <w:rPr>
          <w:rFonts w:hint="default" w:eastAsia="Times New Roman"/>
          <w:sz w:val="21"/>
        </w:rPr>
      </w:pPr>
      <w:r>
        <w:rPr>
          <w:rFonts w:hint="default"/>
          <w:sz w:val="21"/>
        </w:rPr>
        <w:t>25</w:t>
      </w:r>
      <w:r>
        <w:rPr>
          <w:rFonts w:hint="eastAsia"/>
          <w:sz w:val="21"/>
        </w:rPr>
        <w:t>、长期资产减值</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公司对除存货、按公允价值模式计量的投资性房地产、递延所得税、金融资产、按成本法核算的在活跃市场中没有报价且其公允价值不能可靠计量的长期股权投资外的资产减值，按以下方法确定：</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本公司于资产负债表日判断资产是否存在可能发生减值的迹象，存在减值迹象的，将估计其可收回金额，进行减值测试。对因企业合并所形成的商誉和使用寿命不确定的无形资产，无论是否存在减值迹象，至少每年末都要进行减值测试。可收回金额根据资产的公允价值减去处置费用后的净额与资产预计未来现金流量的现值两者之间较高者确定。本公司以单项资产为基础估计其可收回金额；难以对单项资产的可收回金额进行估计的，以该资产所属的资产组为基础确定资产组的可收回金额。资产组的认定，以资产组产生的主要现金流入是否独立于其他资产或者资产组的现金流入为依据。当资产或资产组的可收回金额低于其账面价值时，本公司将其账面价值减记至可收回金额，减记的金额计入当期损益，同时计提相应的资产减值准备。</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就商誉的减值测试而言，对于因企业合并形成的商誉的账面价值，自购买日起按照合理的方法分摊至相关的资产组；难以分摊至相关的资产组的，将其分摊至相关的资产组组合。相关的资产组或资产组组合，是能够从企业合并的协同效应中受益的资产组或资产组组合，且不大于本公司确定的报告分部。对包含商誉的相关资产组或者资产组组合进行减值测试时，如与商誉相关的资产组或者资产组组合存在减值迹象的，首先对不包含商誉的相关资产组或者资产组组合进行减值测试，计算可收回金额，确认相应的减值损失。然后对包含商誉的资产组或者资产组组合进行减值测试，比较其账面价值与可收回金额，如可收回金额低于账面价值的，减值损失金额首先抵减分摊至资产组或资产组组合中商誉的账面价值，再根据资产组或资产组组合中除商誉之外的其他各项资产的账面价值所占比重，按比例抵减其他各项资产的账面价值。</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上述资产减值损失一经确认，在以后会计期间不再转回。</w:t>
      </w:r>
    </w:p>
    <w:p>
      <w:pPr>
        <w:pStyle w:val="8"/>
        <w:outlineLvl w:val="2"/>
        <w:rPr>
          <w:rFonts w:hint="default" w:eastAsia="Times New Roman"/>
          <w:sz w:val="21"/>
        </w:rPr>
      </w:pPr>
      <w:r>
        <w:rPr>
          <w:rFonts w:hint="default"/>
          <w:sz w:val="21"/>
        </w:rPr>
        <w:t>26</w:t>
      </w:r>
      <w:r>
        <w:rPr>
          <w:rFonts w:hint="eastAsia"/>
          <w:sz w:val="21"/>
        </w:rPr>
        <w:t>、长期待摊费用</w:t>
      </w:r>
    </w:p>
    <w:p>
      <w:pPr>
        <w:autoSpaceDE w:val="0"/>
        <w:autoSpaceDN w:val="0"/>
        <w:adjustRightInd w:val="0"/>
        <w:spacing w:before="0" w:after="120"/>
        <w:ind w:firstLine="420"/>
        <w:rPr>
          <w:rFonts w:hint="eastAsia" w:ascii="宋体"/>
          <w:sz w:val="21"/>
          <w:lang w:val="zh-CN"/>
        </w:rPr>
      </w:pPr>
      <w:r>
        <w:rPr>
          <w:rFonts w:hint="eastAsia" w:ascii="宋体"/>
          <w:sz w:val="21"/>
          <w:lang w:val="zh-CN"/>
        </w:rPr>
        <w:t>长期待摊费用是指公司已经发生但应由本期和以后各期分担的分摊期限在一年以上（不含一年）的各项费用，本公司长期待摊费用主要为装修费等。长期待摊费用按实际支出入账，在项目预计受益期内平均摊销。如果长期待摊费用项目不能使以后会计期间受益的，则将其尚未摊销的摊余价值全部转入当期损益。</w:t>
      </w:r>
    </w:p>
    <w:p>
      <w:pPr>
        <w:pStyle w:val="8"/>
        <w:outlineLvl w:val="2"/>
        <w:rPr>
          <w:rFonts w:hint="default" w:eastAsia="Times New Roman"/>
          <w:sz w:val="21"/>
        </w:rPr>
      </w:pPr>
      <w:r>
        <w:rPr>
          <w:rFonts w:hint="default"/>
          <w:sz w:val="21"/>
        </w:rPr>
        <w:t>27</w:t>
      </w:r>
      <w:r>
        <w:rPr>
          <w:rFonts w:hint="eastAsia"/>
          <w:sz w:val="21"/>
        </w:rPr>
        <w:t>、合同负债</w:t>
      </w:r>
    </w:p>
    <w:p>
      <w:pPr>
        <w:autoSpaceDE w:val="0"/>
        <w:autoSpaceDN w:val="0"/>
        <w:adjustRightInd w:val="0"/>
        <w:spacing w:before="0" w:after="120"/>
        <w:ind w:firstLine="420"/>
        <w:rPr>
          <w:rFonts w:hint="eastAsia" w:ascii="宋体"/>
          <w:sz w:val="21"/>
          <w:lang w:val="zh-CN"/>
        </w:rPr>
      </w:pPr>
      <w:r>
        <w:rPr>
          <w:rFonts w:hint="eastAsia" w:ascii="宋体"/>
          <w:sz w:val="21"/>
          <w:lang w:val="zh-CN"/>
        </w:rPr>
        <w:t>本公司根据履行履约义务与客户付款之间的关系在资产负债表中列示合同资产或合同负债。本公司已收或应收客户对价而应向客户转让商品或提供服务的义务列示为合同负债。</w:t>
      </w:r>
    </w:p>
    <w:p>
      <w:pPr>
        <w:autoSpaceDE w:val="0"/>
        <w:autoSpaceDN w:val="0"/>
        <w:adjustRightInd w:val="0"/>
        <w:spacing w:before="0" w:after="0"/>
        <w:jc w:val="left"/>
        <w:rPr>
          <w:rFonts w:hint="eastAsia" w:ascii="宋体"/>
          <w:sz w:val="18"/>
          <w:lang w:val="zh-CN"/>
        </w:rPr>
      </w:pPr>
    </w:p>
    <w:p>
      <w:pPr>
        <w:pStyle w:val="8"/>
        <w:outlineLvl w:val="2"/>
        <w:rPr>
          <w:rFonts w:hint="default" w:eastAsia="Times New Roman"/>
          <w:sz w:val="21"/>
        </w:rPr>
      </w:pPr>
      <w:r>
        <w:rPr>
          <w:rFonts w:hint="default"/>
          <w:sz w:val="21"/>
        </w:rPr>
        <w:t>28</w:t>
      </w:r>
      <w:r>
        <w:rPr>
          <w:rFonts w:hint="eastAsia"/>
          <w:sz w:val="21"/>
        </w:rPr>
        <w:t>、职工薪酬</w:t>
      </w:r>
    </w:p>
    <w:p>
      <w:pPr>
        <w:pStyle w:val="8"/>
        <w:outlineLvl w:val="3"/>
        <w:rPr>
          <w:rFonts w:hint="default" w:eastAsia="Times New Roman"/>
          <w:sz w:val="21"/>
        </w:rPr>
      </w:pPr>
      <w:r>
        <w:rPr>
          <w:rFonts w:hint="eastAsia"/>
          <w:sz w:val="21"/>
        </w:rPr>
        <w:t>（</w:t>
      </w:r>
      <w:r>
        <w:rPr>
          <w:rFonts w:hint="default"/>
          <w:sz w:val="21"/>
        </w:rPr>
        <w:t>1</w:t>
      </w:r>
      <w:r>
        <w:rPr>
          <w:rFonts w:hint="eastAsia"/>
          <w:sz w:val="21"/>
        </w:rPr>
        <w:t>）短期薪酬的会计处理方法</w:t>
      </w:r>
    </w:p>
    <w:p>
      <w:pPr>
        <w:autoSpaceDE w:val="0"/>
        <w:autoSpaceDN w:val="0"/>
        <w:adjustRightInd w:val="0"/>
        <w:spacing w:before="0" w:after="120"/>
        <w:ind w:firstLine="420"/>
        <w:rPr>
          <w:rFonts w:hint="eastAsia" w:ascii="宋体"/>
          <w:sz w:val="21"/>
          <w:lang w:val="zh-CN"/>
        </w:rPr>
      </w:pPr>
      <w:r>
        <w:rPr>
          <w:rFonts w:hint="eastAsia" w:ascii="宋体"/>
          <w:sz w:val="21"/>
          <w:lang w:val="zh-CN"/>
        </w:rPr>
        <w:t>职工薪酬，是指本公司为获得职工提供的服务或解除劳动关系而给予的除股份支付以外各种形式的报酬或补偿。职工薪酬包括短期薪酬、离职后福利、辞退福利和其他长期职工福利。本公司提供给职工配偶、子女、受赡养人、已故员工遗属及其他受益人等的福利，也属于职工薪酬。</w:t>
      </w:r>
    </w:p>
    <w:p>
      <w:pPr>
        <w:autoSpaceDE w:val="0"/>
        <w:autoSpaceDN w:val="0"/>
        <w:adjustRightInd w:val="0"/>
        <w:spacing w:before="0" w:after="120"/>
        <w:ind w:firstLine="420"/>
        <w:rPr>
          <w:rFonts w:hint="eastAsia" w:ascii="宋体"/>
          <w:sz w:val="21"/>
          <w:lang w:val="zh-CN"/>
        </w:rPr>
      </w:pPr>
      <w:r>
        <w:rPr>
          <w:rFonts w:hint="eastAsia" w:ascii="宋体"/>
          <w:sz w:val="21"/>
          <w:lang w:val="zh-CN"/>
        </w:rPr>
        <w:t>本公司在职工提供服务的会计期间，将实际发生的短期薪酬确认为负债，并计入当期损益或相关资产成本。其中，非货币性福利按照公允价值计量。</w:t>
      </w:r>
    </w:p>
    <w:p>
      <w:pPr>
        <w:pStyle w:val="8"/>
        <w:numPr>
          <w:ilvl w:val="0"/>
          <w:numId w:val="2"/>
        </w:numPr>
        <w:outlineLvl w:val="3"/>
        <w:rPr>
          <w:rFonts w:hint="default" w:eastAsia="Times New Roman"/>
          <w:sz w:val="21"/>
        </w:rPr>
      </w:pPr>
      <w:r>
        <w:rPr>
          <w:rFonts w:hint="eastAsia"/>
          <w:sz w:val="21"/>
        </w:rPr>
        <w:t>离职后福利的会计处理方法</w:t>
      </w:r>
    </w:p>
    <w:p>
      <w:pPr>
        <w:autoSpaceDE w:val="0"/>
        <w:autoSpaceDN w:val="0"/>
        <w:adjustRightInd w:val="0"/>
        <w:spacing w:before="0" w:after="120"/>
        <w:ind w:firstLine="420"/>
        <w:rPr>
          <w:rFonts w:hint="eastAsia" w:ascii="宋体"/>
          <w:sz w:val="21"/>
          <w:lang w:val="zh-CN"/>
        </w:rPr>
      </w:pPr>
      <w:r>
        <w:rPr>
          <w:rFonts w:hint="eastAsia" w:ascii="宋体"/>
          <w:sz w:val="21"/>
          <w:lang w:val="zh-CN"/>
        </w:rPr>
        <w:t>本公司职工参加了由当地劳动和社会保障部门组织实施的社会基本养老保险。本公司以当地规定的社会基本养老保险缴纳基数和比例，按月向当地社会基本养老保险经办机构缴纳养老保险费。职工退休后，当地劳动及社会保障部门有责任向已退休员工支付社会基本养老金。本公司在职工提供服务的会计期间，将根据上述社保规定计算应缴纳的金额确认为负债，并计入当期损益或相关资产成本。</w:t>
      </w:r>
    </w:p>
    <w:p>
      <w:pPr>
        <w:pStyle w:val="8"/>
        <w:outlineLvl w:val="3"/>
        <w:rPr>
          <w:rFonts w:hint="default" w:eastAsia="Times New Roman"/>
          <w:sz w:val="21"/>
        </w:rPr>
      </w:pPr>
      <w:r>
        <w:rPr>
          <w:rFonts w:hint="eastAsia"/>
          <w:sz w:val="21"/>
        </w:rPr>
        <w:t>（</w:t>
      </w:r>
      <w:r>
        <w:rPr>
          <w:rFonts w:hint="default"/>
          <w:sz w:val="21"/>
        </w:rPr>
        <w:t>3</w:t>
      </w:r>
      <w:r>
        <w:rPr>
          <w:rFonts w:hint="eastAsia"/>
          <w:sz w:val="21"/>
        </w:rPr>
        <w:t>）辞退福利的会计处理方法</w:t>
      </w:r>
    </w:p>
    <w:p>
      <w:pPr>
        <w:autoSpaceDE w:val="0"/>
        <w:autoSpaceDN w:val="0"/>
        <w:adjustRightInd w:val="0"/>
        <w:spacing w:before="0" w:after="120"/>
        <w:ind w:firstLine="420"/>
        <w:rPr>
          <w:rFonts w:hint="eastAsia" w:ascii="宋体"/>
          <w:sz w:val="21"/>
          <w:lang w:val="zh-CN"/>
        </w:rPr>
      </w:pPr>
      <w:r>
        <w:rPr>
          <w:rFonts w:hint="eastAsia" w:ascii="宋体"/>
          <w:sz w:val="21"/>
          <w:lang w:val="zh-CN"/>
        </w:rPr>
        <w:t>本公司在职工劳动合同到期之前解除与职工的劳动关系、或者为鼓励职工自愿接受裁减而提出给予补偿，在本公司不能单方面撤回解除劳动关系计划或裁减建议时和确认与涉及支付辞退福利的重组相关的成本费用时两者孰早日，确认因解除与职工的劳动关系给予补偿而产生的负债，同时计入当期损益。</w:t>
      </w:r>
    </w:p>
    <w:p>
      <w:pPr>
        <w:pStyle w:val="8"/>
        <w:outlineLvl w:val="2"/>
        <w:rPr>
          <w:rFonts w:hint="default" w:eastAsia="Times New Roman"/>
          <w:sz w:val="21"/>
        </w:rPr>
      </w:pPr>
      <w:r>
        <w:rPr>
          <w:rFonts w:hint="default"/>
          <w:sz w:val="21"/>
        </w:rPr>
        <w:t>29</w:t>
      </w:r>
      <w:r>
        <w:rPr>
          <w:rFonts w:hint="eastAsia"/>
          <w:sz w:val="21"/>
        </w:rPr>
        <w:t>、租赁负债</w:t>
      </w:r>
    </w:p>
    <w:p>
      <w:pPr>
        <w:autoSpaceDE w:val="0"/>
        <w:autoSpaceDN w:val="0"/>
        <w:adjustRightInd w:val="0"/>
        <w:spacing w:before="0" w:after="120"/>
        <w:ind w:firstLine="420"/>
        <w:rPr>
          <w:rFonts w:hint="eastAsia" w:ascii="宋体"/>
          <w:sz w:val="21"/>
          <w:lang w:val="zh-CN"/>
        </w:rPr>
      </w:pPr>
      <w:r>
        <w:rPr>
          <w:rFonts w:hint="eastAsia" w:ascii="宋体"/>
          <w:sz w:val="21"/>
          <w:lang w:val="zh-CN"/>
        </w:rPr>
        <w:t>在租赁期开始日，本公司对租赁确认使用权资产和租赁负债，应用准则进行简化处理的短期租赁和低价值资产租赁除外。</w:t>
      </w:r>
    </w:p>
    <w:p>
      <w:pPr>
        <w:autoSpaceDE w:val="0"/>
        <w:autoSpaceDN w:val="0"/>
        <w:adjustRightInd w:val="0"/>
        <w:spacing w:before="0" w:after="120"/>
        <w:ind w:firstLine="420"/>
        <w:rPr>
          <w:rFonts w:hint="eastAsia" w:ascii="宋体"/>
          <w:sz w:val="21"/>
          <w:lang w:val="zh-CN"/>
        </w:rPr>
      </w:pPr>
      <w:r>
        <w:rPr>
          <w:rFonts w:hint="eastAsia" w:ascii="宋体"/>
          <w:sz w:val="21"/>
          <w:lang w:val="zh-CN"/>
        </w:rPr>
        <w:t>租赁负债按照租赁期开始日尚未支付的租赁付款额的现值进行初始计量。</w:t>
      </w:r>
    </w:p>
    <w:p>
      <w:pPr>
        <w:autoSpaceDE w:val="0"/>
        <w:autoSpaceDN w:val="0"/>
        <w:adjustRightInd w:val="0"/>
        <w:spacing w:before="0" w:after="120"/>
        <w:ind w:firstLine="420"/>
        <w:rPr>
          <w:rFonts w:hint="eastAsia" w:ascii="宋体"/>
          <w:sz w:val="21"/>
          <w:lang w:val="zh-CN"/>
        </w:rPr>
      </w:pPr>
      <w:r>
        <w:rPr>
          <w:rFonts w:hint="eastAsia" w:ascii="宋体"/>
          <w:sz w:val="21"/>
          <w:lang w:val="zh-CN"/>
        </w:rPr>
        <w:t>租赁付款额，是指本公司向出租人支付的与在租赁期内使用租赁资产的权利相关的款项，包括：</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1</w:t>
      </w:r>
      <w:r>
        <w:rPr>
          <w:rFonts w:hint="eastAsia" w:ascii="宋体"/>
          <w:sz w:val="21"/>
          <w:lang w:val="zh-CN"/>
        </w:rPr>
        <w:t>、固定付款额及实质固定付款额，存在租赁激励的，扣除租赁激励相关金额；</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2</w:t>
      </w:r>
      <w:r>
        <w:rPr>
          <w:rFonts w:hint="eastAsia" w:ascii="宋体"/>
          <w:sz w:val="21"/>
          <w:lang w:val="zh-CN"/>
        </w:rPr>
        <w:t>、取决于指数或比率的可变租赁付款额，该款项在初始计量时根据租赁期开始日的指数或比率确定；</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3</w:t>
      </w:r>
      <w:r>
        <w:rPr>
          <w:rFonts w:hint="eastAsia" w:ascii="宋体"/>
          <w:sz w:val="21"/>
          <w:lang w:val="zh-CN"/>
        </w:rPr>
        <w:t>、购买选择权的行权价格，前提是本公司合理确定将行使该选择权；</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4</w:t>
      </w:r>
      <w:r>
        <w:rPr>
          <w:rFonts w:hint="eastAsia" w:ascii="宋体"/>
          <w:sz w:val="21"/>
          <w:lang w:val="zh-CN"/>
        </w:rPr>
        <w:t>、行使终止租赁选择权需支付的款项，前提是租赁期反映出本公司将行使终止租赁选择权；</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5</w:t>
      </w:r>
      <w:r>
        <w:rPr>
          <w:rFonts w:hint="eastAsia" w:ascii="宋体"/>
          <w:sz w:val="21"/>
          <w:lang w:val="zh-CN"/>
        </w:rPr>
        <w:t>、根据本公司提供的担保余值预计应支付的款项。</w:t>
      </w:r>
    </w:p>
    <w:p>
      <w:pPr>
        <w:autoSpaceDE w:val="0"/>
        <w:autoSpaceDN w:val="0"/>
        <w:adjustRightInd w:val="0"/>
        <w:spacing w:before="0" w:after="0"/>
        <w:ind w:firstLine="420" w:firstLineChars="200"/>
        <w:rPr>
          <w:rFonts w:hint="eastAsia" w:ascii="宋体"/>
          <w:sz w:val="21"/>
          <w:lang w:val="zh-CN"/>
        </w:rPr>
      </w:pPr>
      <w:r>
        <w:rPr>
          <w:rFonts w:hint="eastAsia" w:ascii="宋体"/>
          <w:sz w:val="21"/>
          <w:lang w:val="zh-CN"/>
        </w:rPr>
        <w:t>在计算租赁付款额的现值时，本公司采用租赁内含利率作为折现率；无法确定租赁内含利率的，本公司采用增量借款利率作为折现率。</w:t>
      </w:r>
    </w:p>
    <w:p>
      <w:pPr>
        <w:pStyle w:val="8"/>
        <w:outlineLvl w:val="2"/>
        <w:rPr>
          <w:rFonts w:hint="default" w:eastAsia="Times New Roman"/>
          <w:sz w:val="21"/>
        </w:rPr>
      </w:pPr>
      <w:r>
        <w:rPr>
          <w:rFonts w:hint="default"/>
          <w:sz w:val="21"/>
        </w:rPr>
        <w:t>30</w:t>
      </w:r>
      <w:r>
        <w:rPr>
          <w:rFonts w:hint="eastAsia"/>
          <w:sz w:val="21"/>
        </w:rPr>
        <w:t>、收入</w:t>
      </w:r>
    </w:p>
    <w:p>
      <w:pPr>
        <w:jc w:val="left"/>
        <w:rPr>
          <w:rFonts w:hint="default" w:eastAsia="Times New Roman"/>
          <w:sz w:val="18"/>
        </w:rPr>
      </w:pPr>
      <w:r>
        <w:rPr>
          <w:rFonts w:hint="eastAsia"/>
          <w:sz w:val="18"/>
        </w:rPr>
        <w:t>收入确认和计量所采用的会计政策</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1</w:t>
      </w:r>
      <w:r>
        <w:rPr>
          <w:rFonts w:hint="eastAsia" w:ascii="宋体"/>
          <w:sz w:val="21"/>
          <w:lang w:val="zh-CN"/>
        </w:rPr>
        <w:t>、收入的确认</w:t>
      </w:r>
    </w:p>
    <w:p>
      <w:pPr>
        <w:autoSpaceDE w:val="0"/>
        <w:autoSpaceDN w:val="0"/>
        <w:adjustRightInd w:val="0"/>
        <w:spacing w:before="0" w:after="120"/>
        <w:ind w:firstLine="420"/>
        <w:rPr>
          <w:rFonts w:hint="eastAsia" w:ascii="宋体"/>
          <w:sz w:val="21"/>
          <w:lang w:val="zh-CN"/>
        </w:rPr>
      </w:pPr>
      <w:r>
        <w:rPr>
          <w:rFonts w:hint="eastAsia" w:ascii="宋体"/>
          <w:sz w:val="21"/>
          <w:lang w:val="zh-CN"/>
        </w:rPr>
        <w:t>本公司在履行了合同中的履约义务，即在客户取得相关商品控制权时确认收入。取得相关商品控制权是指能够主导该商品的使用并从中获得几乎全部的经济利益。</w:t>
      </w:r>
    </w:p>
    <w:p>
      <w:pPr>
        <w:autoSpaceDE w:val="0"/>
        <w:autoSpaceDN w:val="0"/>
        <w:adjustRightInd w:val="0"/>
        <w:spacing w:before="0" w:after="120"/>
        <w:ind w:firstLine="420"/>
        <w:jc w:val="left"/>
        <w:rPr>
          <w:rFonts w:hint="default" w:eastAsia="Times New Roman"/>
          <w:sz w:val="21"/>
          <w:lang w:val="zh-CN"/>
        </w:rPr>
      </w:pPr>
      <w:r>
        <w:rPr>
          <w:rFonts w:hint="default" w:eastAsia="Times New Roman"/>
          <w:sz w:val="21"/>
          <w:lang w:val="zh-CN"/>
        </w:rPr>
        <w:t>2</w:t>
      </w:r>
      <w:r>
        <w:rPr>
          <w:rFonts w:hint="eastAsia" w:ascii="宋体"/>
          <w:sz w:val="21"/>
          <w:lang w:val="zh-CN"/>
        </w:rPr>
        <w:t>、本公司依据收入准则相关规定判断相关履约义务性质属于</w:t>
      </w:r>
      <w:r>
        <w:rPr>
          <w:rFonts w:hint="default" w:eastAsia="Times New Roman"/>
          <w:sz w:val="21"/>
          <w:lang w:val="zh-CN"/>
        </w:rPr>
        <w:t>“</w:t>
      </w:r>
      <w:r>
        <w:rPr>
          <w:rFonts w:hint="eastAsia" w:ascii="宋体"/>
          <w:sz w:val="21"/>
          <w:lang w:val="zh-CN"/>
        </w:rPr>
        <w:t>在某一时段内履行的履约义务</w:t>
      </w:r>
      <w:r>
        <w:rPr>
          <w:rFonts w:hint="default" w:eastAsia="Times New Roman"/>
          <w:sz w:val="21"/>
          <w:lang w:val="zh-CN"/>
        </w:rPr>
        <w:t>”</w:t>
      </w:r>
      <w:r>
        <w:rPr>
          <w:rFonts w:hint="eastAsia" w:ascii="宋体"/>
          <w:sz w:val="21"/>
          <w:lang w:val="zh-CN"/>
        </w:rPr>
        <w:t>或</w:t>
      </w:r>
      <w:r>
        <w:rPr>
          <w:rFonts w:hint="default" w:eastAsia="Times New Roman"/>
          <w:sz w:val="21"/>
          <w:lang w:val="zh-CN"/>
        </w:rPr>
        <w:t>“</w:t>
      </w:r>
      <w:r>
        <w:rPr>
          <w:rFonts w:hint="eastAsia" w:ascii="宋体"/>
          <w:sz w:val="21"/>
          <w:lang w:val="zh-CN"/>
        </w:rPr>
        <w:t>某一时点履行的履约义务</w:t>
      </w:r>
      <w:r>
        <w:rPr>
          <w:rFonts w:hint="default" w:eastAsia="Times New Roman"/>
          <w:sz w:val="21"/>
          <w:lang w:val="zh-CN"/>
        </w:rPr>
        <w:t>”</w:t>
      </w:r>
      <w:r>
        <w:rPr>
          <w:rFonts w:hint="eastAsia" w:ascii="宋体"/>
          <w:sz w:val="21"/>
          <w:lang w:val="zh-CN"/>
        </w:rPr>
        <w:t>，分别按以下原则进行收入确认。</w:t>
      </w:r>
    </w:p>
    <w:p>
      <w:pPr>
        <w:autoSpaceDE w:val="0"/>
        <w:autoSpaceDN w:val="0"/>
        <w:adjustRightInd w:val="0"/>
        <w:spacing w:before="0" w:after="120"/>
        <w:ind w:firstLine="420"/>
        <w:jc w:val="left"/>
        <w:rPr>
          <w:rFonts w:hint="default" w:eastAsia="Times New Roman"/>
          <w:sz w:val="21"/>
          <w:lang w:val="zh-CN"/>
        </w:rPr>
      </w:pPr>
      <w:r>
        <w:rPr>
          <w:rFonts w:hint="eastAsia" w:ascii="宋体"/>
          <w:sz w:val="21"/>
          <w:lang w:val="zh-CN"/>
        </w:rPr>
        <w:t>（</w:t>
      </w:r>
      <w:r>
        <w:rPr>
          <w:rFonts w:hint="default" w:eastAsia="Times New Roman"/>
          <w:sz w:val="21"/>
          <w:lang w:val="zh-CN"/>
        </w:rPr>
        <w:t>1</w:t>
      </w:r>
      <w:r>
        <w:rPr>
          <w:rFonts w:hint="eastAsia" w:ascii="宋体"/>
          <w:sz w:val="21"/>
          <w:lang w:val="zh-CN"/>
        </w:rPr>
        <w:t>）本公司满足下列条件之一的，属于在某一时段内履行履约义务：</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①客户在本公司履约的同时即取得并消耗本公司履约所带来的经济利益。</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②客户能够控制本公司履约过程中在建的资产。</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③本公司履约过程中所产出的资产具有不可替代用途，且本公司在整个合同期内有权就累计至今已完成的履约部分收取款项。</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对于在某一时段内履行的履约义务，本公司在该段时间内按照履约进度确认收入，但是，履约进度不能合理确定的除外。本公司考虑商品的性质，采用产出法或投入法确定恰当的履约进度。</w:t>
      </w:r>
    </w:p>
    <w:p>
      <w:pPr>
        <w:autoSpaceDE w:val="0"/>
        <w:autoSpaceDN w:val="0"/>
        <w:adjustRightInd w:val="0"/>
        <w:spacing w:before="0" w:after="120"/>
        <w:ind w:firstLine="420"/>
        <w:jc w:val="left"/>
        <w:rPr>
          <w:rFonts w:hint="default" w:eastAsia="Times New Roman"/>
          <w:sz w:val="21"/>
          <w:lang w:val="zh-CN"/>
        </w:rPr>
      </w:pPr>
      <w:r>
        <w:rPr>
          <w:rFonts w:hint="eastAsia" w:ascii="宋体"/>
          <w:sz w:val="21"/>
          <w:lang w:val="zh-CN"/>
        </w:rPr>
        <w:t>（</w:t>
      </w:r>
      <w:r>
        <w:rPr>
          <w:rFonts w:hint="default" w:eastAsia="Times New Roman"/>
          <w:sz w:val="21"/>
          <w:lang w:val="zh-CN"/>
        </w:rPr>
        <w:t>2</w:t>
      </w:r>
      <w:r>
        <w:rPr>
          <w:rFonts w:hint="eastAsia" w:ascii="宋体"/>
          <w:sz w:val="21"/>
          <w:lang w:val="zh-CN"/>
        </w:rPr>
        <w:t>）对于不属于在某一时段内履行的履约义务，属于在某一时点履行的履约义务，本公司在客户取得相关商品控制权时点确认收入。</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在判断客户是否已取得商品控制权时，本公司考虑下列迹象：</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①本公司就该商品享有现时收款权利，即客户就该商品负有现时付款义务。</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②本公司已将该商品的法定所有权转移给客户，即客户已拥有该商品的法定所有权。</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③本公司已将该商品实物转移给客户，即客户已实物占有该商品。</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④本公司已将该商品所有权上的主要风险和报酬转移给客户，即客户已取得该商品所有权上的主要风险和报酬。</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⑤客户已接受该商品。</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⑥其他表明客户已取得商品控制权的迹象。</w:t>
      </w:r>
    </w:p>
    <w:p>
      <w:pPr>
        <w:autoSpaceDE w:val="0"/>
        <w:autoSpaceDN w:val="0"/>
        <w:adjustRightInd w:val="0"/>
        <w:spacing w:before="0" w:after="120"/>
        <w:ind w:firstLine="420"/>
        <w:jc w:val="left"/>
        <w:rPr>
          <w:rFonts w:hint="default" w:eastAsia="Times New Roman"/>
          <w:sz w:val="21"/>
          <w:lang w:val="zh-CN"/>
        </w:rPr>
      </w:pPr>
      <w:r>
        <w:rPr>
          <w:rFonts w:hint="eastAsia" w:ascii="宋体"/>
          <w:sz w:val="21"/>
          <w:lang w:val="zh-CN"/>
        </w:rPr>
        <w:t>本公司主要产品为飞机刹车材料、航天及民用碳</w:t>
      </w:r>
      <w:r>
        <w:rPr>
          <w:rFonts w:hint="default" w:eastAsia="Times New Roman"/>
          <w:sz w:val="21"/>
          <w:lang w:val="zh-CN"/>
        </w:rPr>
        <w:t>\</w:t>
      </w:r>
      <w:r>
        <w:rPr>
          <w:rFonts w:hint="eastAsia" w:ascii="宋体"/>
          <w:sz w:val="21"/>
          <w:lang w:val="zh-CN"/>
        </w:rPr>
        <w:t>碳复合材料、高性能硬质合金材料、稀有金属粉体新材料。</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本公司主要产品内销收入具体政策如下：</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飞机刹车材料：飞机刹车副，一般为客户收货后，公司开具发票，故公司主要以客户收货作为产品风险及报酬转移时点确认收入，若为寄售销售，公司向客户发出货物，由客户代为保管，客户使用后，统计当月消耗数量，于次月向公司提供结算单，公司复核无误后开具发票，故公司在寄售销售模式下以收到客户的结算单作为收入确认时点；飞机刹车系统，以客户验收作为产品风险与报酬转移时点确认收入。</w:t>
      </w:r>
    </w:p>
    <w:p>
      <w:pPr>
        <w:autoSpaceDE w:val="0"/>
        <w:autoSpaceDN w:val="0"/>
        <w:adjustRightInd w:val="0"/>
        <w:spacing w:before="0" w:after="120"/>
        <w:ind w:firstLine="420"/>
        <w:jc w:val="left"/>
        <w:rPr>
          <w:rFonts w:hint="default" w:eastAsia="Times New Roman"/>
          <w:sz w:val="21"/>
          <w:lang w:val="zh-CN"/>
        </w:rPr>
      </w:pPr>
      <w:r>
        <w:rPr>
          <w:rFonts w:hint="eastAsia" w:ascii="宋体"/>
          <w:sz w:val="21"/>
          <w:lang w:val="zh-CN"/>
        </w:rPr>
        <w:t>航天及民用碳</w:t>
      </w:r>
      <w:r>
        <w:rPr>
          <w:rFonts w:hint="default" w:eastAsia="Times New Roman"/>
          <w:sz w:val="21"/>
          <w:lang w:val="zh-CN"/>
        </w:rPr>
        <w:t>\</w:t>
      </w:r>
      <w:r>
        <w:rPr>
          <w:rFonts w:hint="eastAsia" w:ascii="宋体"/>
          <w:sz w:val="21"/>
          <w:lang w:val="zh-CN"/>
        </w:rPr>
        <w:t>碳复合材料：根据合同是否约定验收合格条款而分别以客户确认收货或客户验收合格作为收入确认时点。</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高性能硬质合金材料：主要采取快递的运输方式，待客户确认收货后公司开具发票，故公司以客户确认收货作为收入确认时点。</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稀有金属粉体新材料：公司将产品交付客户，经客户验收合格后确认收入。</w:t>
      </w:r>
    </w:p>
    <w:p>
      <w:pPr>
        <w:autoSpaceDE w:val="0"/>
        <w:autoSpaceDN w:val="0"/>
        <w:adjustRightInd w:val="0"/>
        <w:spacing w:before="0" w:after="120"/>
        <w:ind w:firstLine="420"/>
        <w:jc w:val="left"/>
        <w:rPr>
          <w:rFonts w:hint="default" w:eastAsia="Times New Roman"/>
          <w:sz w:val="21"/>
          <w:lang w:val="zh-CN"/>
        </w:rPr>
      </w:pPr>
      <w:r>
        <w:rPr>
          <w:rFonts w:hint="eastAsia" w:ascii="宋体"/>
          <w:sz w:val="21"/>
          <w:lang w:val="zh-CN"/>
        </w:rPr>
        <w:t>出口销售：主要为</w:t>
      </w:r>
      <w:r>
        <w:rPr>
          <w:rFonts w:hint="default" w:eastAsia="Times New Roman"/>
          <w:sz w:val="21"/>
          <w:lang w:val="zh-CN"/>
        </w:rPr>
        <w:t>FCA</w:t>
      </w:r>
      <w:r>
        <w:rPr>
          <w:rFonts w:hint="eastAsia" w:ascii="宋体"/>
          <w:sz w:val="21"/>
          <w:lang w:val="zh-CN"/>
        </w:rPr>
        <w:t>、</w:t>
      </w:r>
      <w:r>
        <w:rPr>
          <w:rFonts w:hint="default" w:eastAsia="Times New Roman"/>
          <w:sz w:val="21"/>
          <w:lang w:val="zh-CN"/>
        </w:rPr>
        <w:t>FOB</w:t>
      </w:r>
      <w:r>
        <w:rPr>
          <w:rFonts w:hint="eastAsia" w:ascii="宋体"/>
          <w:sz w:val="21"/>
          <w:lang w:val="zh-CN"/>
        </w:rPr>
        <w:t>两种模式，出口报关后凭报关单、装箱单、运输发票等原始凭证确认收入。</w:t>
      </w:r>
    </w:p>
    <w:p>
      <w:pPr>
        <w:autoSpaceDE w:val="0"/>
        <w:autoSpaceDN w:val="0"/>
        <w:adjustRightInd w:val="0"/>
        <w:spacing w:before="0" w:after="120"/>
        <w:ind w:firstLine="420"/>
        <w:jc w:val="left"/>
        <w:rPr>
          <w:rFonts w:hint="default" w:eastAsia="Times New Roman"/>
          <w:sz w:val="21"/>
          <w:lang w:val="zh-CN"/>
        </w:rPr>
      </w:pPr>
      <w:r>
        <w:rPr>
          <w:rFonts w:hint="default" w:eastAsia="Times New Roman"/>
          <w:sz w:val="21"/>
          <w:lang w:val="zh-CN"/>
        </w:rPr>
        <w:t>3</w:t>
      </w:r>
      <w:r>
        <w:rPr>
          <w:rFonts w:hint="eastAsia" w:ascii="宋体"/>
          <w:sz w:val="21"/>
          <w:lang w:val="zh-CN"/>
        </w:rPr>
        <w:t>、收入的计量</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本公司应当按照分摊至各单项履约义务的交易价格计量收入。在确定交易价格时，本公司考虑可变对价、合同中存在的重大融资成分、非现金对价、应付客户对价等因素的影响。</w:t>
      </w:r>
    </w:p>
    <w:p>
      <w:pPr>
        <w:autoSpaceDE w:val="0"/>
        <w:autoSpaceDN w:val="0"/>
        <w:adjustRightInd w:val="0"/>
        <w:spacing w:before="0" w:after="120"/>
        <w:ind w:firstLine="420"/>
        <w:jc w:val="left"/>
        <w:rPr>
          <w:rFonts w:hint="default" w:eastAsia="Times New Roman"/>
          <w:sz w:val="21"/>
          <w:lang w:val="zh-CN"/>
        </w:rPr>
      </w:pPr>
      <w:r>
        <w:rPr>
          <w:rFonts w:hint="eastAsia" w:ascii="宋体"/>
          <w:sz w:val="21"/>
          <w:lang w:val="zh-CN"/>
        </w:rPr>
        <w:t>（</w:t>
      </w:r>
      <w:r>
        <w:rPr>
          <w:rFonts w:hint="default" w:eastAsia="Times New Roman"/>
          <w:sz w:val="21"/>
          <w:lang w:val="zh-CN"/>
        </w:rPr>
        <w:t>1</w:t>
      </w:r>
      <w:r>
        <w:rPr>
          <w:rFonts w:hint="eastAsia" w:ascii="宋体"/>
          <w:sz w:val="21"/>
          <w:lang w:val="zh-CN"/>
        </w:rPr>
        <w:t>）可变对价</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本公司按照期望值或最可能发生金额确定可变对价的最佳估计数，但包含可变对价的交易价格，应当不超过在相关不确定性消除时累计己确认收入极可能不会发生重大转回的金额。企业在评估累计已确认收入是否极可能不会发生重大转回时，应当同时考虑收入转回的可能性及其比重。</w:t>
      </w:r>
    </w:p>
    <w:p>
      <w:pPr>
        <w:autoSpaceDE w:val="0"/>
        <w:autoSpaceDN w:val="0"/>
        <w:adjustRightInd w:val="0"/>
        <w:spacing w:before="0" w:after="120"/>
        <w:ind w:firstLine="420"/>
        <w:jc w:val="left"/>
        <w:rPr>
          <w:rFonts w:hint="default" w:eastAsia="Times New Roman"/>
          <w:sz w:val="21"/>
          <w:lang w:val="zh-CN"/>
        </w:rPr>
      </w:pPr>
      <w:r>
        <w:rPr>
          <w:rFonts w:hint="eastAsia" w:ascii="宋体"/>
          <w:sz w:val="21"/>
          <w:lang w:val="zh-CN"/>
        </w:rPr>
        <w:t>（</w:t>
      </w:r>
      <w:r>
        <w:rPr>
          <w:rFonts w:hint="default" w:eastAsia="Times New Roman"/>
          <w:sz w:val="21"/>
          <w:lang w:val="zh-CN"/>
        </w:rPr>
        <w:t>2</w:t>
      </w:r>
      <w:r>
        <w:rPr>
          <w:rFonts w:hint="eastAsia" w:ascii="宋体"/>
          <w:sz w:val="21"/>
          <w:lang w:val="zh-CN"/>
        </w:rPr>
        <w:t>）重大融资成分</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合同中存在重大融资成分的，本公司应当按照假定客户在取得商品控制权时即以现金支付的应付金额确定交易价格。该交易价格与合同对价之间的差额，应当在合同期间内采用实际利率法摊销。</w:t>
      </w:r>
    </w:p>
    <w:p>
      <w:pPr>
        <w:autoSpaceDE w:val="0"/>
        <w:autoSpaceDN w:val="0"/>
        <w:adjustRightInd w:val="0"/>
        <w:spacing w:before="0" w:after="120"/>
        <w:ind w:firstLine="420"/>
        <w:jc w:val="left"/>
        <w:rPr>
          <w:rFonts w:hint="default" w:eastAsia="Times New Roman"/>
          <w:sz w:val="21"/>
          <w:lang w:val="zh-CN"/>
        </w:rPr>
      </w:pPr>
      <w:r>
        <w:rPr>
          <w:rFonts w:hint="eastAsia" w:ascii="宋体"/>
          <w:sz w:val="21"/>
          <w:lang w:val="zh-CN"/>
        </w:rPr>
        <w:t>（</w:t>
      </w:r>
      <w:r>
        <w:rPr>
          <w:rFonts w:hint="default" w:eastAsia="Times New Roman"/>
          <w:sz w:val="21"/>
          <w:lang w:val="zh-CN"/>
        </w:rPr>
        <w:t>3</w:t>
      </w:r>
      <w:r>
        <w:rPr>
          <w:rFonts w:hint="eastAsia" w:ascii="宋体"/>
          <w:sz w:val="21"/>
          <w:lang w:val="zh-CN"/>
        </w:rPr>
        <w:t>）非现金对价</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客户支付非现金对价的，本公司按照非现金对价的公允价值确定交易价格。非现金对价的公允价值不能合理估计的，本公司参照其承诺向客户转让商品的单独售价间接确定交易价格。</w:t>
      </w:r>
    </w:p>
    <w:p>
      <w:pPr>
        <w:autoSpaceDE w:val="0"/>
        <w:autoSpaceDN w:val="0"/>
        <w:adjustRightInd w:val="0"/>
        <w:spacing w:before="0" w:after="120"/>
        <w:ind w:firstLine="420"/>
        <w:jc w:val="left"/>
        <w:rPr>
          <w:rFonts w:hint="default" w:eastAsia="Times New Roman"/>
          <w:sz w:val="21"/>
          <w:lang w:val="zh-CN"/>
        </w:rPr>
      </w:pPr>
      <w:r>
        <w:rPr>
          <w:rFonts w:hint="eastAsia" w:ascii="宋体"/>
          <w:sz w:val="21"/>
          <w:lang w:val="zh-CN"/>
        </w:rPr>
        <w:t>（</w:t>
      </w:r>
      <w:r>
        <w:rPr>
          <w:rFonts w:hint="default" w:eastAsia="Times New Roman"/>
          <w:sz w:val="21"/>
          <w:lang w:val="zh-CN"/>
        </w:rPr>
        <w:t>4</w:t>
      </w:r>
      <w:r>
        <w:rPr>
          <w:rFonts w:hint="eastAsia" w:ascii="宋体"/>
          <w:sz w:val="21"/>
          <w:lang w:val="zh-CN"/>
        </w:rPr>
        <w:t>）应付客户对价</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针对应付客户对价的，应当将该应付对价冲减交易价格，并在确认相关收入与支付（或承诺支付）客户对价二者孰晚的时点冲减当期收入，但应付客户对价是为了向客户取得其他可明确区分商品的除外。</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企业应付客户对价是为了向客户取得其他可明确区分商品的，应当采用与本企业其他采购相一致的方式确认所购买的商品。企业应付客户对价超过向客户取得可明确区分商品公允价值的，超过金额冲减交易价格。向客户取得的可明确区分商品公允价值不能合理估计的，企业应当将应付客户对价全额冲减交易价格。</w:t>
      </w:r>
    </w:p>
    <w:p>
      <w:pPr>
        <w:pStyle w:val="8"/>
        <w:outlineLvl w:val="2"/>
        <w:rPr>
          <w:rFonts w:hint="default" w:eastAsia="Times New Roman"/>
          <w:sz w:val="21"/>
        </w:rPr>
      </w:pPr>
      <w:r>
        <w:rPr>
          <w:rFonts w:hint="default"/>
          <w:sz w:val="21"/>
        </w:rPr>
        <w:t>31</w:t>
      </w:r>
      <w:r>
        <w:rPr>
          <w:rFonts w:hint="eastAsia"/>
          <w:sz w:val="21"/>
        </w:rPr>
        <w:t>、合同成本</w:t>
      </w:r>
    </w:p>
    <w:p>
      <w:pPr>
        <w:autoSpaceDE w:val="0"/>
        <w:autoSpaceDN w:val="0"/>
        <w:adjustRightInd w:val="0"/>
        <w:spacing w:before="0" w:after="120"/>
        <w:ind w:firstLine="420"/>
        <w:rPr>
          <w:rFonts w:hint="eastAsia" w:ascii="宋体"/>
          <w:sz w:val="21"/>
          <w:lang w:val="zh-CN"/>
        </w:rPr>
      </w:pPr>
      <w:r>
        <w:rPr>
          <w:rFonts w:hint="eastAsia" w:ascii="宋体"/>
          <w:sz w:val="21"/>
          <w:lang w:val="zh-CN"/>
        </w:rPr>
        <w:t>合同成本分为合同履约成本与合同取得成本。</w:t>
      </w:r>
    </w:p>
    <w:p>
      <w:pPr>
        <w:autoSpaceDE w:val="0"/>
        <w:autoSpaceDN w:val="0"/>
        <w:adjustRightInd w:val="0"/>
        <w:spacing w:before="0" w:after="120"/>
        <w:ind w:firstLine="420"/>
        <w:rPr>
          <w:rFonts w:hint="eastAsia" w:ascii="宋体"/>
          <w:sz w:val="21"/>
          <w:lang w:val="zh-CN"/>
        </w:rPr>
      </w:pPr>
      <w:r>
        <w:rPr>
          <w:rFonts w:hint="eastAsia" w:ascii="宋体"/>
          <w:sz w:val="21"/>
          <w:lang w:val="zh-CN"/>
        </w:rPr>
        <w:t>本公司企业为履行合同发生的成本同时满足下列条件的，作为合同履约成本确认为一项资产：</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1</w:t>
      </w:r>
      <w:r>
        <w:rPr>
          <w:rFonts w:hint="eastAsia" w:ascii="宋体"/>
          <w:sz w:val="21"/>
          <w:lang w:val="zh-CN"/>
        </w:rPr>
        <w:t>、该成本与一份当前或预期取得的合同直接相关，包括直接人工、直接材料、制造费用（或类似费用）、明确由客户承担的成本以及仅因该合同而发生的其他成本；</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2</w:t>
      </w:r>
      <w:r>
        <w:rPr>
          <w:rFonts w:hint="eastAsia" w:ascii="宋体"/>
          <w:sz w:val="21"/>
          <w:lang w:val="zh-CN"/>
        </w:rPr>
        <w:t>、该成本增加了企业未来用于履行履约义务的资源；</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3</w:t>
      </w:r>
      <w:r>
        <w:rPr>
          <w:rFonts w:hint="eastAsia" w:ascii="宋体"/>
          <w:sz w:val="21"/>
          <w:lang w:val="zh-CN"/>
        </w:rPr>
        <w:t>、该成本预期能够收回。</w:t>
      </w:r>
    </w:p>
    <w:p>
      <w:pPr>
        <w:autoSpaceDE w:val="0"/>
        <w:autoSpaceDN w:val="0"/>
        <w:adjustRightInd w:val="0"/>
        <w:spacing w:before="0" w:after="120"/>
        <w:ind w:firstLine="420"/>
        <w:rPr>
          <w:rFonts w:hint="eastAsia" w:ascii="宋体"/>
          <w:sz w:val="21"/>
          <w:lang w:val="zh-CN"/>
        </w:rPr>
      </w:pPr>
      <w:r>
        <w:rPr>
          <w:rFonts w:hint="eastAsia" w:ascii="宋体"/>
          <w:sz w:val="21"/>
          <w:lang w:val="zh-CN"/>
        </w:rPr>
        <w:t>本公司为取得合同发生的增量成本预期能够收回的，作为合同取得成本确认为一项资产；但是，该资产摊销不超过一年的可以在发生时计入当期损益。</w:t>
      </w:r>
    </w:p>
    <w:p>
      <w:pPr>
        <w:autoSpaceDE w:val="0"/>
        <w:autoSpaceDN w:val="0"/>
        <w:adjustRightInd w:val="0"/>
        <w:spacing w:before="0" w:after="120"/>
        <w:ind w:firstLine="420"/>
        <w:rPr>
          <w:rFonts w:hint="eastAsia" w:ascii="宋体"/>
          <w:sz w:val="21"/>
          <w:lang w:val="zh-CN"/>
        </w:rPr>
      </w:pPr>
      <w:r>
        <w:rPr>
          <w:rFonts w:hint="eastAsia" w:ascii="宋体"/>
          <w:sz w:val="21"/>
          <w:lang w:val="zh-CN"/>
        </w:rPr>
        <w:t>与合同成本有关的资产采用与该资产相关的商品或服务收入确认相同的基础进行摊销。</w:t>
      </w:r>
    </w:p>
    <w:p>
      <w:pPr>
        <w:autoSpaceDE w:val="0"/>
        <w:autoSpaceDN w:val="0"/>
        <w:adjustRightInd w:val="0"/>
        <w:spacing w:before="0" w:after="120"/>
        <w:ind w:firstLine="420"/>
        <w:rPr>
          <w:rFonts w:hint="eastAsia" w:ascii="宋体"/>
          <w:sz w:val="21"/>
          <w:lang w:val="zh-CN"/>
        </w:rPr>
      </w:pPr>
      <w:r>
        <w:rPr>
          <w:rFonts w:hint="eastAsia" w:ascii="宋体"/>
          <w:sz w:val="21"/>
          <w:lang w:val="zh-CN"/>
        </w:rPr>
        <w:t>与合同成本有关的资产，其账面价值高于下列两项的差额的，本公司将对于超出部分计提减值准备，并确认为资产减值损失：</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1</w:t>
      </w:r>
      <w:r>
        <w:rPr>
          <w:rFonts w:hint="eastAsia" w:ascii="宋体"/>
          <w:sz w:val="21"/>
          <w:lang w:val="zh-CN"/>
        </w:rPr>
        <w:t>、因转让与该资产相关的商品或服务预期能够取得的剩余对价；</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2</w:t>
      </w:r>
      <w:r>
        <w:rPr>
          <w:rFonts w:hint="eastAsia" w:ascii="宋体"/>
          <w:sz w:val="21"/>
          <w:lang w:val="zh-CN"/>
        </w:rPr>
        <w:t>、为转让该相关商品或服务估计将要发生的成本。</w:t>
      </w:r>
    </w:p>
    <w:p>
      <w:pPr>
        <w:autoSpaceDE w:val="0"/>
        <w:autoSpaceDN w:val="0"/>
        <w:adjustRightInd w:val="0"/>
        <w:spacing w:before="0" w:after="120"/>
        <w:ind w:firstLine="420"/>
        <w:rPr>
          <w:rFonts w:hint="eastAsia" w:ascii="宋体"/>
          <w:sz w:val="21"/>
          <w:lang w:val="zh-CN"/>
        </w:rPr>
      </w:pPr>
      <w:r>
        <w:rPr>
          <w:rFonts w:hint="eastAsia" w:ascii="宋体"/>
          <w:sz w:val="21"/>
          <w:lang w:val="zh-CN"/>
        </w:rPr>
        <w:t>上述资产减值准备后续发生转回的，转回后的资产账面价值不超过假定不计提减值准备情况下该资产在转回日的账面价值。</w:t>
      </w:r>
    </w:p>
    <w:p>
      <w:pPr>
        <w:pStyle w:val="8"/>
        <w:outlineLvl w:val="2"/>
        <w:rPr>
          <w:rFonts w:hint="default" w:eastAsia="Times New Roman"/>
          <w:sz w:val="21"/>
        </w:rPr>
      </w:pPr>
      <w:r>
        <w:rPr>
          <w:rFonts w:hint="default"/>
          <w:sz w:val="21"/>
        </w:rPr>
        <w:t>32</w:t>
      </w:r>
      <w:r>
        <w:rPr>
          <w:rFonts w:hint="eastAsia"/>
          <w:sz w:val="21"/>
        </w:rPr>
        <w:t>、政府补助</w:t>
      </w:r>
    </w:p>
    <w:p>
      <w:pPr>
        <w:autoSpaceDE w:val="0"/>
        <w:autoSpaceDN w:val="0"/>
        <w:adjustRightInd w:val="0"/>
        <w:spacing w:before="0" w:after="120"/>
        <w:ind w:firstLine="420"/>
        <w:jc w:val="left"/>
        <w:rPr>
          <w:rFonts w:hint="default" w:eastAsia="Times New Roman"/>
          <w:sz w:val="21"/>
          <w:lang w:val="zh-CN"/>
        </w:rPr>
      </w:pPr>
      <w:r>
        <w:rPr>
          <w:rFonts w:hint="default" w:eastAsia="Times New Roman"/>
          <w:sz w:val="21"/>
          <w:lang w:val="zh-CN"/>
        </w:rPr>
        <w:t>1</w:t>
      </w:r>
      <w:r>
        <w:rPr>
          <w:rFonts w:hint="eastAsia" w:ascii="宋体"/>
          <w:sz w:val="21"/>
          <w:lang w:val="zh-CN"/>
        </w:rPr>
        <w:t>、政府补助包括与资产相关的政府补助和与收益相关的政府补助。</w:t>
      </w:r>
    </w:p>
    <w:p>
      <w:pPr>
        <w:autoSpaceDE w:val="0"/>
        <w:autoSpaceDN w:val="0"/>
        <w:adjustRightInd w:val="0"/>
        <w:spacing w:before="0" w:after="120"/>
        <w:ind w:firstLine="420"/>
        <w:jc w:val="left"/>
        <w:rPr>
          <w:rFonts w:hint="default" w:eastAsia="Times New Roman"/>
          <w:sz w:val="21"/>
          <w:lang w:val="zh-CN"/>
        </w:rPr>
      </w:pPr>
      <w:r>
        <w:rPr>
          <w:rFonts w:hint="default" w:eastAsia="Times New Roman"/>
          <w:sz w:val="21"/>
          <w:lang w:val="zh-CN"/>
        </w:rPr>
        <w:t>2</w:t>
      </w:r>
      <w:r>
        <w:rPr>
          <w:rFonts w:hint="eastAsia" w:ascii="宋体"/>
          <w:sz w:val="21"/>
          <w:lang w:val="zh-CN"/>
        </w:rPr>
        <w:t>、政府补助为货币性资产的，按照收到或应收的金额计量；政府补助为非货币性资产的，按照公允价值计量，公允价值不能可靠取得的，按照名义金额计量。</w:t>
      </w:r>
    </w:p>
    <w:p>
      <w:pPr>
        <w:autoSpaceDE w:val="0"/>
        <w:autoSpaceDN w:val="0"/>
        <w:adjustRightInd w:val="0"/>
        <w:spacing w:before="0" w:after="120"/>
        <w:ind w:firstLine="420"/>
        <w:jc w:val="left"/>
        <w:rPr>
          <w:rFonts w:hint="default" w:eastAsia="Times New Roman"/>
          <w:sz w:val="21"/>
          <w:lang w:val="zh-CN"/>
        </w:rPr>
      </w:pPr>
      <w:r>
        <w:rPr>
          <w:rFonts w:hint="default" w:eastAsia="Times New Roman"/>
          <w:sz w:val="21"/>
          <w:lang w:val="zh-CN"/>
        </w:rPr>
        <w:t>3</w:t>
      </w:r>
      <w:r>
        <w:rPr>
          <w:rFonts w:hint="eastAsia" w:ascii="宋体"/>
          <w:sz w:val="21"/>
          <w:lang w:val="zh-CN"/>
        </w:rPr>
        <w:t>、政府补助采用总额法</w:t>
      </w:r>
    </w:p>
    <w:p>
      <w:pPr>
        <w:autoSpaceDE w:val="0"/>
        <w:autoSpaceDN w:val="0"/>
        <w:adjustRightInd w:val="0"/>
        <w:spacing w:before="0" w:after="120"/>
        <w:ind w:firstLine="420"/>
        <w:jc w:val="left"/>
        <w:rPr>
          <w:rFonts w:hint="default" w:eastAsia="Times New Roman"/>
          <w:sz w:val="21"/>
          <w:lang w:val="zh-CN"/>
        </w:rPr>
      </w:pPr>
      <w:r>
        <w:rPr>
          <w:rFonts w:hint="eastAsia" w:ascii="宋体"/>
          <w:sz w:val="21"/>
          <w:lang w:val="zh-CN"/>
        </w:rPr>
        <w:t>（</w:t>
      </w:r>
      <w:r>
        <w:rPr>
          <w:rFonts w:hint="default" w:eastAsia="Times New Roman"/>
          <w:sz w:val="21"/>
          <w:lang w:val="zh-CN"/>
        </w:rPr>
        <w:t>1</w:t>
      </w:r>
      <w:r>
        <w:rPr>
          <w:rFonts w:hint="eastAsia" w:ascii="宋体"/>
          <w:sz w:val="21"/>
          <w:lang w:val="zh-CN"/>
        </w:rPr>
        <w:t>）与资产相关的政府补助，确认为递延收益，在相关资产使用寿命内按照合理、系统的方法分期计入损益。相关资产在使用寿命结束前被出售、转让、报废或发生毁损的，将尚未分配的相关递延收益余额转入资产处置当期的损益。</w:t>
      </w:r>
    </w:p>
    <w:p>
      <w:pPr>
        <w:autoSpaceDE w:val="0"/>
        <w:autoSpaceDN w:val="0"/>
        <w:adjustRightInd w:val="0"/>
        <w:spacing w:before="0" w:after="120"/>
        <w:ind w:firstLine="420"/>
        <w:jc w:val="left"/>
        <w:rPr>
          <w:rFonts w:hint="default" w:eastAsia="Times New Roman"/>
          <w:sz w:val="21"/>
          <w:lang w:val="zh-CN"/>
        </w:rPr>
      </w:pPr>
      <w:r>
        <w:rPr>
          <w:rFonts w:hint="eastAsia" w:ascii="宋体"/>
          <w:sz w:val="21"/>
          <w:lang w:val="zh-CN"/>
        </w:rPr>
        <w:t>（</w:t>
      </w:r>
      <w:r>
        <w:rPr>
          <w:rFonts w:hint="default" w:eastAsia="Times New Roman"/>
          <w:sz w:val="21"/>
          <w:lang w:val="zh-CN"/>
        </w:rPr>
        <w:t>2</w:t>
      </w:r>
      <w:r>
        <w:rPr>
          <w:rFonts w:hint="eastAsia" w:ascii="宋体"/>
          <w:sz w:val="21"/>
          <w:lang w:val="zh-CN"/>
        </w:rPr>
        <w:t>）与收益相关的政府补助，用于补偿以后期间的相关费用或损失的，确认为递延收益，在确认相关费用的期间，计入当期损益；用于补偿已发生的相关费用或损失的，直接计入当期损益。</w:t>
      </w:r>
    </w:p>
    <w:p>
      <w:pPr>
        <w:autoSpaceDE w:val="0"/>
        <w:autoSpaceDN w:val="0"/>
        <w:adjustRightInd w:val="0"/>
        <w:spacing w:before="0" w:after="120"/>
        <w:ind w:firstLine="420"/>
        <w:jc w:val="left"/>
        <w:rPr>
          <w:rFonts w:hint="default" w:eastAsia="Times New Roman"/>
          <w:sz w:val="21"/>
          <w:lang w:val="zh-CN"/>
        </w:rPr>
      </w:pPr>
      <w:r>
        <w:rPr>
          <w:rFonts w:hint="default" w:eastAsia="Times New Roman"/>
          <w:sz w:val="21"/>
          <w:lang w:val="zh-CN"/>
        </w:rPr>
        <w:t>4</w:t>
      </w:r>
      <w:r>
        <w:rPr>
          <w:rFonts w:hint="eastAsia" w:ascii="宋体"/>
          <w:sz w:val="21"/>
          <w:lang w:val="zh-CN"/>
        </w:rPr>
        <w:t>、对于同时包含与资产相关部分和与收益相关部分的政府补助，区分不同部分分别进行会计处理；难以区分的，整体归类为与收益相关的政府补助。</w:t>
      </w:r>
    </w:p>
    <w:p>
      <w:pPr>
        <w:autoSpaceDE w:val="0"/>
        <w:autoSpaceDN w:val="0"/>
        <w:adjustRightInd w:val="0"/>
        <w:spacing w:before="0" w:after="120"/>
        <w:ind w:firstLine="420"/>
        <w:jc w:val="left"/>
        <w:rPr>
          <w:rFonts w:hint="default" w:eastAsia="Times New Roman"/>
          <w:sz w:val="21"/>
          <w:lang w:val="zh-CN"/>
        </w:rPr>
      </w:pPr>
      <w:r>
        <w:rPr>
          <w:rFonts w:hint="default" w:eastAsia="Times New Roman"/>
          <w:sz w:val="21"/>
          <w:lang w:val="zh-CN"/>
        </w:rPr>
        <w:t>5</w:t>
      </w:r>
      <w:r>
        <w:rPr>
          <w:rFonts w:hint="eastAsia" w:ascii="宋体"/>
          <w:sz w:val="21"/>
          <w:lang w:val="zh-CN"/>
        </w:rPr>
        <w:t>、本公司将与本公司日常活动相关的政府补助按照经济业务实质计入其他收益；将与本公司日常活动无关的政府补助，计入营业外收支。</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6</w:t>
      </w:r>
      <w:r>
        <w:rPr>
          <w:rFonts w:hint="eastAsia" w:ascii="宋体"/>
          <w:sz w:val="21"/>
          <w:lang w:val="zh-CN"/>
        </w:rPr>
        <w:t>、本公司将取得的政策性优惠贷款贴息按照财政将贴息资金拨付给贷款银行和财政将贴息资金直接拨付给本公司两种情况处理：</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w:t>
      </w:r>
      <w:r>
        <w:rPr>
          <w:rFonts w:hint="default" w:eastAsia="Times New Roman"/>
          <w:sz w:val="21"/>
          <w:lang w:val="zh-CN"/>
        </w:rPr>
        <w:t>1</w:t>
      </w:r>
      <w:r>
        <w:rPr>
          <w:rFonts w:hint="eastAsia" w:ascii="宋体"/>
          <w:sz w:val="21"/>
          <w:lang w:val="zh-CN"/>
        </w:rPr>
        <w:t>）财政将贴息资金拨付给贷款银行，由贷款银行以政策性优惠利率向本公司提供贷款的，本公司以实际收到的借款金额作为借款的入账价值，按照借款本金和该政策性优惠利率计算相关借款费用。</w:t>
      </w:r>
    </w:p>
    <w:p>
      <w:pPr>
        <w:autoSpaceDE w:val="0"/>
        <w:autoSpaceDN w:val="0"/>
        <w:adjustRightInd w:val="0"/>
        <w:spacing w:before="0" w:after="0"/>
        <w:ind w:firstLine="420" w:firstLineChars="200"/>
        <w:rPr>
          <w:rFonts w:hint="default" w:eastAsia="Times New Roman"/>
          <w:sz w:val="21"/>
          <w:lang w:val="zh-CN"/>
        </w:rPr>
      </w:pPr>
      <w:r>
        <w:rPr>
          <w:rFonts w:hint="eastAsia" w:ascii="宋体"/>
          <w:sz w:val="21"/>
          <w:lang w:val="zh-CN"/>
        </w:rPr>
        <w:t>（</w:t>
      </w:r>
      <w:r>
        <w:rPr>
          <w:rFonts w:hint="default" w:eastAsia="Times New Roman"/>
          <w:sz w:val="21"/>
          <w:lang w:val="zh-CN"/>
        </w:rPr>
        <w:t>2</w:t>
      </w:r>
      <w:r>
        <w:rPr>
          <w:rFonts w:hint="eastAsia" w:ascii="宋体"/>
          <w:sz w:val="21"/>
          <w:lang w:val="zh-CN"/>
        </w:rPr>
        <w:t>）财政将贴息资金直接拨付给本公司的，本公司将对应的贴息冲减相关借款费用。</w:t>
      </w:r>
    </w:p>
    <w:p>
      <w:pPr>
        <w:pStyle w:val="8"/>
        <w:outlineLvl w:val="2"/>
        <w:rPr>
          <w:rFonts w:hint="default" w:eastAsia="Times New Roman"/>
          <w:sz w:val="21"/>
        </w:rPr>
      </w:pPr>
      <w:r>
        <w:rPr>
          <w:rFonts w:hint="default"/>
          <w:sz w:val="21"/>
        </w:rPr>
        <w:t>33</w:t>
      </w:r>
      <w:r>
        <w:rPr>
          <w:rFonts w:hint="eastAsia"/>
          <w:sz w:val="21"/>
        </w:rPr>
        <w:t>、递延所得税资产</w:t>
      </w:r>
      <w:r>
        <w:rPr>
          <w:rFonts w:hint="default"/>
          <w:sz w:val="21"/>
        </w:rPr>
        <w:t>/</w:t>
      </w:r>
      <w:r>
        <w:rPr>
          <w:rFonts w:hint="eastAsia"/>
          <w:sz w:val="21"/>
        </w:rPr>
        <w:t>递延所得税负债</w:t>
      </w:r>
    </w:p>
    <w:p>
      <w:pPr>
        <w:autoSpaceDE w:val="0"/>
        <w:autoSpaceDN w:val="0"/>
        <w:adjustRightInd w:val="0"/>
        <w:spacing w:before="0" w:after="120"/>
        <w:ind w:firstLine="420"/>
        <w:jc w:val="left"/>
        <w:rPr>
          <w:rFonts w:hint="default" w:eastAsia="Times New Roman"/>
          <w:sz w:val="21"/>
          <w:lang w:val="zh-CN"/>
        </w:rPr>
      </w:pPr>
      <w:r>
        <w:rPr>
          <w:rFonts w:hint="default" w:eastAsia="Times New Roman"/>
          <w:sz w:val="21"/>
          <w:lang w:val="zh-CN"/>
        </w:rPr>
        <w:t>1</w:t>
      </w:r>
      <w:r>
        <w:rPr>
          <w:rFonts w:hint="eastAsia" w:ascii="宋体"/>
          <w:sz w:val="21"/>
          <w:lang w:val="zh-CN"/>
        </w:rPr>
        <w:t>、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p>
    <w:p>
      <w:pPr>
        <w:autoSpaceDE w:val="0"/>
        <w:autoSpaceDN w:val="0"/>
        <w:adjustRightInd w:val="0"/>
        <w:spacing w:before="0" w:after="120"/>
        <w:ind w:firstLine="420"/>
        <w:jc w:val="left"/>
        <w:rPr>
          <w:rFonts w:hint="default" w:eastAsia="Times New Roman"/>
          <w:sz w:val="21"/>
          <w:lang w:val="zh-CN"/>
        </w:rPr>
      </w:pPr>
      <w:r>
        <w:rPr>
          <w:rFonts w:hint="default" w:eastAsia="Times New Roman"/>
          <w:sz w:val="21"/>
          <w:lang w:val="zh-CN"/>
        </w:rPr>
        <w:t>2</w:t>
      </w:r>
      <w:r>
        <w:rPr>
          <w:rFonts w:hint="eastAsia" w:ascii="宋体"/>
          <w:sz w:val="21"/>
          <w:lang w:val="zh-CN"/>
        </w:rPr>
        <w:t>、确认递延所得税资产以很可能取得用来抵扣可抵扣暂时性差异的应纳税所得额为限。资产负债表日，有确凿证据表明未来期间很可能获得足够的应纳税所得额用来抵扣可抵扣暂时性差异的，确认以前会计期间未确认的递延所得税资产。</w:t>
      </w:r>
    </w:p>
    <w:p>
      <w:pPr>
        <w:autoSpaceDE w:val="0"/>
        <w:autoSpaceDN w:val="0"/>
        <w:adjustRightInd w:val="0"/>
        <w:spacing w:before="0" w:after="120"/>
        <w:ind w:firstLine="420"/>
        <w:jc w:val="left"/>
        <w:rPr>
          <w:rFonts w:hint="default" w:eastAsia="Times New Roman"/>
          <w:sz w:val="21"/>
          <w:lang w:val="zh-CN"/>
        </w:rPr>
      </w:pPr>
      <w:r>
        <w:rPr>
          <w:rFonts w:hint="default" w:eastAsia="Times New Roman"/>
          <w:sz w:val="21"/>
          <w:lang w:val="zh-CN"/>
        </w:rPr>
        <w:t>3</w:t>
      </w:r>
      <w:r>
        <w:rPr>
          <w:rFonts w:hint="eastAsia" w:ascii="宋体"/>
          <w:sz w:val="21"/>
          <w:lang w:val="zh-CN"/>
        </w:rPr>
        <w:t>、资产负债表日，对递延所得税资产的账面价值进行复核，如果未来期间很可能无法获得足够的应纳税所得额用以抵扣递延所得税资产的利益，则减记递延所得税资产的账面价值。在很可能获得足够的应纳税所得额时，转回减记的金额。</w:t>
      </w:r>
    </w:p>
    <w:p>
      <w:pPr>
        <w:autoSpaceDE w:val="0"/>
        <w:autoSpaceDN w:val="0"/>
        <w:adjustRightInd w:val="0"/>
        <w:spacing w:before="0" w:after="120"/>
        <w:ind w:firstLine="420"/>
        <w:jc w:val="left"/>
        <w:rPr>
          <w:rFonts w:hint="default" w:eastAsia="Times New Roman"/>
          <w:sz w:val="21"/>
          <w:lang w:val="zh-CN"/>
        </w:rPr>
      </w:pPr>
      <w:r>
        <w:rPr>
          <w:rFonts w:hint="default" w:eastAsia="Times New Roman"/>
          <w:sz w:val="21"/>
          <w:lang w:val="zh-CN"/>
        </w:rPr>
        <w:t>4</w:t>
      </w:r>
      <w:r>
        <w:rPr>
          <w:rFonts w:hint="eastAsia" w:ascii="宋体"/>
          <w:sz w:val="21"/>
          <w:lang w:val="zh-CN"/>
        </w:rPr>
        <w:t>、本公司当期所得税和递延所得税作为所得税费用或收益计入当期损益，但不包括下列情况产生的所得税：（</w:t>
      </w:r>
      <w:r>
        <w:rPr>
          <w:rFonts w:hint="default" w:eastAsia="Times New Roman"/>
          <w:sz w:val="21"/>
          <w:lang w:val="zh-CN"/>
        </w:rPr>
        <w:t>1</w:t>
      </w:r>
      <w:r>
        <w:rPr>
          <w:rFonts w:hint="eastAsia" w:ascii="宋体"/>
          <w:sz w:val="21"/>
          <w:lang w:val="zh-CN"/>
        </w:rPr>
        <w:t>）企业合并；（</w:t>
      </w:r>
      <w:r>
        <w:rPr>
          <w:rFonts w:hint="default" w:eastAsia="Times New Roman"/>
          <w:sz w:val="21"/>
          <w:lang w:val="zh-CN"/>
        </w:rPr>
        <w:t>2</w:t>
      </w:r>
      <w:r>
        <w:rPr>
          <w:rFonts w:hint="eastAsia" w:ascii="宋体"/>
          <w:sz w:val="21"/>
          <w:lang w:val="zh-CN"/>
        </w:rPr>
        <w:t>）直接在所有者权益中确认的交易或者事项。</w:t>
      </w:r>
    </w:p>
    <w:p>
      <w:pPr>
        <w:pStyle w:val="8"/>
        <w:outlineLvl w:val="2"/>
        <w:rPr>
          <w:rFonts w:hint="default" w:eastAsia="Times New Roman"/>
          <w:sz w:val="21"/>
        </w:rPr>
      </w:pPr>
      <w:r>
        <w:rPr>
          <w:rFonts w:hint="default"/>
          <w:sz w:val="21"/>
        </w:rPr>
        <w:t>34</w:t>
      </w:r>
      <w:r>
        <w:rPr>
          <w:rFonts w:hint="eastAsia"/>
          <w:sz w:val="21"/>
        </w:rPr>
        <w:t>、租赁</w:t>
      </w:r>
    </w:p>
    <w:p>
      <w:pPr>
        <w:pStyle w:val="8"/>
        <w:ind w:firstLine="420" w:firstLineChars="200"/>
        <w:outlineLvl w:val="3"/>
        <w:rPr>
          <w:rFonts w:hint="default" w:eastAsia="Times New Roman"/>
          <w:color w:val="auto"/>
          <w:sz w:val="21"/>
        </w:rPr>
      </w:pPr>
      <w:r>
        <w:rPr>
          <w:rFonts w:hint="eastAsia"/>
          <w:color w:val="auto"/>
          <w:sz w:val="21"/>
        </w:rPr>
        <w:t>新租赁准则下租赁业务的会计处理方法</w:t>
      </w:r>
    </w:p>
    <w:p>
      <w:pPr>
        <w:autoSpaceDE w:val="0"/>
        <w:autoSpaceDN w:val="0"/>
        <w:adjustRightInd w:val="0"/>
        <w:spacing w:before="0" w:after="120"/>
        <w:ind w:firstLine="420"/>
        <w:rPr>
          <w:rFonts w:hint="default" w:eastAsia="Times New Roman"/>
          <w:sz w:val="21"/>
          <w:lang w:val="zh-CN"/>
        </w:rPr>
      </w:pPr>
      <w:r>
        <w:rPr>
          <w:rFonts w:hint="default"/>
          <w:sz w:val="21"/>
          <w:lang w:val="zh-CN"/>
        </w:rPr>
        <w:t>1.</w:t>
      </w:r>
      <w:r>
        <w:rPr>
          <w:rFonts w:hint="eastAsia" w:ascii="宋体"/>
          <w:sz w:val="21"/>
          <w:lang w:val="zh-CN"/>
        </w:rPr>
        <w:t>承租人</w:t>
      </w:r>
    </w:p>
    <w:p>
      <w:pPr>
        <w:autoSpaceDE w:val="0"/>
        <w:autoSpaceDN w:val="0"/>
        <w:adjustRightInd w:val="0"/>
        <w:spacing w:before="0" w:after="120"/>
        <w:ind w:firstLine="420"/>
        <w:rPr>
          <w:rFonts w:hint="eastAsia" w:ascii="宋体"/>
          <w:sz w:val="21"/>
          <w:lang w:val="zh-CN"/>
        </w:rPr>
      </w:pPr>
      <w:r>
        <w:rPr>
          <w:rFonts w:hint="eastAsia" w:ascii="宋体"/>
          <w:sz w:val="21"/>
          <w:lang w:val="zh-CN"/>
        </w:rPr>
        <w:t>本公司为承租人时，在租赁期开始日，除选择采用简化处理的短期租赁和低价值资产租赁外，对租赁确认使用权资产和租赁负债。</w:t>
      </w:r>
    </w:p>
    <w:p>
      <w:pPr>
        <w:autoSpaceDE w:val="0"/>
        <w:autoSpaceDN w:val="0"/>
        <w:adjustRightInd w:val="0"/>
        <w:spacing w:before="0" w:after="120"/>
        <w:ind w:firstLine="420"/>
        <w:jc w:val="left"/>
        <w:rPr>
          <w:rFonts w:hint="default" w:eastAsia="Times New Roman"/>
          <w:sz w:val="21"/>
          <w:lang w:val="zh-CN"/>
        </w:rPr>
      </w:pPr>
      <w:r>
        <w:rPr>
          <w:rFonts w:hint="eastAsia" w:ascii="宋体"/>
          <w:sz w:val="21"/>
          <w:lang w:val="zh-CN"/>
        </w:rPr>
        <w:t>在租赁期开始日后，本公司采用成本模式对使用权资产进行后续计量。参照《企业会计准则第</w:t>
      </w:r>
      <w:r>
        <w:rPr>
          <w:rFonts w:hint="default"/>
          <w:sz w:val="21"/>
          <w:lang w:val="zh-CN"/>
        </w:rPr>
        <w:t>4</w:t>
      </w:r>
      <w:r>
        <w:rPr>
          <w:rFonts w:hint="eastAsia" w:ascii="宋体"/>
          <w:sz w:val="21"/>
          <w:lang w:val="zh-CN"/>
        </w:rPr>
        <w:t>号</w:t>
      </w:r>
      <w:r>
        <w:rPr>
          <w:rFonts w:hint="default"/>
          <w:sz w:val="21"/>
          <w:lang w:val="zh-CN"/>
        </w:rPr>
        <w:t>——</w:t>
      </w:r>
      <w:r>
        <w:rPr>
          <w:rFonts w:hint="eastAsia" w:ascii="宋体"/>
          <w:sz w:val="21"/>
          <w:lang w:val="zh-CN"/>
        </w:rPr>
        <w:t>固定资产》有关折旧规定，对使用权资产计提折旧。承租人能够合理确定租赁期届满时取得租赁资产所有权的，应当在租赁资产剩余使用寿命内计提折旧。无法合理确定租赁期届满时能够取得租赁资产所有权的，应当在租赁期与租赁资产剩余使用寿命两者孰短的期间内计提折旧。本公司按照《企业会计准则第</w:t>
      </w:r>
      <w:r>
        <w:rPr>
          <w:rFonts w:hint="default"/>
          <w:sz w:val="21"/>
          <w:lang w:val="zh-CN"/>
        </w:rPr>
        <w:t>8</w:t>
      </w:r>
      <w:r>
        <w:rPr>
          <w:rFonts w:hint="eastAsia" w:ascii="宋体"/>
          <w:sz w:val="21"/>
          <w:lang w:val="zh-CN"/>
        </w:rPr>
        <w:t>号</w:t>
      </w:r>
      <w:r>
        <w:rPr>
          <w:rFonts w:hint="default"/>
          <w:sz w:val="21"/>
          <w:lang w:val="zh-CN"/>
        </w:rPr>
        <w:t>——</w:t>
      </w:r>
      <w:r>
        <w:rPr>
          <w:rFonts w:hint="eastAsia" w:ascii="宋体"/>
          <w:sz w:val="21"/>
          <w:lang w:val="zh-CN"/>
        </w:rPr>
        <w:t>资产减值》的规定，确定使用权资产是否发生减值，并对已识别的减值损失进行会计处理。</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本公司按照固定的周期性利率计算租赁负债在租赁期内各期间的利息费用，并计入当期损益。按照《企业会计准则第</w:t>
      </w:r>
      <w:r>
        <w:rPr>
          <w:rFonts w:hint="default"/>
          <w:sz w:val="21"/>
          <w:lang w:val="zh-CN"/>
        </w:rPr>
        <w:t>17</w:t>
      </w:r>
      <w:r>
        <w:rPr>
          <w:rFonts w:hint="eastAsia" w:ascii="宋体"/>
          <w:sz w:val="21"/>
          <w:lang w:val="zh-CN"/>
        </w:rPr>
        <w:t>号</w:t>
      </w:r>
      <w:r>
        <w:rPr>
          <w:rFonts w:hint="default"/>
          <w:sz w:val="21"/>
          <w:lang w:val="zh-CN"/>
        </w:rPr>
        <w:t>——</w:t>
      </w:r>
      <w:r>
        <w:rPr>
          <w:rFonts w:hint="eastAsia" w:ascii="宋体"/>
          <w:sz w:val="21"/>
          <w:lang w:val="zh-CN"/>
        </w:rPr>
        <w:t>借款费用》等其他准则规定应当计入相关资产成本的，从其规定。</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本公司对于短期租赁和低价值资产租赁，选择不确认使用权资产和租赁负债，将短期租赁和低价值资产租赁的租赁付款额，在租赁期内各个期间按照直线法计入相关资产成本或当期损益。</w:t>
      </w:r>
    </w:p>
    <w:p>
      <w:pPr>
        <w:autoSpaceDE w:val="0"/>
        <w:autoSpaceDN w:val="0"/>
        <w:adjustRightInd w:val="0"/>
        <w:spacing w:before="0" w:after="120"/>
        <w:ind w:firstLine="420"/>
        <w:jc w:val="left"/>
        <w:rPr>
          <w:rFonts w:hint="default" w:eastAsia="Times New Roman"/>
          <w:sz w:val="21"/>
          <w:lang w:val="zh-CN"/>
        </w:rPr>
      </w:pPr>
      <w:r>
        <w:rPr>
          <w:rFonts w:hint="default"/>
          <w:sz w:val="21"/>
          <w:lang w:val="zh-CN"/>
        </w:rPr>
        <w:t>2.</w:t>
      </w:r>
      <w:r>
        <w:rPr>
          <w:rFonts w:hint="eastAsia" w:ascii="宋体"/>
          <w:sz w:val="21"/>
          <w:lang w:val="zh-CN"/>
        </w:rPr>
        <w:t>出租人</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（1）经营租赁</w:t>
      </w:r>
    </w:p>
    <w:p>
      <w:pPr>
        <w:autoSpaceDE w:val="0"/>
        <w:autoSpaceDN w:val="0"/>
        <w:adjustRightInd w:val="0"/>
        <w:spacing w:before="0" w:after="120"/>
        <w:ind w:firstLine="420"/>
        <w:jc w:val="left"/>
        <w:rPr>
          <w:rFonts w:hint="eastAsia" w:ascii="宋体"/>
          <w:sz w:val="21"/>
          <w:lang w:val="zh-CN"/>
        </w:rPr>
      </w:pPr>
      <w:r>
        <w:rPr>
          <w:rFonts w:hint="eastAsia" w:ascii="宋体"/>
          <w:sz w:val="21"/>
          <w:lang w:val="zh-CN"/>
        </w:rPr>
        <w:t>本公司作为出租人的，在租赁期内各个期间，采用直线法，将经营租赁的租赁收款额确认为租金收入。将发生的与经营租赁有关的初始直接费用进行资本化，在租赁期内按照与租金收入确认相同的基础进行分摊，分期计入当期损益。</w:t>
      </w:r>
    </w:p>
    <w:p>
      <w:pPr>
        <w:autoSpaceDE w:val="0"/>
        <w:autoSpaceDN w:val="0"/>
        <w:adjustRightInd w:val="0"/>
        <w:spacing w:before="0" w:after="120"/>
        <w:ind w:firstLine="420"/>
        <w:jc w:val="left"/>
        <w:rPr>
          <w:rFonts w:hint="default" w:eastAsia="Times New Roman"/>
          <w:sz w:val="21"/>
          <w:lang w:val="zh-CN"/>
        </w:rPr>
      </w:pPr>
      <w:r>
        <w:rPr>
          <w:rFonts w:hint="eastAsia" w:ascii="宋体"/>
          <w:sz w:val="21"/>
          <w:lang w:val="zh-CN"/>
        </w:rPr>
        <w:t>对于经营租赁资产中的固定资产，本公司应当采用类似资产的折旧政策计提折旧；对于其他经营租赁资产，应当根据该资产适用的企业会计准则，采用系统合理的方法进行摊销。本公司按照《企业会计准则第</w:t>
      </w:r>
      <w:r>
        <w:rPr>
          <w:rFonts w:hint="default"/>
          <w:sz w:val="21"/>
          <w:lang w:val="zh-CN"/>
        </w:rPr>
        <w:t>8</w:t>
      </w:r>
      <w:r>
        <w:rPr>
          <w:rFonts w:hint="eastAsia" w:ascii="宋体"/>
          <w:sz w:val="21"/>
          <w:lang w:val="zh-CN"/>
        </w:rPr>
        <w:t>号</w:t>
      </w:r>
      <w:r>
        <w:rPr>
          <w:rFonts w:hint="default"/>
          <w:sz w:val="21"/>
          <w:lang w:val="zh-CN"/>
        </w:rPr>
        <w:t>——</w:t>
      </w:r>
      <w:r>
        <w:rPr>
          <w:rFonts w:hint="eastAsia" w:ascii="宋体"/>
          <w:sz w:val="21"/>
          <w:lang w:val="zh-CN"/>
        </w:rPr>
        <w:t>资产减值》的规定，确定经营租赁资产是否发生减值，并进行相应会计处理。</w:t>
      </w:r>
    </w:p>
    <w:p>
      <w:pPr>
        <w:autoSpaceDE w:val="0"/>
        <w:autoSpaceDN w:val="0"/>
        <w:adjustRightInd w:val="0"/>
        <w:spacing w:before="0" w:after="120"/>
        <w:ind w:firstLine="420"/>
        <w:rPr>
          <w:rFonts w:hint="default" w:eastAsia="Times New Roman"/>
          <w:sz w:val="21"/>
          <w:lang w:val="zh-CN"/>
        </w:rPr>
      </w:pPr>
      <w:r>
        <w:rPr>
          <w:rFonts w:hint="eastAsia" w:ascii="宋体"/>
          <w:sz w:val="21"/>
          <w:lang w:val="zh-CN"/>
        </w:rPr>
        <w:t>（2）融资租赁</w:t>
      </w:r>
    </w:p>
    <w:p>
      <w:pPr>
        <w:autoSpaceDE w:val="0"/>
        <w:autoSpaceDN w:val="0"/>
        <w:adjustRightInd w:val="0"/>
        <w:spacing w:before="0" w:after="120"/>
        <w:ind w:firstLine="420"/>
        <w:rPr>
          <w:rFonts w:hint="eastAsia" w:ascii="宋体"/>
          <w:sz w:val="21"/>
          <w:lang w:val="zh-CN"/>
        </w:rPr>
      </w:pPr>
      <w:r>
        <w:rPr>
          <w:rFonts w:hint="eastAsia" w:ascii="宋体"/>
          <w:sz w:val="21"/>
          <w:lang w:val="zh-CN"/>
        </w:rPr>
        <w:t>本公司作为出租人的，在租赁期开始日，对融资租赁确认应收融资租赁款，并终止确认融资租赁资产，并按照固定的周期性利率计算并确认租赁期内各个期间的利息收入。</w:t>
      </w:r>
    </w:p>
    <w:p>
      <w:pPr>
        <w:pStyle w:val="8"/>
        <w:outlineLvl w:val="2"/>
        <w:rPr>
          <w:rFonts w:hint="default" w:eastAsia="Times New Roman"/>
          <w:sz w:val="21"/>
        </w:rPr>
      </w:pPr>
      <w:r>
        <w:rPr>
          <w:rFonts w:hint="default"/>
          <w:sz w:val="21"/>
        </w:rPr>
        <w:t>35</w:t>
      </w:r>
      <w:r>
        <w:rPr>
          <w:rFonts w:hint="eastAsia"/>
          <w:sz w:val="21"/>
        </w:rPr>
        <w:t>、重要会计政策和会计估计变更</w:t>
      </w:r>
    </w:p>
    <w:p>
      <w:pPr>
        <w:pStyle w:val="8"/>
        <w:outlineLvl w:val="3"/>
        <w:rPr>
          <w:rFonts w:hint="default" w:eastAsia="Times New Roman"/>
          <w:sz w:val="21"/>
        </w:rPr>
      </w:pPr>
      <w:r>
        <w:rPr>
          <w:rFonts w:hint="eastAsia"/>
          <w:sz w:val="21"/>
        </w:rPr>
        <w:t>（</w:t>
      </w:r>
      <w:r>
        <w:rPr>
          <w:rFonts w:hint="default"/>
          <w:sz w:val="21"/>
        </w:rPr>
        <w:t>1</w:t>
      </w:r>
      <w:r>
        <w:rPr>
          <w:rFonts w:hint="eastAsia"/>
          <w:sz w:val="21"/>
        </w:rPr>
        <w:t>）重要会计政策变更</w:t>
      </w:r>
    </w:p>
    <w:p>
      <w:pPr>
        <w:jc w:val="left"/>
        <w:rPr>
          <w:rFonts w:hint="default"/>
          <w:sz w:val="18"/>
        </w:rPr>
      </w:pPr>
      <w:r>
        <w:rPr>
          <w:rFonts w:hint="eastAsia"/>
          <w:sz w:val="18"/>
        </w:rPr>
        <w:t>√</w:t>
      </w:r>
      <w:r>
        <w:rPr>
          <w:rFonts w:hint="default"/>
          <w:sz w:val="18"/>
        </w:rPr>
        <w:t xml:space="preserve"> </w:t>
      </w:r>
      <w:r>
        <w:rPr>
          <w:rFonts w:hint="eastAsia"/>
          <w:sz w:val="18"/>
        </w:rPr>
        <w:t>适用</w:t>
      </w:r>
      <w:r>
        <w:rPr>
          <w:rFonts w:hint="default"/>
          <w:sz w:val="18"/>
        </w:rPr>
        <w:t xml:space="preserve"> </w:t>
      </w:r>
      <w:r>
        <w:rPr>
          <w:rFonts w:hint="eastAsia"/>
          <w:sz w:val="18"/>
        </w:rPr>
        <w:t>□</w:t>
      </w:r>
      <w:r>
        <w:rPr>
          <w:rFonts w:hint="default"/>
          <w:sz w:val="18"/>
        </w:rPr>
        <w:t xml:space="preserve"> </w:t>
      </w:r>
      <w:r>
        <w:rPr>
          <w:rFonts w:hint="eastAsia"/>
          <w:sz w:val="18"/>
        </w:rPr>
        <w:t>不适用</w:t>
      </w:r>
      <w:r>
        <w:rPr>
          <w:rFonts w:hint="default"/>
          <w:sz w:val="18"/>
        </w:rPr>
        <w:t xml:space="preserve"> </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1</w:t>
      </w:r>
      <w:r>
        <w:rPr>
          <w:rFonts w:hint="eastAsia" w:ascii="宋体"/>
          <w:sz w:val="21"/>
          <w:lang w:val="zh-CN"/>
        </w:rPr>
        <w:t>、本公司自</w:t>
      </w:r>
      <w:r>
        <w:rPr>
          <w:rFonts w:hint="default" w:eastAsia="Times New Roman"/>
          <w:sz w:val="21"/>
          <w:lang w:val="zh-CN"/>
        </w:rPr>
        <w:t>2021</w:t>
      </w:r>
      <w:r>
        <w:rPr>
          <w:rFonts w:hint="eastAsia" w:ascii="宋体"/>
          <w:sz w:val="21"/>
          <w:lang w:val="zh-CN"/>
        </w:rPr>
        <w:t>年</w:t>
      </w:r>
      <w:r>
        <w:rPr>
          <w:rFonts w:hint="default" w:eastAsia="Times New Roman"/>
          <w:sz w:val="21"/>
          <w:lang w:val="zh-CN"/>
        </w:rPr>
        <w:t>1</w:t>
      </w:r>
      <w:r>
        <w:rPr>
          <w:rFonts w:hint="eastAsia" w:ascii="宋体"/>
          <w:sz w:val="21"/>
          <w:lang w:val="zh-CN"/>
        </w:rPr>
        <w:t>月</w:t>
      </w:r>
      <w:r>
        <w:rPr>
          <w:rFonts w:hint="default" w:eastAsia="Times New Roman"/>
          <w:sz w:val="21"/>
          <w:lang w:val="zh-CN"/>
        </w:rPr>
        <w:t>1</w:t>
      </w:r>
      <w:r>
        <w:rPr>
          <w:rFonts w:hint="eastAsia" w:ascii="宋体"/>
          <w:sz w:val="21"/>
          <w:lang w:val="zh-CN"/>
        </w:rPr>
        <w:t>日起执行《企业会计准则第</w:t>
      </w:r>
      <w:r>
        <w:rPr>
          <w:rFonts w:hint="default" w:eastAsia="Times New Roman"/>
          <w:sz w:val="21"/>
          <w:lang w:val="zh-CN"/>
        </w:rPr>
        <w:t>21</w:t>
      </w:r>
      <w:r>
        <w:rPr>
          <w:rFonts w:hint="eastAsia" w:ascii="宋体"/>
          <w:sz w:val="21"/>
          <w:lang w:val="zh-CN"/>
        </w:rPr>
        <w:t>号</w:t>
      </w:r>
      <w:r>
        <w:rPr>
          <w:rFonts w:hint="default" w:eastAsia="Times New Roman"/>
          <w:sz w:val="21"/>
          <w:lang w:val="zh-CN"/>
        </w:rPr>
        <w:t>——</w:t>
      </w:r>
      <w:r>
        <w:rPr>
          <w:rFonts w:hint="eastAsia" w:ascii="宋体"/>
          <w:sz w:val="21"/>
          <w:lang w:val="zh-CN"/>
        </w:rPr>
        <w:t>租赁》（财会〔</w:t>
      </w:r>
      <w:r>
        <w:rPr>
          <w:rFonts w:hint="default" w:eastAsia="Times New Roman"/>
          <w:sz w:val="21"/>
          <w:lang w:val="zh-CN"/>
        </w:rPr>
        <w:t>2018</w:t>
      </w:r>
      <w:r>
        <w:rPr>
          <w:rFonts w:hint="eastAsia" w:ascii="宋体"/>
          <w:sz w:val="21"/>
          <w:lang w:val="zh-CN"/>
        </w:rPr>
        <w:t>〕</w:t>
      </w:r>
      <w:r>
        <w:rPr>
          <w:rFonts w:hint="default" w:eastAsia="Times New Roman"/>
          <w:sz w:val="21"/>
          <w:lang w:val="zh-CN"/>
        </w:rPr>
        <w:t>35</w:t>
      </w:r>
      <w:r>
        <w:rPr>
          <w:rFonts w:hint="eastAsia" w:ascii="宋体"/>
          <w:sz w:val="21"/>
          <w:lang w:val="zh-CN"/>
        </w:rPr>
        <w:t>号）相关规定，根据累积影响数，调整年初财务报表相关项目金额，对可比期间信息不予调整。该会计政策变更对公司合并及公司财务报表列报无影响。</w:t>
      </w:r>
    </w:p>
    <w:p>
      <w:pPr>
        <w:autoSpaceDE w:val="0"/>
        <w:autoSpaceDN w:val="0"/>
        <w:adjustRightInd w:val="0"/>
        <w:spacing w:before="0" w:after="120"/>
        <w:ind w:firstLine="420"/>
        <w:rPr>
          <w:rFonts w:hint="default" w:eastAsia="Times New Roman"/>
          <w:sz w:val="21"/>
          <w:lang w:val="zh-CN"/>
        </w:rPr>
      </w:pPr>
      <w:r>
        <w:rPr>
          <w:rFonts w:hint="default" w:eastAsia="Times New Roman"/>
          <w:sz w:val="21"/>
          <w:lang w:val="zh-CN"/>
        </w:rPr>
        <w:t>2</w:t>
      </w:r>
      <w:r>
        <w:rPr>
          <w:rFonts w:hint="eastAsia" w:ascii="宋体"/>
          <w:sz w:val="21"/>
          <w:lang w:val="zh-CN"/>
        </w:rPr>
        <w:t>、</w:t>
      </w:r>
      <w:r>
        <w:rPr>
          <w:rFonts w:hint="default" w:eastAsia="Times New Roman"/>
          <w:sz w:val="21"/>
          <w:lang w:val="zh-CN"/>
        </w:rPr>
        <w:t xml:space="preserve"> 2021</w:t>
      </w:r>
      <w:r>
        <w:rPr>
          <w:rFonts w:hint="eastAsia" w:ascii="宋体"/>
          <w:sz w:val="21"/>
          <w:lang w:val="zh-CN"/>
        </w:rPr>
        <w:t>年</w:t>
      </w:r>
      <w:r>
        <w:rPr>
          <w:rFonts w:hint="default" w:eastAsia="Times New Roman"/>
          <w:sz w:val="21"/>
          <w:lang w:val="zh-CN"/>
        </w:rPr>
        <w:t>12</w:t>
      </w:r>
      <w:r>
        <w:rPr>
          <w:rFonts w:hint="eastAsia" w:ascii="宋体"/>
          <w:sz w:val="21"/>
          <w:lang w:val="zh-CN"/>
        </w:rPr>
        <w:t>月</w:t>
      </w:r>
      <w:r>
        <w:rPr>
          <w:rFonts w:hint="default" w:eastAsia="Times New Roman"/>
          <w:sz w:val="21"/>
          <w:lang w:val="zh-CN"/>
        </w:rPr>
        <w:t>31</w:t>
      </w:r>
      <w:r>
        <w:rPr>
          <w:rFonts w:hint="eastAsia" w:ascii="宋体"/>
          <w:sz w:val="21"/>
          <w:lang w:val="zh-CN"/>
        </w:rPr>
        <w:t>日，财政部发布了《企业会计准则解释第</w:t>
      </w:r>
      <w:r>
        <w:rPr>
          <w:rFonts w:hint="default" w:eastAsia="Times New Roman"/>
          <w:sz w:val="21"/>
          <w:lang w:val="zh-CN"/>
        </w:rPr>
        <w:t>15</w:t>
      </w:r>
      <w:r>
        <w:rPr>
          <w:rFonts w:hint="eastAsia" w:ascii="宋体"/>
          <w:sz w:val="21"/>
          <w:lang w:val="zh-CN"/>
        </w:rPr>
        <w:t>号》（财会〔</w:t>
      </w:r>
      <w:r>
        <w:rPr>
          <w:rFonts w:hint="default" w:eastAsia="Times New Roman"/>
          <w:sz w:val="21"/>
          <w:lang w:val="zh-CN"/>
        </w:rPr>
        <w:t>2021)35</w:t>
      </w:r>
      <w:r>
        <w:rPr>
          <w:rFonts w:hint="eastAsia" w:ascii="宋体"/>
          <w:sz w:val="21"/>
          <w:lang w:val="zh-CN"/>
        </w:rPr>
        <w:t>号，以下简称“解释</w:t>
      </w:r>
      <w:r>
        <w:rPr>
          <w:rFonts w:hint="default" w:eastAsia="Times New Roman"/>
          <w:sz w:val="21"/>
          <w:lang w:val="zh-CN"/>
        </w:rPr>
        <w:t>15</w:t>
      </w:r>
      <w:r>
        <w:rPr>
          <w:rFonts w:hint="eastAsia" w:ascii="宋体"/>
          <w:sz w:val="21"/>
          <w:lang w:val="zh-CN"/>
        </w:rPr>
        <w:t>号”），解释</w:t>
      </w:r>
      <w:r>
        <w:rPr>
          <w:rFonts w:hint="default" w:eastAsia="Times New Roman"/>
          <w:sz w:val="21"/>
          <w:lang w:val="zh-CN"/>
        </w:rPr>
        <w:t>15</w:t>
      </w:r>
      <w:r>
        <w:rPr>
          <w:rFonts w:hint="eastAsia" w:ascii="宋体"/>
          <w:sz w:val="21"/>
          <w:lang w:val="zh-CN"/>
        </w:rPr>
        <w:t>号中“关于资金集中管理相关列报”相关规定，自公布之日起实施。解释发布前财务报表未按照上述规定列报的，按照本解释对可比期间的财务报表数据进行相应调整。该会计政策变更对公司合并及公司财务报表列报无影响。</w:t>
      </w:r>
    </w:p>
    <w:p>
      <w:pPr>
        <w:pStyle w:val="8"/>
        <w:outlineLvl w:val="3"/>
        <w:rPr>
          <w:rFonts w:hint="default" w:eastAsia="Times New Roman"/>
          <w:sz w:val="21"/>
        </w:rPr>
      </w:pPr>
      <w:r>
        <w:rPr>
          <w:rFonts w:hint="eastAsia"/>
          <w:sz w:val="21"/>
        </w:rPr>
        <w:t>（</w:t>
      </w:r>
      <w:r>
        <w:rPr>
          <w:rFonts w:hint="default"/>
          <w:sz w:val="21"/>
        </w:rPr>
        <w:t>2</w:t>
      </w:r>
      <w:r>
        <w:rPr>
          <w:rFonts w:hint="eastAsia"/>
          <w:sz w:val="21"/>
        </w:rPr>
        <w:t>）重要会计估计变更</w:t>
      </w:r>
    </w:p>
    <w:p>
      <w:pPr>
        <w:jc w:val="left"/>
        <w:rPr>
          <w:rFonts w:hint="default"/>
          <w:sz w:val="18"/>
        </w:rPr>
      </w:pPr>
      <w:r>
        <w:rPr>
          <w:rFonts w:hint="eastAsia"/>
          <w:sz w:val="18"/>
        </w:rPr>
        <w:t>□</w:t>
      </w:r>
      <w:r>
        <w:rPr>
          <w:rFonts w:hint="default"/>
          <w:sz w:val="18"/>
        </w:rPr>
        <w:t xml:space="preserve"> </w:t>
      </w:r>
      <w:r>
        <w:rPr>
          <w:rFonts w:hint="eastAsia"/>
          <w:sz w:val="18"/>
        </w:rPr>
        <w:t>适用</w:t>
      </w:r>
      <w:r>
        <w:rPr>
          <w:rFonts w:hint="default"/>
          <w:sz w:val="18"/>
        </w:rPr>
        <w:t xml:space="preserve"> </w:t>
      </w:r>
      <w:r>
        <w:rPr>
          <w:rFonts w:hint="eastAsia"/>
          <w:sz w:val="18"/>
        </w:rPr>
        <w:t>√</w:t>
      </w:r>
      <w:r>
        <w:rPr>
          <w:rFonts w:hint="default"/>
          <w:sz w:val="18"/>
        </w:rPr>
        <w:t xml:space="preserve"> </w:t>
      </w:r>
      <w:r>
        <w:rPr>
          <w:rFonts w:hint="eastAsia"/>
          <w:sz w:val="18"/>
        </w:rPr>
        <w:t>不适用</w:t>
      </w:r>
      <w:r>
        <w:rPr>
          <w:rFonts w:hint="default"/>
          <w:sz w:val="18"/>
        </w:rPr>
        <w:t xml:space="preserve"> </w:t>
      </w:r>
    </w:p>
    <w:p>
      <w:pPr>
        <w:keepNext/>
        <w:keepLines/>
        <w:spacing w:before="300" w:after="300" w:line="320" w:lineRule="exact"/>
        <w:jc w:val="left"/>
        <w:outlineLvl w:val="1"/>
        <w:rPr>
          <w:rFonts w:ascii="宋体" w:hAnsi="宋体" w:eastAsia="宋体" w:cs="宋体"/>
          <w:b/>
          <w:bCs/>
          <w:sz w:val="24"/>
          <w:szCs w:val="24"/>
        </w:rPr>
      </w:pPr>
      <w:r>
        <w:rPr>
          <w:rFonts w:ascii="宋体" w:hAnsi="宋体" w:eastAsia="宋体" w:cs="宋体"/>
          <w:b/>
          <w:bCs/>
          <w:sz w:val="24"/>
          <w:szCs w:val="24"/>
        </w:rPr>
        <w:t>六、税项</w:t>
      </w:r>
      <w:bookmarkEnd w:id="105"/>
    </w:p>
    <w:p>
      <w:pPr>
        <w:keepNext/>
        <w:keepLines/>
        <w:spacing w:before="300" w:after="300" w:line="280" w:lineRule="exact"/>
        <w:jc w:val="left"/>
        <w:outlineLvl w:val="2"/>
        <w:rPr>
          <w:rFonts w:ascii="宋体" w:hAnsi="宋体" w:eastAsia="宋体" w:cs="宋体"/>
          <w:b/>
          <w:bCs/>
          <w:sz w:val="21"/>
          <w:szCs w:val="21"/>
        </w:rPr>
      </w:pPr>
      <w:bookmarkStart w:id="106" w:name="_Toc989050"/>
      <w:r>
        <w:rPr>
          <w:rFonts w:ascii="宋体" w:hAnsi="宋体" w:eastAsia="宋体" w:cs="宋体"/>
          <w:b/>
          <w:bCs/>
          <w:sz w:val="21"/>
          <w:szCs w:val="21"/>
        </w:rPr>
        <w:t>1、主要税种及税率</w:t>
      </w:r>
      <w:bookmarkEnd w:id="106"/>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计税依据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销售商品及提供劳务的增值额、房屋租赁</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13%、9%、6%、0%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应纳流转税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应纳税所得额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教育费附加及地方教育附加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应纳流转税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房产原值一次减除10-30%后的余额、租金收入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1.2%、12%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存在不同企业所得税税率纳税主体的，披露情况说明</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纳税主体名称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所得税税率</w:t>
            </w:r>
          </w:p>
        </w:tc>
      </w:tr>
    </w:tbl>
    <w:p>
      <w:pPr>
        <w:keepNext/>
        <w:keepLines/>
        <w:spacing w:before="300" w:after="300" w:line="280" w:lineRule="exact"/>
        <w:jc w:val="left"/>
        <w:outlineLvl w:val="2"/>
        <w:rPr>
          <w:rFonts w:ascii="宋体" w:hAnsi="宋体" w:eastAsia="宋体" w:cs="宋体"/>
          <w:b/>
          <w:bCs/>
          <w:sz w:val="21"/>
          <w:szCs w:val="21"/>
        </w:rPr>
      </w:pPr>
      <w:bookmarkStart w:id="107" w:name="_Toc989051"/>
      <w:r>
        <w:rPr>
          <w:rFonts w:ascii="宋体" w:hAnsi="宋体" w:eastAsia="宋体" w:cs="宋体"/>
          <w:b/>
          <w:bCs/>
          <w:sz w:val="21"/>
          <w:szCs w:val="21"/>
        </w:rPr>
        <w:t>2、税收优惠</w:t>
      </w:r>
      <w:bookmarkEnd w:id="107"/>
    </w:p>
    <w:p>
      <w:pPr>
        <w:pStyle w:val="3"/>
        <w:keepNext w:val="0"/>
        <w:keepLines w:val="0"/>
        <w:widowControl/>
        <w:suppressLineNumbers w:val="0"/>
        <w:spacing w:before="0" w:beforeAutospacing="0" w:after="120" w:afterAutospacing="0"/>
        <w:ind w:left="0" w:firstLine="420"/>
        <w:jc w:val="both"/>
        <w:rPr>
          <w:rFonts w:hint="eastAsia" w:ascii="宋体" w:hAnsi="宋体" w:eastAsia="宋体" w:cs="宋体"/>
          <w:sz w:val="18"/>
          <w:szCs w:val="18"/>
        </w:rPr>
      </w:pPr>
      <w:r>
        <w:rPr>
          <w:rFonts w:hint="eastAsia" w:ascii="宋体" w:hAnsi="宋体" w:eastAsia="宋体" w:cs="宋体"/>
          <w:sz w:val="21"/>
          <w:szCs w:val="21"/>
        </w:rPr>
        <w:t>（一）企业所得税</w:t>
      </w:r>
    </w:p>
    <w:p>
      <w:pPr>
        <w:pStyle w:val="3"/>
        <w:keepNext w:val="0"/>
        <w:keepLines w:val="0"/>
        <w:widowControl/>
        <w:suppressLineNumbers w:val="0"/>
        <w:spacing w:before="0" w:beforeAutospacing="0" w:after="120" w:afterAutospacing="0"/>
        <w:ind w:left="0" w:firstLine="420"/>
        <w:jc w:val="both"/>
        <w:rPr>
          <w:rFonts w:hint="eastAsia" w:ascii="宋体" w:hAnsi="宋体" w:eastAsia="宋体" w:cs="宋体"/>
          <w:sz w:val="18"/>
          <w:szCs w:val="18"/>
        </w:rPr>
      </w:pPr>
      <w:r>
        <w:rPr>
          <w:rFonts w:hint="default" w:ascii="Times New Roman" w:hAnsi="Times New Roman" w:eastAsia="宋体" w:cs="Times New Roman"/>
          <w:sz w:val="21"/>
          <w:szCs w:val="21"/>
        </w:rPr>
        <w:t>1</w:t>
      </w:r>
      <w:r>
        <w:rPr>
          <w:rFonts w:hint="eastAsia" w:ascii="宋体" w:hAnsi="宋体" w:eastAsia="宋体" w:cs="宋体"/>
          <w:sz w:val="21"/>
          <w:szCs w:val="21"/>
        </w:rPr>
        <w:t>、本公司及子公司湖南博云东方粉末冶金有限公司、长沙伟徽高科技新材料有限公司和长沙鑫航机轮刹车有限公司，均经湖南省科学技术厅、湖南省财政厅、湖南省国家税务局、湖南省地方税务局联合认定为高新技术企业，有效期三年，本期均适用</w:t>
      </w:r>
      <w:r>
        <w:rPr>
          <w:rFonts w:hint="default" w:ascii="Times New Roman" w:hAnsi="Times New Roman" w:eastAsia="宋体" w:cs="Times New Roman"/>
          <w:sz w:val="21"/>
          <w:szCs w:val="21"/>
        </w:rPr>
        <w:t>15%</w:t>
      </w:r>
      <w:r>
        <w:rPr>
          <w:rFonts w:hint="eastAsia" w:ascii="宋体" w:hAnsi="宋体" w:eastAsia="宋体" w:cs="宋体"/>
          <w:sz w:val="21"/>
          <w:szCs w:val="21"/>
        </w:rPr>
        <w:t>的企业所得税优惠税率。各公司获得高新技术证书的具体日期及证书号如下：</w:t>
      </w:r>
    </w:p>
    <w:tbl>
      <w:tblPr>
        <w:tblStyle w:val="4"/>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729"/>
        <w:gridCol w:w="3184"/>
        <w:gridCol w:w="188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729"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3"/>
              <w:keepNext w:val="0"/>
              <w:keepLines w:val="0"/>
              <w:widowControl/>
              <w:suppressLineNumbers w:val="0"/>
              <w:spacing w:before="0" w:beforeAutospacing="0" w:after="0" w:afterAutospacing="0"/>
              <w:jc w:val="center"/>
              <w:rPr>
                <w:rFonts w:hint="eastAsia" w:ascii="宋体" w:hAnsi="宋体" w:eastAsia="宋体" w:cs="宋体"/>
                <w:sz w:val="18"/>
                <w:szCs w:val="18"/>
              </w:rPr>
            </w:pPr>
            <w:r>
              <w:rPr>
                <w:rStyle w:val="6"/>
                <w:rFonts w:hint="eastAsia" w:ascii="宋体" w:hAnsi="宋体" w:eastAsia="宋体" w:cs="宋体"/>
                <w:b/>
                <w:sz w:val="18"/>
                <w:szCs w:val="18"/>
              </w:rPr>
              <w:t>公</w:t>
            </w:r>
            <w:r>
              <w:rPr>
                <w:rStyle w:val="6"/>
                <w:rFonts w:hint="default" w:ascii="Times New Roman" w:hAnsi="Times New Roman" w:eastAsia="宋体" w:cs="Times New Roman"/>
                <w:b/>
                <w:sz w:val="18"/>
                <w:szCs w:val="18"/>
              </w:rPr>
              <w:t>  </w:t>
            </w:r>
            <w:r>
              <w:rPr>
                <w:rStyle w:val="6"/>
                <w:rFonts w:hint="eastAsia" w:ascii="宋体" w:hAnsi="宋体" w:eastAsia="宋体" w:cs="宋体"/>
                <w:b/>
                <w:sz w:val="18"/>
                <w:szCs w:val="18"/>
              </w:rPr>
              <w:t>司</w:t>
            </w:r>
          </w:p>
        </w:tc>
        <w:tc>
          <w:tcPr>
            <w:tcW w:w="3184" w:type="dxa"/>
            <w:tcBorders>
              <w:top w:val="single" w:color="auto" w:sz="8" w:space="0"/>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3"/>
              <w:keepNext w:val="0"/>
              <w:keepLines w:val="0"/>
              <w:widowControl/>
              <w:suppressLineNumbers w:val="0"/>
              <w:spacing w:before="0" w:beforeAutospacing="0" w:after="0" w:afterAutospacing="0"/>
              <w:jc w:val="center"/>
              <w:rPr>
                <w:rFonts w:hint="eastAsia" w:ascii="宋体" w:hAnsi="宋体" w:eastAsia="宋体" w:cs="宋体"/>
                <w:sz w:val="18"/>
                <w:szCs w:val="18"/>
              </w:rPr>
            </w:pPr>
            <w:r>
              <w:rPr>
                <w:rStyle w:val="6"/>
                <w:rFonts w:hint="eastAsia" w:ascii="宋体" w:hAnsi="宋体" w:eastAsia="宋体" w:cs="宋体"/>
                <w:b/>
                <w:sz w:val="18"/>
                <w:szCs w:val="18"/>
              </w:rPr>
              <w:t>获得高新技术证书的具体日期</w:t>
            </w:r>
          </w:p>
        </w:tc>
        <w:tc>
          <w:tcPr>
            <w:tcW w:w="1882" w:type="dxa"/>
            <w:tcBorders>
              <w:top w:val="single" w:color="auto" w:sz="8" w:space="0"/>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3"/>
              <w:keepNext w:val="0"/>
              <w:keepLines w:val="0"/>
              <w:widowControl/>
              <w:suppressLineNumbers w:val="0"/>
              <w:spacing w:before="0" w:beforeAutospacing="0" w:after="0" w:afterAutospacing="0"/>
              <w:jc w:val="center"/>
              <w:rPr>
                <w:rFonts w:hint="eastAsia" w:ascii="宋体" w:hAnsi="宋体" w:eastAsia="宋体" w:cs="宋体"/>
                <w:sz w:val="18"/>
                <w:szCs w:val="18"/>
              </w:rPr>
            </w:pPr>
            <w:r>
              <w:rPr>
                <w:rStyle w:val="6"/>
                <w:rFonts w:hint="eastAsia" w:ascii="宋体" w:hAnsi="宋体" w:eastAsia="宋体" w:cs="宋体"/>
                <w:b/>
                <w:sz w:val="18"/>
                <w:szCs w:val="18"/>
              </w:rPr>
              <w:t>证书号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72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3"/>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eastAsia" w:ascii="宋体" w:hAnsi="宋体" w:eastAsia="宋体" w:cs="宋体"/>
                <w:sz w:val="18"/>
                <w:szCs w:val="18"/>
              </w:rPr>
              <w:t>湖南博云新材料股份有限公司</w:t>
            </w:r>
          </w:p>
        </w:tc>
        <w:tc>
          <w:tcPr>
            <w:tcW w:w="3184"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3"/>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default" w:ascii="Times New Roman" w:hAnsi="Times New Roman" w:eastAsia="宋体" w:cs="Times New Roman"/>
                <w:sz w:val="18"/>
                <w:szCs w:val="18"/>
              </w:rPr>
              <w:t>2020</w:t>
            </w:r>
            <w:r>
              <w:rPr>
                <w:rFonts w:hint="eastAsia" w:ascii="宋体" w:hAnsi="宋体" w:eastAsia="宋体" w:cs="宋体"/>
                <w:sz w:val="18"/>
                <w:szCs w:val="18"/>
              </w:rPr>
              <w:t>年</w:t>
            </w:r>
            <w:r>
              <w:rPr>
                <w:rFonts w:hint="default" w:ascii="Times New Roman" w:hAnsi="Times New Roman" w:eastAsia="宋体" w:cs="Times New Roman"/>
                <w:sz w:val="18"/>
                <w:szCs w:val="18"/>
              </w:rPr>
              <w:t>9</w:t>
            </w:r>
            <w:r>
              <w:rPr>
                <w:rFonts w:hint="eastAsia" w:ascii="宋体" w:hAnsi="宋体" w:eastAsia="宋体" w:cs="宋体"/>
                <w:sz w:val="18"/>
                <w:szCs w:val="18"/>
              </w:rPr>
              <w:t>月</w:t>
            </w:r>
            <w:r>
              <w:rPr>
                <w:rFonts w:hint="default" w:ascii="Times New Roman" w:hAnsi="Times New Roman" w:eastAsia="宋体" w:cs="Times New Roman"/>
                <w:sz w:val="18"/>
                <w:szCs w:val="18"/>
              </w:rPr>
              <w:t>11</w:t>
            </w:r>
            <w:r>
              <w:rPr>
                <w:rFonts w:hint="eastAsia" w:ascii="宋体" w:hAnsi="宋体" w:eastAsia="宋体" w:cs="宋体"/>
                <w:sz w:val="18"/>
                <w:szCs w:val="18"/>
              </w:rPr>
              <w:t>日</w:t>
            </w:r>
          </w:p>
        </w:tc>
        <w:tc>
          <w:tcPr>
            <w:tcW w:w="1882"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3"/>
              <w:keepNext w:val="0"/>
              <w:keepLines w:val="0"/>
              <w:widowControl/>
              <w:suppressLineNumbers w:val="0"/>
              <w:spacing w:before="0" w:beforeAutospacing="0" w:after="0" w:afterAutospacing="0"/>
              <w:jc w:val="center"/>
              <w:rPr>
                <w:rFonts w:hint="eastAsia" w:ascii="宋体" w:hAnsi="宋体" w:eastAsia="宋体" w:cs="宋体"/>
                <w:sz w:val="18"/>
                <w:szCs w:val="18"/>
              </w:rPr>
            </w:pPr>
            <w:r>
              <w:rPr>
                <w:rFonts w:hint="default" w:ascii="Times New Roman" w:hAnsi="Times New Roman" w:eastAsia="宋体" w:cs="Times New Roman"/>
                <w:sz w:val="18"/>
                <w:szCs w:val="18"/>
              </w:rPr>
              <w:t>GR202043000233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72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3"/>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eastAsia" w:ascii="宋体" w:hAnsi="宋体" w:eastAsia="宋体" w:cs="宋体"/>
                <w:sz w:val="18"/>
                <w:szCs w:val="18"/>
              </w:rPr>
              <w:t>湖南博云东方粉末冶金有限公司</w:t>
            </w:r>
          </w:p>
        </w:tc>
        <w:tc>
          <w:tcPr>
            <w:tcW w:w="3184"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3"/>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default" w:ascii="Times New Roman" w:hAnsi="Times New Roman" w:eastAsia="宋体" w:cs="Times New Roman"/>
                <w:sz w:val="18"/>
                <w:szCs w:val="18"/>
              </w:rPr>
              <w:t>2020</w:t>
            </w:r>
            <w:r>
              <w:rPr>
                <w:rFonts w:hint="eastAsia" w:ascii="宋体" w:hAnsi="宋体" w:eastAsia="宋体" w:cs="宋体"/>
                <w:sz w:val="18"/>
                <w:szCs w:val="18"/>
              </w:rPr>
              <w:t>年</w:t>
            </w:r>
            <w:r>
              <w:rPr>
                <w:rFonts w:hint="default" w:ascii="Times New Roman" w:hAnsi="Times New Roman" w:eastAsia="宋体" w:cs="Times New Roman"/>
                <w:sz w:val="18"/>
                <w:szCs w:val="18"/>
              </w:rPr>
              <w:t>12</w:t>
            </w:r>
            <w:r>
              <w:rPr>
                <w:rFonts w:hint="eastAsia" w:ascii="宋体" w:hAnsi="宋体" w:eastAsia="宋体" w:cs="宋体"/>
                <w:sz w:val="18"/>
                <w:szCs w:val="18"/>
              </w:rPr>
              <w:t>月</w:t>
            </w:r>
            <w:r>
              <w:rPr>
                <w:rFonts w:hint="default" w:ascii="Times New Roman" w:hAnsi="Times New Roman" w:eastAsia="宋体" w:cs="Times New Roman"/>
                <w:sz w:val="18"/>
                <w:szCs w:val="18"/>
              </w:rPr>
              <w:t>3</w:t>
            </w:r>
            <w:r>
              <w:rPr>
                <w:rFonts w:hint="eastAsia" w:ascii="宋体" w:hAnsi="宋体" w:eastAsia="宋体" w:cs="宋体"/>
                <w:sz w:val="18"/>
                <w:szCs w:val="18"/>
              </w:rPr>
              <w:t>日</w:t>
            </w:r>
          </w:p>
        </w:tc>
        <w:tc>
          <w:tcPr>
            <w:tcW w:w="1882"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3"/>
              <w:keepNext w:val="0"/>
              <w:keepLines w:val="0"/>
              <w:widowControl/>
              <w:suppressLineNumbers w:val="0"/>
              <w:spacing w:before="0" w:beforeAutospacing="0" w:after="0" w:afterAutospacing="0"/>
              <w:jc w:val="center"/>
              <w:rPr>
                <w:rFonts w:hint="eastAsia" w:ascii="宋体" w:hAnsi="宋体" w:eastAsia="宋体" w:cs="宋体"/>
                <w:sz w:val="18"/>
                <w:szCs w:val="18"/>
              </w:rPr>
            </w:pPr>
            <w:r>
              <w:rPr>
                <w:rFonts w:hint="default" w:ascii="Times New Roman" w:hAnsi="Times New Roman" w:eastAsia="宋体" w:cs="Times New Roman"/>
                <w:sz w:val="18"/>
                <w:szCs w:val="18"/>
              </w:rPr>
              <w:t>GR202043003788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72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3"/>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eastAsia" w:ascii="宋体" w:hAnsi="宋体" w:eastAsia="宋体" w:cs="宋体"/>
                <w:sz w:val="18"/>
                <w:szCs w:val="18"/>
              </w:rPr>
              <w:t>长沙伟徽高科技新材料有限公司</w:t>
            </w:r>
          </w:p>
        </w:tc>
        <w:tc>
          <w:tcPr>
            <w:tcW w:w="3184"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3"/>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default" w:ascii="Times New Roman" w:hAnsi="Times New Roman" w:eastAsia="宋体" w:cs="Times New Roman"/>
                <w:sz w:val="18"/>
                <w:szCs w:val="18"/>
              </w:rPr>
              <w:t>2020</w:t>
            </w:r>
            <w:r>
              <w:rPr>
                <w:rFonts w:hint="eastAsia" w:ascii="宋体" w:hAnsi="宋体" w:eastAsia="宋体" w:cs="宋体"/>
                <w:sz w:val="18"/>
                <w:szCs w:val="18"/>
              </w:rPr>
              <w:t>年</w:t>
            </w:r>
            <w:r>
              <w:rPr>
                <w:rFonts w:hint="default" w:ascii="Times New Roman" w:hAnsi="Times New Roman" w:eastAsia="宋体" w:cs="Times New Roman"/>
                <w:sz w:val="18"/>
                <w:szCs w:val="18"/>
              </w:rPr>
              <w:t>9</w:t>
            </w:r>
            <w:r>
              <w:rPr>
                <w:rFonts w:hint="eastAsia" w:ascii="宋体" w:hAnsi="宋体" w:eastAsia="宋体" w:cs="宋体"/>
                <w:sz w:val="18"/>
                <w:szCs w:val="18"/>
              </w:rPr>
              <w:t>月</w:t>
            </w:r>
            <w:r>
              <w:rPr>
                <w:rFonts w:hint="default" w:ascii="Times New Roman" w:hAnsi="Times New Roman" w:eastAsia="宋体" w:cs="Times New Roman"/>
                <w:sz w:val="18"/>
                <w:szCs w:val="18"/>
              </w:rPr>
              <w:t>11</w:t>
            </w:r>
            <w:r>
              <w:rPr>
                <w:rFonts w:hint="eastAsia" w:ascii="宋体" w:hAnsi="宋体" w:eastAsia="宋体" w:cs="宋体"/>
                <w:sz w:val="18"/>
                <w:szCs w:val="18"/>
              </w:rPr>
              <w:t>日</w:t>
            </w:r>
          </w:p>
        </w:tc>
        <w:tc>
          <w:tcPr>
            <w:tcW w:w="1882"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3"/>
              <w:keepNext w:val="0"/>
              <w:keepLines w:val="0"/>
              <w:widowControl/>
              <w:suppressLineNumbers w:val="0"/>
              <w:spacing w:before="0" w:beforeAutospacing="0" w:after="0" w:afterAutospacing="0"/>
              <w:jc w:val="center"/>
              <w:rPr>
                <w:rFonts w:hint="eastAsia" w:ascii="宋体" w:hAnsi="宋体" w:eastAsia="宋体" w:cs="宋体"/>
                <w:sz w:val="18"/>
                <w:szCs w:val="18"/>
              </w:rPr>
            </w:pPr>
            <w:r>
              <w:rPr>
                <w:rFonts w:hint="default" w:ascii="Times New Roman" w:hAnsi="Times New Roman" w:eastAsia="宋体" w:cs="Times New Roman"/>
                <w:sz w:val="18"/>
                <w:szCs w:val="18"/>
              </w:rPr>
              <w:t>GR202043001422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72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3"/>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eastAsia" w:ascii="宋体" w:hAnsi="宋体" w:eastAsia="宋体" w:cs="宋体"/>
                <w:sz w:val="18"/>
                <w:szCs w:val="18"/>
              </w:rPr>
              <w:t>长沙鑫航机轮刹车有限公司</w:t>
            </w:r>
          </w:p>
        </w:tc>
        <w:tc>
          <w:tcPr>
            <w:tcW w:w="3184"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3"/>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default" w:ascii="Times New Roman" w:hAnsi="Times New Roman" w:eastAsia="宋体" w:cs="Times New Roman"/>
                <w:sz w:val="18"/>
                <w:szCs w:val="18"/>
              </w:rPr>
              <w:t>2021</w:t>
            </w:r>
            <w:r>
              <w:rPr>
                <w:rFonts w:hint="eastAsia" w:ascii="宋体" w:hAnsi="宋体" w:eastAsia="宋体" w:cs="宋体"/>
                <w:sz w:val="18"/>
                <w:szCs w:val="18"/>
              </w:rPr>
              <w:t>年</w:t>
            </w:r>
            <w:r>
              <w:rPr>
                <w:rFonts w:hint="default" w:ascii="Times New Roman" w:hAnsi="Times New Roman" w:eastAsia="宋体" w:cs="Times New Roman"/>
                <w:sz w:val="18"/>
                <w:szCs w:val="18"/>
              </w:rPr>
              <w:t>9</w:t>
            </w:r>
            <w:r>
              <w:rPr>
                <w:rFonts w:hint="eastAsia" w:ascii="宋体" w:hAnsi="宋体" w:eastAsia="宋体" w:cs="宋体"/>
                <w:sz w:val="18"/>
                <w:szCs w:val="18"/>
              </w:rPr>
              <w:t>月</w:t>
            </w:r>
            <w:r>
              <w:rPr>
                <w:rFonts w:hint="default" w:ascii="Times New Roman" w:hAnsi="Times New Roman" w:eastAsia="宋体" w:cs="Times New Roman"/>
                <w:sz w:val="18"/>
                <w:szCs w:val="18"/>
              </w:rPr>
              <w:t>18</w:t>
            </w:r>
            <w:r>
              <w:rPr>
                <w:rFonts w:hint="eastAsia" w:ascii="宋体" w:hAnsi="宋体" w:eastAsia="宋体" w:cs="宋体"/>
                <w:sz w:val="18"/>
                <w:szCs w:val="18"/>
              </w:rPr>
              <w:t>日</w:t>
            </w:r>
          </w:p>
        </w:tc>
        <w:tc>
          <w:tcPr>
            <w:tcW w:w="1882"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3"/>
              <w:keepNext w:val="0"/>
              <w:keepLines w:val="0"/>
              <w:widowControl/>
              <w:suppressLineNumbers w:val="0"/>
              <w:spacing w:before="0" w:beforeAutospacing="0" w:after="0" w:afterAutospacing="0"/>
              <w:jc w:val="center"/>
              <w:rPr>
                <w:rFonts w:hint="eastAsia" w:ascii="宋体" w:hAnsi="宋体" w:eastAsia="宋体" w:cs="宋体"/>
                <w:sz w:val="18"/>
                <w:szCs w:val="18"/>
              </w:rPr>
            </w:pPr>
            <w:r>
              <w:rPr>
                <w:rFonts w:hint="default" w:ascii="Times New Roman" w:hAnsi="Times New Roman" w:eastAsia="宋体" w:cs="Times New Roman"/>
                <w:sz w:val="18"/>
                <w:szCs w:val="18"/>
              </w:rPr>
              <w:t>GR202143000150</w:t>
            </w:r>
          </w:p>
        </w:tc>
      </w:tr>
    </w:tbl>
    <w:p>
      <w:pPr>
        <w:pStyle w:val="3"/>
        <w:keepNext w:val="0"/>
        <w:keepLines w:val="0"/>
        <w:widowControl/>
        <w:suppressLineNumbers w:val="0"/>
        <w:spacing w:before="100" w:beforeAutospacing="0" w:after="120" w:afterAutospacing="0"/>
        <w:ind w:left="0" w:firstLine="420"/>
        <w:jc w:val="left"/>
        <w:rPr>
          <w:rFonts w:hint="eastAsia" w:ascii="宋体" w:hAnsi="宋体" w:eastAsia="宋体" w:cs="宋体"/>
          <w:sz w:val="18"/>
          <w:szCs w:val="18"/>
        </w:rPr>
      </w:pPr>
      <w:r>
        <w:rPr>
          <w:rFonts w:hint="default" w:ascii="Times New Roman" w:hAnsi="Times New Roman" w:eastAsia="宋体" w:cs="Times New Roman"/>
          <w:sz w:val="21"/>
          <w:szCs w:val="21"/>
        </w:rPr>
        <w:t>2</w:t>
      </w:r>
      <w:r>
        <w:rPr>
          <w:rFonts w:hint="eastAsia" w:ascii="宋体" w:hAnsi="宋体" w:eastAsia="宋体" w:cs="宋体"/>
          <w:sz w:val="21"/>
          <w:szCs w:val="21"/>
        </w:rPr>
        <w:t>、根据《财政部、税务总局关于延长部分税收优惠政策执行期限的公告》，研究开发费用税前加计扣除延续至</w:t>
      </w:r>
      <w:r>
        <w:rPr>
          <w:rFonts w:hint="default" w:ascii="Times New Roman" w:hAnsi="Times New Roman" w:eastAsia="宋体" w:cs="Times New Roman"/>
          <w:sz w:val="21"/>
          <w:szCs w:val="21"/>
        </w:rPr>
        <w:t>2023</w:t>
      </w:r>
      <w:r>
        <w:rPr>
          <w:rFonts w:hint="eastAsia" w:ascii="宋体" w:hAnsi="宋体" w:eastAsia="宋体" w:cs="宋体"/>
          <w:sz w:val="21"/>
          <w:szCs w:val="21"/>
        </w:rPr>
        <w:t>年</w:t>
      </w:r>
      <w:r>
        <w:rPr>
          <w:rFonts w:hint="default" w:ascii="Times New Roman" w:hAnsi="Times New Roman" w:eastAsia="宋体" w:cs="Times New Roman"/>
          <w:sz w:val="21"/>
          <w:szCs w:val="21"/>
        </w:rPr>
        <w:t>12</w:t>
      </w:r>
      <w:r>
        <w:rPr>
          <w:rFonts w:hint="eastAsia" w:ascii="宋体" w:hAnsi="宋体" w:eastAsia="宋体" w:cs="宋体"/>
          <w:sz w:val="21"/>
          <w:szCs w:val="21"/>
        </w:rPr>
        <w:t>月</w:t>
      </w:r>
      <w:r>
        <w:rPr>
          <w:rFonts w:hint="default" w:ascii="Times New Roman" w:hAnsi="Times New Roman" w:eastAsia="宋体" w:cs="Times New Roman"/>
          <w:sz w:val="21"/>
          <w:szCs w:val="21"/>
        </w:rPr>
        <w:t>31</w:t>
      </w:r>
      <w:r>
        <w:rPr>
          <w:rFonts w:hint="eastAsia" w:ascii="宋体" w:hAnsi="宋体" w:eastAsia="宋体" w:cs="宋体"/>
          <w:sz w:val="21"/>
          <w:szCs w:val="21"/>
        </w:rPr>
        <w:t>日。根据财政部、税务总局</w:t>
      </w:r>
      <w:r>
        <w:rPr>
          <w:rFonts w:hint="default" w:ascii="Times New Roman" w:hAnsi="Times New Roman" w:eastAsia="宋体" w:cs="Times New Roman"/>
          <w:sz w:val="21"/>
          <w:szCs w:val="21"/>
        </w:rPr>
        <w:t>2021</w:t>
      </w:r>
      <w:r>
        <w:rPr>
          <w:rFonts w:hint="eastAsia" w:ascii="宋体" w:hAnsi="宋体" w:eastAsia="宋体" w:cs="宋体"/>
          <w:sz w:val="21"/>
          <w:szCs w:val="21"/>
        </w:rPr>
        <w:t>年第</w:t>
      </w:r>
      <w:r>
        <w:rPr>
          <w:rFonts w:hint="default" w:ascii="Times New Roman" w:hAnsi="Times New Roman" w:eastAsia="宋体" w:cs="Times New Roman"/>
          <w:sz w:val="21"/>
          <w:szCs w:val="21"/>
        </w:rPr>
        <w:t>13</w:t>
      </w:r>
      <w:r>
        <w:rPr>
          <w:rFonts w:hint="eastAsia" w:ascii="宋体" w:hAnsi="宋体" w:eastAsia="宋体" w:cs="宋体"/>
          <w:sz w:val="21"/>
          <w:szCs w:val="21"/>
        </w:rPr>
        <w:t>号《财政部、税务总局关于进一步完善研发费用税前加计扣除政策的公告》，制造业企业开展研发活动中实际发生的研发费用，未形成无形资产计入当期损益的，在按规定据实扣除的基础上，自</w:t>
      </w:r>
      <w:r>
        <w:rPr>
          <w:rFonts w:hint="default" w:ascii="Times New Roman" w:hAnsi="Times New Roman" w:eastAsia="宋体" w:cs="Times New Roman"/>
          <w:sz w:val="21"/>
          <w:szCs w:val="21"/>
        </w:rPr>
        <w:t>2021</w:t>
      </w:r>
      <w:r>
        <w:rPr>
          <w:rFonts w:hint="eastAsia" w:ascii="宋体" w:hAnsi="宋体" w:eastAsia="宋体" w:cs="宋体"/>
          <w:sz w:val="21"/>
          <w:szCs w:val="21"/>
        </w:rPr>
        <w:t>年</w:t>
      </w:r>
      <w:r>
        <w:rPr>
          <w:rFonts w:hint="default" w:ascii="Times New Roman" w:hAnsi="Times New Roman" w:eastAsia="宋体" w:cs="Times New Roman"/>
          <w:sz w:val="21"/>
          <w:szCs w:val="21"/>
        </w:rPr>
        <w:t>1</w:t>
      </w:r>
      <w:r>
        <w:rPr>
          <w:rFonts w:hint="eastAsia" w:ascii="宋体" w:hAnsi="宋体" w:eastAsia="宋体" w:cs="宋体"/>
          <w:sz w:val="21"/>
          <w:szCs w:val="21"/>
        </w:rPr>
        <w:t>月</w:t>
      </w:r>
      <w:r>
        <w:rPr>
          <w:rFonts w:hint="default" w:ascii="Times New Roman" w:hAnsi="Times New Roman" w:eastAsia="宋体" w:cs="Times New Roman"/>
          <w:sz w:val="21"/>
          <w:szCs w:val="21"/>
        </w:rPr>
        <w:t>1</w:t>
      </w:r>
      <w:r>
        <w:rPr>
          <w:rFonts w:hint="eastAsia" w:ascii="宋体" w:hAnsi="宋体" w:eastAsia="宋体" w:cs="宋体"/>
          <w:sz w:val="21"/>
          <w:szCs w:val="21"/>
        </w:rPr>
        <w:t>日起，再按照实际发生额的</w:t>
      </w:r>
      <w:r>
        <w:rPr>
          <w:rFonts w:hint="default" w:ascii="Times New Roman" w:hAnsi="Times New Roman" w:eastAsia="宋体" w:cs="Times New Roman"/>
          <w:sz w:val="21"/>
          <w:szCs w:val="21"/>
        </w:rPr>
        <w:t>100%</w:t>
      </w:r>
      <w:r>
        <w:rPr>
          <w:rFonts w:hint="eastAsia" w:ascii="宋体" w:hAnsi="宋体" w:eastAsia="宋体" w:cs="宋体"/>
          <w:sz w:val="21"/>
          <w:szCs w:val="21"/>
        </w:rPr>
        <w:t>在税前加计扣除；形成无形资产的，自</w:t>
      </w:r>
      <w:r>
        <w:rPr>
          <w:rFonts w:hint="default" w:ascii="Times New Roman" w:hAnsi="Times New Roman" w:eastAsia="宋体" w:cs="Times New Roman"/>
          <w:sz w:val="21"/>
          <w:szCs w:val="21"/>
        </w:rPr>
        <w:t>2021</w:t>
      </w:r>
      <w:r>
        <w:rPr>
          <w:rFonts w:hint="eastAsia" w:ascii="宋体" w:hAnsi="宋体" w:eastAsia="宋体" w:cs="宋体"/>
          <w:sz w:val="21"/>
          <w:szCs w:val="21"/>
        </w:rPr>
        <w:t>年</w:t>
      </w:r>
      <w:r>
        <w:rPr>
          <w:rFonts w:hint="default" w:ascii="Times New Roman" w:hAnsi="Times New Roman" w:eastAsia="宋体" w:cs="Times New Roman"/>
          <w:sz w:val="21"/>
          <w:szCs w:val="21"/>
        </w:rPr>
        <w:t>1</w:t>
      </w:r>
      <w:r>
        <w:rPr>
          <w:rFonts w:hint="eastAsia" w:ascii="宋体" w:hAnsi="宋体" w:eastAsia="宋体" w:cs="宋体"/>
          <w:sz w:val="21"/>
          <w:szCs w:val="21"/>
        </w:rPr>
        <w:t>月</w:t>
      </w:r>
      <w:r>
        <w:rPr>
          <w:rFonts w:hint="default" w:ascii="Times New Roman" w:hAnsi="Times New Roman" w:eastAsia="宋体" w:cs="Times New Roman"/>
          <w:sz w:val="21"/>
          <w:szCs w:val="21"/>
        </w:rPr>
        <w:t>1</w:t>
      </w:r>
      <w:r>
        <w:rPr>
          <w:rFonts w:hint="eastAsia" w:ascii="宋体" w:hAnsi="宋体" w:eastAsia="宋体" w:cs="宋体"/>
          <w:sz w:val="21"/>
          <w:szCs w:val="21"/>
        </w:rPr>
        <w:t>日起，按照无形资产成本的</w:t>
      </w:r>
      <w:r>
        <w:rPr>
          <w:rFonts w:hint="default" w:ascii="Times New Roman" w:hAnsi="Times New Roman" w:eastAsia="宋体" w:cs="Times New Roman"/>
          <w:sz w:val="21"/>
          <w:szCs w:val="21"/>
        </w:rPr>
        <w:t>200%</w:t>
      </w:r>
      <w:r>
        <w:rPr>
          <w:rFonts w:hint="eastAsia" w:ascii="宋体" w:hAnsi="宋体" w:eastAsia="宋体" w:cs="宋体"/>
          <w:sz w:val="21"/>
          <w:szCs w:val="21"/>
        </w:rPr>
        <w:t>在税前摊销。本公司本年度享受按研发费用额的</w:t>
      </w:r>
      <w:r>
        <w:rPr>
          <w:rFonts w:hint="default" w:ascii="Times New Roman" w:hAnsi="Times New Roman" w:eastAsia="宋体" w:cs="Times New Roman"/>
          <w:sz w:val="21"/>
          <w:szCs w:val="21"/>
        </w:rPr>
        <w:t>100%</w:t>
      </w:r>
      <w:r>
        <w:rPr>
          <w:rFonts w:hint="eastAsia" w:ascii="宋体" w:hAnsi="宋体" w:eastAsia="宋体" w:cs="宋体"/>
          <w:sz w:val="21"/>
          <w:szCs w:val="21"/>
        </w:rPr>
        <w:t>在税前加计扣除的优惠政策。</w:t>
      </w:r>
    </w:p>
    <w:p>
      <w:pPr>
        <w:keepNext/>
        <w:keepLines/>
        <w:spacing w:before="300" w:after="300" w:line="280" w:lineRule="exact"/>
        <w:jc w:val="left"/>
        <w:outlineLvl w:val="2"/>
        <w:rPr>
          <w:rFonts w:ascii="宋体" w:hAnsi="宋体" w:eastAsia="宋体" w:cs="宋体"/>
          <w:b/>
          <w:bCs/>
          <w:sz w:val="21"/>
          <w:szCs w:val="21"/>
        </w:rPr>
      </w:pPr>
      <w:bookmarkStart w:id="108" w:name="_Toc989052"/>
      <w:r>
        <w:rPr>
          <w:rFonts w:ascii="宋体" w:hAnsi="宋体" w:eastAsia="宋体" w:cs="宋体"/>
          <w:b/>
          <w:bCs/>
          <w:sz w:val="21"/>
          <w:szCs w:val="21"/>
        </w:rPr>
        <w:t>3、其他</w:t>
      </w:r>
      <w:bookmarkEnd w:id="108"/>
    </w:p>
    <w:p>
      <w:pPr>
        <w:pStyle w:val="3"/>
        <w:keepNext w:val="0"/>
        <w:keepLines w:val="0"/>
        <w:widowControl/>
        <w:suppressLineNumbers w:val="0"/>
        <w:spacing w:before="0" w:beforeAutospacing="0" w:after="120" w:afterAutospacing="0"/>
        <w:ind w:left="0" w:firstLine="420"/>
        <w:jc w:val="both"/>
        <w:rPr>
          <w:rFonts w:hint="eastAsia" w:ascii="宋体" w:hAnsi="宋体" w:eastAsia="宋体" w:cs="宋体"/>
          <w:sz w:val="18"/>
          <w:szCs w:val="18"/>
        </w:rPr>
      </w:pPr>
      <w:r>
        <w:rPr>
          <w:rFonts w:hint="eastAsia" w:ascii="宋体" w:hAnsi="宋体" w:eastAsia="宋体" w:cs="宋体"/>
          <w:sz w:val="21"/>
          <w:szCs w:val="21"/>
        </w:rPr>
        <w:t>按税法规定执行。</w:t>
      </w:r>
    </w:p>
    <w:p>
      <w:pPr>
        <w:keepNext/>
        <w:keepLines/>
        <w:spacing w:before="300" w:after="300" w:line="320" w:lineRule="exact"/>
        <w:jc w:val="left"/>
        <w:outlineLvl w:val="1"/>
        <w:rPr>
          <w:rFonts w:ascii="宋体" w:hAnsi="宋体" w:eastAsia="宋体" w:cs="宋体"/>
          <w:b/>
          <w:bCs/>
          <w:sz w:val="24"/>
          <w:szCs w:val="24"/>
        </w:rPr>
      </w:pPr>
      <w:bookmarkStart w:id="109" w:name="_Toc989053"/>
      <w:r>
        <w:rPr>
          <w:rFonts w:ascii="宋体" w:hAnsi="宋体" w:eastAsia="宋体" w:cs="宋体"/>
          <w:b/>
          <w:bCs/>
          <w:sz w:val="24"/>
          <w:szCs w:val="24"/>
        </w:rPr>
        <w:t>七、合并财务报表项目注释</w:t>
      </w:r>
      <w:bookmarkEnd w:id="109"/>
    </w:p>
    <w:p>
      <w:pPr>
        <w:keepNext/>
        <w:keepLines/>
        <w:spacing w:before="300" w:after="300" w:line="280" w:lineRule="exact"/>
        <w:jc w:val="left"/>
        <w:outlineLvl w:val="2"/>
        <w:rPr>
          <w:rFonts w:ascii="宋体" w:hAnsi="宋体" w:eastAsia="宋体" w:cs="宋体"/>
          <w:b/>
          <w:bCs/>
          <w:sz w:val="21"/>
          <w:szCs w:val="21"/>
        </w:rPr>
      </w:pPr>
      <w:bookmarkStart w:id="110" w:name="_Toc989054"/>
      <w:r>
        <w:rPr>
          <w:rFonts w:ascii="宋体" w:hAnsi="宋体" w:eastAsia="宋体" w:cs="宋体"/>
          <w:b/>
          <w:bCs/>
          <w:sz w:val="21"/>
          <w:szCs w:val="21"/>
        </w:rPr>
        <w:t>1、货币资金</w:t>
      </w:r>
      <w:bookmarkEnd w:id="11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77,222.01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179,678.44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560,421,344.03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530,313,237.54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45,651,319.23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19,672,613.48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606,149,885.27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550,165,529.46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因抵押、质押或冻结等对使用有限制的款项总额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45,651,319.23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19,672,613.48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3"/>
        <w:keepNext w:val="0"/>
        <w:keepLines w:val="0"/>
        <w:widowControl/>
        <w:suppressLineNumbers w:val="0"/>
        <w:pBdr>
          <w:left w:val="none" w:color="auto" w:sz="0" w:space="0"/>
        </w:pBdr>
        <w:spacing w:before="100" w:beforeAutospacing="0" w:after="120" w:afterAutospacing="0"/>
        <w:ind w:left="0" w:right="0" w:firstLine="420"/>
        <w:jc w:val="left"/>
        <w:rPr>
          <w:sz w:val="18"/>
          <w:szCs w:val="18"/>
        </w:rPr>
      </w:pPr>
      <w:r>
        <w:rPr>
          <w:rFonts w:hint="eastAsia" w:ascii="宋体" w:hAnsi="宋体" w:eastAsia="宋体" w:cs="宋体"/>
          <w:sz w:val="21"/>
          <w:szCs w:val="21"/>
        </w:rPr>
        <w:t>期末其他货币资金</w:t>
      </w:r>
      <w:r>
        <w:rPr>
          <w:rFonts w:hint="eastAsia" w:ascii="宋体" w:hAnsi="宋体" w:eastAsia="宋体" w:cs="宋体"/>
          <w:color w:val="333333"/>
          <w:sz w:val="21"/>
          <w:szCs w:val="21"/>
          <w:shd w:val="clear" w:fill="FFFFFF"/>
        </w:rPr>
        <w:t>45,651,319.23</w:t>
      </w:r>
      <w:r>
        <w:rPr>
          <w:rFonts w:hint="eastAsia" w:ascii="宋体" w:hAnsi="宋体" w:eastAsia="宋体" w:cs="宋体"/>
          <w:sz w:val="21"/>
          <w:szCs w:val="21"/>
        </w:rPr>
        <w:t>元为银行承兑汇票以及信用证保证金，除此外公司无其他存在抵押、冻结等对变现有限制款项、存放在境外的款项及有潜在回收风险的款项。</w:t>
      </w:r>
    </w:p>
    <w:p>
      <w:pPr>
        <w:keepNext/>
        <w:keepLines/>
        <w:spacing w:before="300" w:after="300" w:line="280" w:lineRule="exact"/>
        <w:jc w:val="left"/>
        <w:outlineLvl w:val="2"/>
        <w:rPr>
          <w:rFonts w:ascii="宋体" w:hAnsi="宋体" w:eastAsia="宋体" w:cs="宋体"/>
          <w:b/>
          <w:bCs/>
          <w:sz w:val="21"/>
          <w:szCs w:val="21"/>
        </w:rPr>
      </w:pPr>
      <w:bookmarkStart w:id="111" w:name="_Toc989055"/>
      <w:r>
        <w:rPr>
          <w:rFonts w:ascii="宋体" w:hAnsi="宋体" w:eastAsia="宋体" w:cs="宋体"/>
          <w:b/>
          <w:bCs/>
          <w:sz w:val="21"/>
          <w:szCs w:val="21"/>
        </w:rPr>
        <w:t>2、交易性金融资产</w:t>
      </w:r>
      <w:bookmarkEnd w:id="11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以公允价值计量且其变动计入当期损益的金融资产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215,983,345.52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其中：理财产品</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215,983,345.52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215,983,345.52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12" w:name="_Toc989056"/>
      <w:r>
        <w:rPr>
          <w:rFonts w:ascii="宋体" w:hAnsi="宋体" w:eastAsia="宋体" w:cs="宋体"/>
          <w:b/>
          <w:bCs/>
          <w:sz w:val="21"/>
          <w:szCs w:val="21"/>
        </w:rPr>
        <w:t>3、应收票据</w:t>
      </w:r>
      <w:bookmarkEnd w:id="112"/>
    </w:p>
    <w:p>
      <w:pPr>
        <w:keepNext/>
        <w:keepLines/>
        <w:spacing w:before="300" w:after="300" w:line="280" w:lineRule="exact"/>
        <w:jc w:val="left"/>
        <w:outlineLvl w:val="3"/>
        <w:rPr>
          <w:rFonts w:ascii="宋体" w:hAnsi="宋体" w:eastAsia="宋体" w:cs="宋体"/>
          <w:b/>
          <w:bCs/>
          <w:sz w:val="21"/>
          <w:szCs w:val="21"/>
        </w:rPr>
      </w:pPr>
      <w:bookmarkStart w:id="113" w:name="_Toc989057"/>
      <w:r>
        <w:rPr>
          <w:rFonts w:ascii="宋体" w:hAnsi="宋体" w:eastAsia="宋体" w:cs="宋体"/>
          <w:b/>
          <w:bCs/>
          <w:sz w:val="21"/>
          <w:szCs w:val="21"/>
        </w:rPr>
        <w:t>（1） 应收票据分类列示</w:t>
      </w:r>
      <w:bookmarkEnd w:id="11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62,138,469.43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72,753,812.91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商业承兑票据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65,192,388.94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86,394,124.33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127,330,858.37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159,147,937.24</w:t>
            </w:r>
          </w:p>
        </w:tc>
      </w:tr>
    </w:tbl>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按单项计提坏账准备的应收票据</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其中：商业承兑汇票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按组合计提坏账准备的应收票据</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131,751,474.49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4,420,616.12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127,330,858.37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164,849,846.96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99.52%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6,501,909.72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158,347,937.24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其中：银行承兑汇票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62,138,469.43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62,138,469.43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72,753,812.91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43.92%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72,753,812.91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商业承兑汇票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69,613,005.06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52.84%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4,420,616.12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65,192,388.94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92,096,034.05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55.60%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6,501,909.72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85,594,124.33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131,751,474.49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4,420,616.12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127,330,858.37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165,649,846.96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6,501,909.72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159,147,937.24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按组合计提坏账准备：4,420,616.12元</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50,813,687.71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2,540,684.39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1-2年（含2年）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18,799,317.35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1,879,931.74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2-3年（含3年）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69,613,005.06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4,420,616.12</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pStyle w:val="3"/>
        <w:keepNext w:val="0"/>
        <w:keepLines w:val="0"/>
        <w:widowControl/>
        <w:suppressLineNumbers w:val="0"/>
        <w:spacing w:before="40" w:beforeAutospacing="0" w:after="40" w:afterAutospacing="0"/>
        <w:ind w:left="0" w:right="0"/>
        <w:jc w:val="left"/>
        <w:rPr>
          <w:rFonts w:hint="default" w:ascii="Times New Roman" w:hAnsi="Times New Roman" w:cs="Times New Roman"/>
          <w:sz w:val="24"/>
          <w:szCs w:val="24"/>
        </w:rPr>
      </w:pPr>
      <w:r>
        <w:rPr>
          <w:rFonts w:hint="eastAsia" w:ascii="宋体" w:hAnsi="宋体" w:eastAsia="宋体" w:cs="宋体"/>
          <w:sz w:val="18"/>
          <w:szCs w:val="18"/>
        </w:rPr>
        <w:t>注：本公司对于期末已背书或贴现且不能终止确认的银行承兑汇票、商业承兑汇票以及在手的信用等级一般及较低的银行承兑汇票、商业承兑汇票，属于“以摊余成本计量的金融资产”，在“应收票据”列报。</w:t>
      </w:r>
    </w:p>
    <w:p>
      <w:pPr>
        <w:pStyle w:val="3"/>
        <w:keepNext w:val="0"/>
        <w:keepLines w:val="0"/>
        <w:widowControl/>
        <w:suppressLineNumbers w:val="0"/>
        <w:spacing w:before="40" w:beforeAutospacing="0" w:after="40" w:afterAutospacing="0"/>
        <w:ind w:left="0" w:right="0"/>
        <w:jc w:val="left"/>
        <w:rPr>
          <w:rFonts w:hint="default" w:ascii="Times New Roman" w:hAnsi="Times New Roman" w:cs="Times New Roman"/>
          <w:sz w:val="24"/>
          <w:szCs w:val="24"/>
        </w:rPr>
      </w:pPr>
      <w:r>
        <w:rPr>
          <w:rFonts w:hint="eastAsia" w:ascii="宋体" w:hAnsi="宋体" w:eastAsia="宋体" w:cs="宋体"/>
          <w:sz w:val="18"/>
          <w:szCs w:val="18"/>
        </w:rPr>
        <w:t>本公司管理层分析并判断所持有的银行承兑汇票到期时间短，不会因银行违约而产生重大损失，不存在信用减值风险，故期末未对银行承兑汇票计提坏账准备，仅对商业承兑汇票计提坏账准备。</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如是按照预期信用损失一般模型计提应收票据坏账准备，请参照其他应收款的披露方式披露坏账准备的相关信息：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114" w:name="_Toc989058"/>
      <w:r>
        <w:rPr>
          <w:rFonts w:ascii="宋体" w:hAnsi="宋体" w:eastAsia="宋体" w:cs="宋体"/>
          <w:b/>
          <w:bCs/>
          <w:sz w:val="21"/>
          <w:szCs w:val="21"/>
        </w:rPr>
        <w:t>（2） 本期计提、收回或转回的坏账准备情况</w:t>
      </w:r>
      <w:bookmarkEnd w:id="114"/>
    </w:p>
    <w:p>
      <w:pPr>
        <w:spacing w:before="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按账龄组合计提坏账准备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6,501,909.72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-2,081,293.60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4,420,616.12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6,501,909.72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-2,081,293.60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4,420,616.12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115" w:name="_Toc989059"/>
      <w:r>
        <w:rPr>
          <w:rFonts w:ascii="宋体" w:hAnsi="宋体" w:eastAsia="宋体" w:cs="宋体"/>
          <w:b/>
          <w:bCs/>
          <w:sz w:val="21"/>
          <w:szCs w:val="21"/>
        </w:rPr>
        <w:t>（3） 期末公司已质押的应收票据</w:t>
      </w:r>
      <w:bookmarkEnd w:id="11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期末已质押金额</w:t>
            </w:r>
          </w:p>
        </w:tc>
      </w:tr>
    </w:tbl>
    <w:p>
      <w:pPr>
        <w:keepNext/>
        <w:keepLines/>
        <w:spacing w:before="300" w:after="300" w:line="280" w:lineRule="exact"/>
        <w:jc w:val="left"/>
        <w:outlineLvl w:val="3"/>
        <w:rPr>
          <w:rFonts w:ascii="宋体" w:hAnsi="宋体" w:eastAsia="宋体" w:cs="宋体"/>
          <w:b/>
          <w:bCs/>
          <w:sz w:val="21"/>
          <w:szCs w:val="21"/>
        </w:rPr>
      </w:pPr>
      <w:bookmarkStart w:id="116" w:name="_Toc989060"/>
      <w:r>
        <w:rPr>
          <w:rFonts w:ascii="宋体" w:hAnsi="宋体" w:eastAsia="宋体" w:cs="宋体"/>
          <w:b/>
          <w:bCs/>
          <w:sz w:val="21"/>
          <w:szCs w:val="21"/>
        </w:rPr>
        <w:t>（4） 期末公司已背书或贴现且在资产负债表日尚未到期的应收票据</w:t>
      </w:r>
      <w:bookmarkEnd w:id="11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期末终止确认金额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期末未终止确认金额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33,884,425.89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商业承兑票据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50,410,067.05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84,294,492.94</w:t>
            </w:r>
          </w:p>
        </w:tc>
      </w:tr>
    </w:tbl>
    <w:p>
      <w:pPr>
        <w:keepNext/>
        <w:keepLines/>
        <w:spacing w:before="300" w:after="300" w:line="280" w:lineRule="exact"/>
        <w:jc w:val="left"/>
        <w:outlineLvl w:val="3"/>
        <w:rPr>
          <w:rFonts w:ascii="宋体" w:hAnsi="宋体" w:eastAsia="宋体" w:cs="宋体"/>
          <w:b/>
          <w:bCs/>
          <w:sz w:val="21"/>
          <w:szCs w:val="21"/>
        </w:rPr>
      </w:pPr>
      <w:bookmarkStart w:id="117" w:name="_Toc989061"/>
      <w:r>
        <w:rPr>
          <w:rFonts w:ascii="宋体" w:hAnsi="宋体" w:eastAsia="宋体" w:cs="宋体"/>
          <w:b/>
          <w:bCs/>
          <w:sz w:val="21"/>
          <w:szCs w:val="21"/>
        </w:rPr>
        <w:t>（5） 期末公司因出票人未履约而将其转应收账款的票据</w:t>
      </w:r>
      <w:bookmarkEnd w:id="11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期末转应收账款金额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3"/>
        <w:keepNext w:val="0"/>
        <w:keepLines w:val="0"/>
        <w:widowControl/>
        <w:suppressLineNumbers w:val="0"/>
      </w:pPr>
      <w:r>
        <w:rPr>
          <w:rFonts w:hint="eastAsia" w:ascii="宋体" w:hAnsi="宋体" w:eastAsia="宋体" w:cs="宋体"/>
          <w:sz w:val="18"/>
          <w:szCs w:val="18"/>
        </w:rPr>
        <w:t>期末公司无因出票人未履约而将其转应收账款的票据</w:t>
      </w:r>
    </w:p>
    <w:p>
      <w:pPr>
        <w:keepNext/>
        <w:keepLines/>
        <w:spacing w:before="300" w:after="300" w:line="280" w:lineRule="exact"/>
        <w:jc w:val="left"/>
        <w:outlineLvl w:val="3"/>
        <w:rPr>
          <w:rFonts w:ascii="宋体" w:hAnsi="宋体" w:eastAsia="宋体" w:cs="宋体"/>
          <w:b/>
          <w:bCs/>
          <w:sz w:val="21"/>
          <w:szCs w:val="21"/>
        </w:rPr>
      </w:pPr>
      <w:bookmarkStart w:id="118" w:name="_Toc989062"/>
      <w:r>
        <w:rPr>
          <w:rFonts w:ascii="宋体" w:hAnsi="宋体" w:eastAsia="宋体" w:cs="宋体"/>
          <w:b/>
          <w:bCs/>
          <w:sz w:val="21"/>
          <w:szCs w:val="21"/>
        </w:rPr>
        <w:t>（6） 本期实际核销的应收票据情况</w:t>
      </w:r>
      <w:bookmarkEnd w:id="11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其中重要的应收票据核销情况：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应收票据性质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应收票据核销说明：</w:t>
      </w:r>
    </w:p>
    <w:p>
      <w:pPr>
        <w:pStyle w:val="3"/>
        <w:keepNext w:val="0"/>
        <w:keepLines w:val="0"/>
        <w:widowControl/>
        <w:suppressLineNumbers w:val="0"/>
      </w:pPr>
      <w:r>
        <w:rPr>
          <w:rFonts w:hint="eastAsia" w:ascii="宋体" w:hAnsi="宋体" w:eastAsia="宋体" w:cs="宋体"/>
          <w:sz w:val="18"/>
          <w:szCs w:val="18"/>
        </w:rPr>
        <w:t>本期无实际核销的应收票据情况</w:t>
      </w:r>
    </w:p>
    <w:p>
      <w:pPr>
        <w:keepNext/>
        <w:keepLines/>
        <w:spacing w:before="300" w:after="300" w:line="280" w:lineRule="exact"/>
        <w:jc w:val="left"/>
        <w:outlineLvl w:val="2"/>
        <w:rPr>
          <w:rFonts w:ascii="宋体" w:hAnsi="宋体" w:eastAsia="宋体" w:cs="宋体"/>
          <w:b/>
          <w:bCs/>
          <w:sz w:val="21"/>
          <w:szCs w:val="21"/>
        </w:rPr>
      </w:pPr>
      <w:bookmarkStart w:id="119" w:name="_Toc989063"/>
      <w:r>
        <w:rPr>
          <w:rFonts w:ascii="宋体" w:hAnsi="宋体" w:eastAsia="宋体" w:cs="宋体"/>
          <w:b/>
          <w:bCs/>
          <w:sz w:val="21"/>
          <w:szCs w:val="21"/>
        </w:rPr>
        <w:t>4、应收账款</w:t>
      </w:r>
      <w:bookmarkEnd w:id="119"/>
    </w:p>
    <w:p>
      <w:pPr>
        <w:keepNext/>
        <w:keepLines/>
        <w:spacing w:before="300" w:after="300" w:line="280" w:lineRule="exact"/>
        <w:jc w:val="left"/>
        <w:outlineLvl w:val="3"/>
        <w:rPr>
          <w:rFonts w:ascii="宋体" w:hAnsi="宋体" w:eastAsia="宋体" w:cs="宋体"/>
          <w:b/>
          <w:bCs/>
          <w:sz w:val="21"/>
          <w:szCs w:val="21"/>
        </w:rPr>
      </w:pPr>
      <w:bookmarkStart w:id="120" w:name="_Toc989064"/>
      <w:r>
        <w:rPr>
          <w:rFonts w:ascii="宋体" w:hAnsi="宋体" w:eastAsia="宋体" w:cs="宋体"/>
          <w:b/>
          <w:bCs/>
          <w:sz w:val="21"/>
          <w:szCs w:val="21"/>
        </w:rPr>
        <w:t>（1） 应收账款分类披露</w:t>
      </w:r>
      <w:bookmarkEnd w:id="12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按单项计提坏账准备的应收账款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50,530,482.62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50,530,482.62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50,546,732.62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27.92%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50,546,732.62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亚洲硅业（青海）有限公司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厦门航空公司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小额难以收回应收账款合计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32,425,920.70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32,425,920.70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35,030,140.62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35,030,140.62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248,778,888.68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83.12%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21,697,782.96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227,081,105.72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130,514,931.03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72.08%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16,863,951.56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113,650,979.47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218,433,086.69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72.98%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10,921,654.32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207,511,432.37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93,986,176.49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4,699,308.82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1至2年（含2年）</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8,413,769.69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841,376.97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7,572,392.72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16,252,167.22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1,625,216.72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2-3年（含3年）</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4,746,846.47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949,369.30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3,797,477.17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4,846,274.75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969,254.95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3-4年（含4年）</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5,806,218.30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1,741,865.49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4,064,352.81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3,294,630.29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991,470.85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4-5年（含5年）</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8,270,901.31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4,135,450.66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4,135,450.65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7,113,964.12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3,556,982.06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3,108,066.22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3,108,066.22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5,021,718.16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5,021,718.16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299,309,371.30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72,228,265.58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227,081,105.72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181,061,663.65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67,410,684.18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113,650,979.47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按单项计提坏账准备：50,530,482.62元</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按单项计提坏账准备：</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按单项计提坏账准备：50,530,482.62元</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亚洲硅业（青海）有限公司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厦门航空公司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小额难以收回应收账款合计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32,425,920.70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32,425,920.70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50,530,482.62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50,530,482.62</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按组合计提坏账准备：21,697,782.96元</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218,433,086.69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10,921,654.32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1至2年（含2年）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8,413,769.69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841,376.97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2-3年（含3年）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4,746,846.47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949,369.30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3-4年（含4年）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5,806,218.30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1,741,865.49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4-5年（含5年）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8,270,901.31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4,135,450.66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3,108,066.22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3,108,066.22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248,778,888.68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21,697,782.96</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如是按照预期信用损失一般模型计提应收账款坏账准备，请参照其他应收款的披露方式披露坏账准备的相关信息：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218,433,086.69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8,913,185.69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4,948,446.47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67,014,652.45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3至4年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7,334,188.94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8,270,901.31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5年以上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51,409,562.20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299,309,371.30</w:t>
            </w:r>
          </w:p>
        </w:tc>
      </w:tr>
    </w:tbl>
    <w:p>
      <w:pPr>
        <w:keepNext/>
        <w:keepLines/>
        <w:spacing w:before="300" w:after="300" w:line="280" w:lineRule="exact"/>
        <w:jc w:val="left"/>
        <w:outlineLvl w:val="3"/>
        <w:rPr>
          <w:rFonts w:ascii="宋体" w:hAnsi="宋体" w:eastAsia="宋体" w:cs="宋体"/>
          <w:b/>
          <w:bCs/>
          <w:sz w:val="21"/>
          <w:szCs w:val="21"/>
        </w:rPr>
      </w:pPr>
      <w:bookmarkStart w:id="121" w:name="_Toc989065"/>
      <w:r>
        <w:rPr>
          <w:rFonts w:ascii="宋体" w:hAnsi="宋体" w:eastAsia="宋体" w:cs="宋体"/>
          <w:b/>
          <w:bCs/>
          <w:sz w:val="21"/>
          <w:szCs w:val="21"/>
        </w:rPr>
        <w:t>（2） 本期计提、收回或转回的坏账准备情况</w:t>
      </w:r>
      <w:bookmarkEnd w:id="121"/>
    </w:p>
    <w:p>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50,546,732.62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16,250.00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50,530,482.62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按账龄组合计提坏账准备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16,863,951.56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4,833,831.40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21,697,782.96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67,410,684.18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4,833,831.40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16,250.00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72,228,265.58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spacing w:before="100" w:after="100" w:line="0" w:lineRule="exact"/>
        <w:jc w:val="left"/>
      </w:pPr>
    </w:p>
    <w:p>
      <w:pPr>
        <w:keepNext/>
        <w:keepLines/>
        <w:spacing w:before="300" w:after="300" w:line="280" w:lineRule="exact"/>
        <w:jc w:val="left"/>
        <w:outlineLvl w:val="3"/>
        <w:rPr>
          <w:rFonts w:ascii="宋体" w:hAnsi="宋体" w:eastAsia="宋体" w:cs="宋体"/>
          <w:b/>
          <w:bCs/>
          <w:sz w:val="21"/>
          <w:szCs w:val="21"/>
        </w:rPr>
      </w:pPr>
      <w:bookmarkStart w:id="122" w:name="_Toc989066"/>
      <w:r>
        <w:rPr>
          <w:rFonts w:ascii="宋体" w:hAnsi="宋体" w:eastAsia="宋体" w:cs="宋体"/>
          <w:b/>
          <w:bCs/>
          <w:sz w:val="21"/>
          <w:szCs w:val="21"/>
        </w:rPr>
        <w:t>（3） 本期实际核销的应收账款情况</w:t>
      </w:r>
      <w:bookmarkEnd w:id="12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其中重要的应收账款核销情况：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应收账款核销说明：</w:t>
      </w:r>
    </w:p>
    <w:p>
      <w:pPr>
        <w:pStyle w:val="3"/>
        <w:keepNext w:val="0"/>
        <w:keepLines w:val="0"/>
        <w:widowControl/>
        <w:suppressLineNumbers w:val="0"/>
        <w:spacing w:before="300" w:beforeAutospacing="0" w:after="300" w:afterAutospacing="0" w:line="240" w:lineRule="auto"/>
        <w:ind w:left="0" w:right="0"/>
        <w:jc w:val="both"/>
        <w:rPr>
          <w:rFonts w:hint="default" w:ascii="Times New Roman" w:hAnsi="Times New Roman" w:cs="Times New Roman"/>
          <w:sz w:val="18"/>
          <w:szCs w:val="18"/>
        </w:rPr>
      </w:pPr>
      <w:bookmarkStart w:id="123" w:name="_Toc989067"/>
      <w:r>
        <w:rPr>
          <w:rFonts w:ascii="宋体" w:hAnsi="宋体" w:eastAsia="宋体" w:cs="宋体"/>
          <w:b/>
          <w:bCs/>
          <w:sz w:val="21"/>
          <w:szCs w:val="21"/>
        </w:rPr>
        <w:t>（4） 按欠款方归集的期末余额前五名的应收账款情况</w:t>
      </w:r>
      <w:bookmarkEnd w:id="123"/>
      <w:r>
        <w:rPr>
          <w:rFonts w:hint="default" w:ascii="Times New Roman" w:hAnsi="Times New Roman" w:eastAsia="宋体" w:cs="Times New Roman"/>
          <w:sz w:val="18"/>
          <w:szCs w:val="18"/>
        </w:rPr>
        <w:t> </w:t>
      </w:r>
    </w:p>
    <w:p>
      <w:pPr>
        <w:pStyle w:val="3"/>
        <w:keepNext w:val="0"/>
        <w:keepLines w:val="0"/>
        <w:widowControl/>
        <w:suppressLineNumbers w:val="0"/>
        <w:spacing w:before="0" w:beforeAutospacing="0" w:after="120" w:afterAutospacing="0"/>
        <w:ind w:left="0" w:right="0" w:firstLine="420"/>
        <w:jc w:val="left"/>
        <w:rPr>
          <w:rFonts w:hint="default" w:ascii="Times New Roman" w:hAnsi="Times New Roman" w:cs="Times New Roman"/>
          <w:sz w:val="18"/>
          <w:szCs w:val="18"/>
        </w:rPr>
      </w:pPr>
      <w:r>
        <w:rPr>
          <w:rFonts w:hint="default" w:ascii="Times New Roman" w:hAnsi="Times New Roman" w:eastAsia="宋体" w:cs="Times New Roman"/>
          <w:sz w:val="18"/>
          <w:szCs w:val="18"/>
        </w:rPr>
        <w:t>期末应收账款余额前五名合计111,076,306.54元，占应收账款余额的比例为37.11%，计提坏账准备金额10,188,016.83元。</w:t>
      </w:r>
    </w:p>
    <w:p>
      <w:pPr>
        <w:keepNext/>
        <w:keepLines/>
        <w:spacing w:before="300" w:after="300" w:line="280" w:lineRule="exact"/>
        <w:jc w:val="left"/>
        <w:outlineLvl w:val="3"/>
        <w:rPr>
          <w:rFonts w:ascii="宋体" w:hAnsi="宋体" w:eastAsia="宋体" w:cs="宋体"/>
          <w:b/>
          <w:bCs/>
          <w:sz w:val="21"/>
          <w:szCs w:val="21"/>
        </w:rPr>
      </w:pPr>
      <w:bookmarkStart w:id="124" w:name="_Toc989069"/>
      <w:r>
        <w:rPr>
          <w:rFonts w:ascii="宋体" w:hAnsi="宋体" w:eastAsia="宋体" w:cs="宋体"/>
          <w:b/>
          <w:bCs/>
          <w:sz w:val="21"/>
          <w:szCs w:val="21"/>
        </w:rPr>
        <w:t>（</w:t>
      </w:r>
      <w:r>
        <w:rPr>
          <w:rFonts w:hint="eastAsia" w:ascii="宋体" w:hAnsi="宋体" w:cs="宋体"/>
          <w:b/>
          <w:bCs/>
          <w:sz w:val="21"/>
          <w:szCs w:val="21"/>
          <w:lang w:val="en-US" w:eastAsia="zh-CN"/>
        </w:rPr>
        <w:t>5</w:t>
      </w:r>
      <w:r>
        <w:rPr>
          <w:rFonts w:ascii="宋体" w:hAnsi="宋体" w:eastAsia="宋体" w:cs="宋体"/>
          <w:b/>
          <w:bCs/>
          <w:sz w:val="21"/>
          <w:szCs w:val="21"/>
        </w:rPr>
        <w:t>） 转移应收账款且继续涉入形成的资产、负债金额</w:t>
      </w:r>
      <w:bookmarkEnd w:id="124"/>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25" w:name="_Toc989070"/>
      <w:r>
        <w:rPr>
          <w:rFonts w:ascii="宋体" w:hAnsi="宋体" w:eastAsia="宋体" w:cs="宋体"/>
          <w:b/>
          <w:bCs/>
          <w:sz w:val="21"/>
          <w:szCs w:val="21"/>
        </w:rPr>
        <w:t>5、应收款项融资</w:t>
      </w:r>
      <w:bookmarkEnd w:id="12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28,813,984.37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22,075,670.99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28,813,984.37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22,075,670.99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应收款项融资本期增减变动及公允价值变动情况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如是按照预期信用损失一般模型计提应收款项融资减值准备，请参照其他应收款的披露方式披露减值准备的相关信息：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pStyle w:val="3"/>
        <w:keepNext w:val="0"/>
        <w:keepLines w:val="0"/>
        <w:widowControl/>
        <w:suppressLineNumbers w:val="0"/>
        <w:spacing w:before="100" w:beforeAutospacing="0" w:after="156" w:afterAutospacing="0"/>
        <w:ind w:left="0" w:right="0" w:firstLine="420"/>
        <w:jc w:val="both"/>
        <w:rPr>
          <w:rFonts w:hint="default" w:ascii="Times New Roman" w:hAnsi="Times New Roman" w:cs="Times New Roman"/>
          <w:sz w:val="18"/>
          <w:szCs w:val="18"/>
        </w:rPr>
      </w:pPr>
      <w:r>
        <w:rPr>
          <w:rFonts w:hint="eastAsia" w:ascii="宋体" w:hAnsi="宋体" w:eastAsia="宋体" w:cs="宋体"/>
          <w:sz w:val="21"/>
          <w:szCs w:val="21"/>
        </w:rPr>
        <w:t>（2）期末无质押的应收票据。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26" w:name="_Toc989071"/>
      <w:r>
        <w:rPr>
          <w:rFonts w:ascii="宋体" w:hAnsi="宋体" w:eastAsia="宋体" w:cs="宋体"/>
          <w:b/>
          <w:bCs/>
          <w:sz w:val="21"/>
          <w:szCs w:val="21"/>
        </w:rPr>
        <w:t>6、预付款项</w:t>
      </w:r>
      <w:bookmarkEnd w:id="126"/>
    </w:p>
    <w:p>
      <w:pPr>
        <w:keepNext/>
        <w:keepLines/>
        <w:spacing w:before="300" w:after="300" w:line="280" w:lineRule="exact"/>
        <w:jc w:val="left"/>
        <w:outlineLvl w:val="3"/>
        <w:rPr>
          <w:rFonts w:ascii="宋体" w:hAnsi="宋体" w:eastAsia="宋体" w:cs="宋体"/>
          <w:b/>
          <w:bCs/>
          <w:sz w:val="21"/>
          <w:szCs w:val="21"/>
        </w:rPr>
      </w:pPr>
      <w:bookmarkStart w:id="127" w:name="_Toc989072"/>
      <w:r>
        <w:rPr>
          <w:rFonts w:ascii="宋体" w:hAnsi="宋体" w:eastAsia="宋体" w:cs="宋体"/>
          <w:b/>
          <w:bCs/>
          <w:sz w:val="21"/>
          <w:szCs w:val="21"/>
        </w:rPr>
        <w:t>（1） 预付款项按账龄列示</w:t>
      </w:r>
      <w:bookmarkEnd w:id="12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13,169,430.53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97.84%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5,296,731.28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184,840.72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140,502.00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49,561.02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90,957.51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56,238.55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59,288.54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13,460,070.82</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5,587,479.33</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账龄超过1年且金额重要的预付款项未及时结算原因的说明：</w:t>
      </w:r>
    </w:p>
    <w:p>
      <w:pPr>
        <w:pStyle w:val="3"/>
        <w:keepNext w:val="0"/>
        <w:keepLines w:val="0"/>
        <w:widowControl/>
        <w:suppressLineNumbers w:val="0"/>
        <w:spacing w:before="0" w:beforeAutospacing="0" w:after="0" w:afterAutospacing="0"/>
        <w:ind w:left="0" w:right="0"/>
        <w:jc w:val="left"/>
        <w:rPr>
          <w:rFonts w:hint="default" w:ascii="Times New Roman" w:hAnsi="Times New Roman" w:cs="Times New Roman"/>
          <w:sz w:val="18"/>
          <w:szCs w:val="18"/>
        </w:rPr>
      </w:pPr>
      <w:r>
        <w:rPr>
          <w:rFonts w:hint="eastAsia" w:ascii="宋体" w:hAnsi="宋体" w:eastAsia="宋体" w:cs="宋体"/>
          <w:sz w:val="21"/>
          <w:szCs w:val="21"/>
        </w:rPr>
        <w:t>期末余额中无账龄超过</w:t>
      </w:r>
      <w:r>
        <w:rPr>
          <w:rFonts w:hint="default" w:ascii="Times New Roman" w:hAnsi="Times New Roman" w:eastAsia="宋体" w:cs="Times New Roman"/>
          <w:sz w:val="21"/>
          <w:szCs w:val="21"/>
        </w:rPr>
        <w:t>1</w:t>
      </w:r>
      <w:r>
        <w:rPr>
          <w:rFonts w:hint="eastAsia" w:ascii="宋体" w:hAnsi="宋体" w:eastAsia="宋体" w:cs="宋体"/>
          <w:sz w:val="21"/>
          <w:szCs w:val="21"/>
        </w:rPr>
        <w:t>年且金额重要的预付款项。</w:t>
      </w:r>
    </w:p>
    <w:p>
      <w:pPr>
        <w:keepNext/>
        <w:keepLines/>
        <w:spacing w:before="300" w:after="300" w:line="280" w:lineRule="exact"/>
        <w:jc w:val="left"/>
        <w:outlineLvl w:val="3"/>
        <w:rPr>
          <w:rFonts w:ascii="宋体" w:hAnsi="宋体" w:eastAsia="宋体" w:cs="宋体"/>
          <w:b/>
          <w:bCs/>
          <w:sz w:val="21"/>
          <w:szCs w:val="21"/>
        </w:rPr>
      </w:pPr>
      <w:bookmarkStart w:id="128" w:name="_Toc989073"/>
      <w:r>
        <w:rPr>
          <w:rFonts w:ascii="宋体" w:hAnsi="宋体" w:eastAsia="宋体" w:cs="宋体"/>
          <w:b/>
          <w:bCs/>
          <w:sz w:val="21"/>
          <w:szCs w:val="21"/>
        </w:rPr>
        <w:t>（2） 按预付对象归集的期末余额前五名的预付款情况</w:t>
      </w:r>
      <w:bookmarkEnd w:id="128"/>
    </w:p>
    <w:p>
      <w:pPr>
        <w:pStyle w:val="3"/>
        <w:keepNext w:val="0"/>
        <w:keepLines w:val="0"/>
        <w:widowControl/>
        <w:suppressLineNumbers w:val="0"/>
        <w:spacing w:before="0" w:beforeAutospacing="0" w:after="120" w:afterAutospacing="0"/>
        <w:ind w:left="0" w:right="0" w:firstLine="420"/>
        <w:jc w:val="left"/>
        <w:rPr>
          <w:rFonts w:hint="default" w:ascii="Times New Roman" w:hAnsi="Times New Roman" w:cs="Times New Roman"/>
          <w:sz w:val="18"/>
          <w:szCs w:val="18"/>
        </w:rPr>
      </w:pPr>
      <w:r>
        <w:rPr>
          <w:rFonts w:hint="eastAsia" w:ascii="宋体" w:hAnsi="宋体" w:eastAsia="宋体" w:cs="宋体"/>
          <w:sz w:val="21"/>
          <w:szCs w:val="21"/>
        </w:rPr>
        <w:t>期末预付款项前五名金额合计</w:t>
      </w:r>
      <w:r>
        <w:rPr>
          <w:rFonts w:hint="default" w:ascii="Times New Roman" w:hAnsi="Times New Roman" w:eastAsia="宋体" w:cs="Times New Roman"/>
          <w:sz w:val="21"/>
          <w:szCs w:val="21"/>
        </w:rPr>
        <w:t xml:space="preserve"> 9,028,588.56</w:t>
      </w:r>
      <w:r>
        <w:rPr>
          <w:rFonts w:hint="eastAsia" w:ascii="宋体" w:hAnsi="宋体" w:eastAsia="宋体" w:cs="宋体"/>
          <w:sz w:val="21"/>
          <w:szCs w:val="21"/>
        </w:rPr>
        <w:t>元，占期末预付款项总额比例为 67.08</w:t>
      </w:r>
      <w:r>
        <w:rPr>
          <w:rFonts w:hint="default" w:ascii="Times New Roman" w:hAnsi="Times New Roman" w:eastAsia="宋体" w:cs="Times New Roman"/>
          <w:sz w:val="21"/>
          <w:szCs w:val="21"/>
        </w:rPr>
        <w:t>%</w:t>
      </w:r>
      <w:r>
        <w:rPr>
          <w:rFonts w:hint="eastAsia" w:ascii="宋体" w:hAnsi="宋体" w:eastAsia="宋体" w:cs="宋体"/>
          <w:sz w:val="21"/>
          <w:szCs w:val="21"/>
        </w:rPr>
        <w:t>。</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29" w:name="_Toc989074"/>
      <w:r>
        <w:rPr>
          <w:rFonts w:ascii="宋体" w:hAnsi="宋体" w:eastAsia="宋体" w:cs="宋体"/>
          <w:b/>
          <w:bCs/>
          <w:sz w:val="21"/>
          <w:szCs w:val="21"/>
        </w:rPr>
        <w:t>7、其他应收款</w:t>
      </w:r>
      <w:bookmarkEnd w:id="12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2,633,752.02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1,474,698.95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2,633,752.02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1,474,698.95</w:t>
            </w:r>
          </w:p>
        </w:tc>
      </w:tr>
    </w:tbl>
    <w:p>
      <w:pPr>
        <w:keepNext/>
        <w:keepLines/>
        <w:spacing w:before="300" w:after="300" w:line="280" w:lineRule="exact"/>
        <w:jc w:val="left"/>
        <w:outlineLvl w:val="3"/>
        <w:rPr>
          <w:rFonts w:ascii="宋体" w:hAnsi="宋体" w:eastAsia="宋体" w:cs="宋体"/>
          <w:b/>
          <w:bCs/>
          <w:sz w:val="21"/>
          <w:szCs w:val="21"/>
        </w:rPr>
      </w:pPr>
      <w:bookmarkStart w:id="130" w:name="_Toc989075"/>
      <w:r>
        <w:rPr>
          <w:rFonts w:ascii="宋体" w:hAnsi="宋体" w:eastAsia="宋体" w:cs="宋体"/>
          <w:b/>
          <w:bCs/>
          <w:sz w:val="21"/>
          <w:szCs w:val="21"/>
        </w:rPr>
        <w:t>（1） 其他应收款</w:t>
      </w:r>
      <w:bookmarkEnd w:id="130"/>
    </w:p>
    <w:p>
      <w:pPr>
        <w:keepNext/>
        <w:keepLines/>
        <w:spacing w:before="300" w:after="300" w:line="280" w:lineRule="exact"/>
        <w:jc w:val="left"/>
        <w:outlineLvl w:val="4"/>
        <w:rPr>
          <w:rFonts w:ascii="宋体" w:hAnsi="宋体" w:eastAsia="宋体" w:cs="宋体"/>
          <w:b/>
          <w:bCs/>
          <w:sz w:val="21"/>
          <w:szCs w:val="21"/>
        </w:rPr>
      </w:pPr>
      <w:bookmarkStart w:id="131" w:name="_Toc989076"/>
      <w:r>
        <w:rPr>
          <w:rFonts w:ascii="宋体" w:hAnsi="宋体" w:eastAsia="宋体" w:cs="宋体"/>
          <w:b/>
          <w:bCs/>
          <w:sz w:val="21"/>
          <w:szCs w:val="21"/>
        </w:rPr>
        <w:t>1） 其他应收款按款项性质分类情况</w:t>
      </w:r>
      <w:bookmarkEnd w:id="13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3,179,344.45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3,204,304.21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410,398.30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473,625.86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备用金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1,692,535.85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376,645.34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5,282,278.60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4,054,575.41</w:t>
            </w:r>
          </w:p>
        </w:tc>
      </w:tr>
    </w:tbl>
    <w:p>
      <w:pPr>
        <w:keepNext/>
        <w:keepLines/>
        <w:spacing w:before="300" w:after="300" w:line="280" w:lineRule="exact"/>
        <w:jc w:val="left"/>
        <w:outlineLvl w:val="4"/>
        <w:rPr>
          <w:rFonts w:ascii="宋体" w:hAnsi="宋体" w:eastAsia="宋体" w:cs="宋体"/>
          <w:b/>
          <w:bCs/>
          <w:sz w:val="21"/>
          <w:szCs w:val="21"/>
        </w:rPr>
      </w:pPr>
      <w:bookmarkStart w:id="132" w:name="_Toc989077"/>
      <w:r>
        <w:rPr>
          <w:rFonts w:ascii="宋体" w:hAnsi="宋体" w:eastAsia="宋体" w:cs="宋体"/>
          <w:b/>
          <w:bCs/>
          <w:sz w:val="21"/>
          <w:szCs w:val="21"/>
        </w:rPr>
        <w:t>2） 坏账准备计提情况</w:t>
      </w:r>
      <w:bookmarkEnd w:id="13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135,805.47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2,444,070.99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2,579,876.46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68,650.12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68,650.12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2022年6月30日余额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204,455.59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2,444,070.99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2,648,526.58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2,682,205.40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60,457.90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2,539,615.30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3至4年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10,955.56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5年以上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2,491,849.74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5,282,278.60</w:t>
            </w:r>
          </w:p>
        </w:tc>
      </w:tr>
    </w:tbl>
    <w:p>
      <w:pPr>
        <w:keepNext/>
        <w:keepLines/>
        <w:spacing w:before="300" w:after="300" w:line="280" w:lineRule="exact"/>
        <w:jc w:val="left"/>
        <w:outlineLvl w:val="4"/>
        <w:rPr>
          <w:rFonts w:ascii="宋体" w:hAnsi="宋体" w:eastAsia="宋体" w:cs="宋体"/>
          <w:b/>
          <w:bCs/>
          <w:sz w:val="21"/>
          <w:szCs w:val="21"/>
        </w:rPr>
      </w:pPr>
      <w:bookmarkStart w:id="133" w:name="_Toc989078"/>
      <w:r>
        <w:rPr>
          <w:rFonts w:ascii="宋体" w:hAnsi="宋体" w:eastAsia="宋体" w:cs="宋体"/>
          <w:b/>
          <w:bCs/>
          <w:sz w:val="21"/>
          <w:szCs w:val="21"/>
        </w:rPr>
        <w:t>3） 本期计提、收回或转回的坏账准备情况</w:t>
      </w:r>
      <w:bookmarkEnd w:id="133"/>
    </w:p>
    <w:p>
      <w:pPr>
        <w:spacing w:before="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1,127,534.59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1,127,534.59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按账龄组合计提坏账准备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1,452,341.87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68,650.12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1,520,991.99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2,579,876.46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68,650.12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2,648,526.58</w:t>
            </w:r>
          </w:p>
        </w:tc>
      </w:tr>
    </w:tbl>
    <w:p>
      <w:pPr>
        <w:spacing w:before="100" w:after="100" w:line="0" w:lineRule="exact"/>
        <w:jc w:val="left"/>
      </w:pP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其中本期坏账准备转回或收回金额重要的：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转回或收回金额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spacing w:before="100" w:after="100" w:line="0" w:lineRule="exact"/>
        <w:jc w:val="left"/>
      </w:pPr>
    </w:p>
    <w:p>
      <w:pPr>
        <w:keepNext/>
        <w:keepLines/>
        <w:spacing w:before="300" w:after="300" w:line="280" w:lineRule="exact"/>
        <w:jc w:val="left"/>
        <w:outlineLvl w:val="4"/>
        <w:rPr>
          <w:rFonts w:ascii="宋体" w:hAnsi="宋体" w:eastAsia="宋体" w:cs="宋体"/>
          <w:b/>
          <w:bCs/>
          <w:sz w:val="21"/>
          <w:szCs w:val="21"/>
        </w:rPr>
      </w:pPr>
      <w:bookmarkStart w:id="134" w:name="_Toc989079"/>
      <w:r>
        <w:rPr>
          <w:rFonts w:ascii="宋体" w:hAnsi="宋体" w:eastAsia="宋体" w:cs="宋体"/>
          <w:b/>
          <w:bCs/>
          <w:sz w:val="21"/>
          <w:szCs w:val="21"/>
        </w:rPr>
        <w:t>4） 本期实际核销的其他应收款情况</w:t>
      </w:r>
      <w:bookmarkEnd w:id="13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其中重要的其他应收款核销情况：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其他应收款核销说明：</w:t>
      </w:r>
    </w:p>
    <w:p>
      <w:pPr>
        <w:keepNext/>
        <w:keepLines/>
        <w:spacing w:before="300" w:after="300" w:line="280" w:lineRule="exact"/>
        <w:jc w:val="left"/>
        <w:outlineLvl w:val="4"/>
        <w:rPr>
          <w:rFonts w:ascii="宋体" w:hAnsi="宋体" w:eastAsia="宋体" w:cs="宋体"/>
          <w:b/>
          <w:bCs/>
          <w:sz w:val="21"/>
          <w:szCs w:val="21"/>
        </w:rPr>
      </w:pPr>
      <w:bookmarkStart w:id="135" w:name="_Toc989080"/>
      <w:r>
        <w:rPr>
          <w:rFonts w:ascii="宋体" w:hAnsi="宋体" w:eastAsia="宋体" w:cs="宋体"/>
          <w:b/>
          <w:bCs/>
          <w:sz w:val="21"/>
          <w:szCs w:val="21"/>
        </w:rPr>
        <w:t>5） 按欠款方归集的期末余额前五名的其他应收款情况</w:t>
      </w:r>
      <w:bookmarkEnd w:id="13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上海雍丰国际贸易有限公司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长沙怡和有色新金属有限公司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473,536.40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473,536.40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赣州市南康区康飞矿业有限公司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469,380.52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23,469.03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宝鸡市天河钛业有限公司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448,534.00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448,534.00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邹颐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备用金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344,915.90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17,245.80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2,579,366.82</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97.94%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1,805,785.23</w:t>
            </w:r>
          </w:p>
        </w:tc>
      </w:tr>
    </w:tbl>
    <w:p>
      <w:pPr>
        <w:keepNext/>
        <w:keepLines/>
        <w:spacing w:before="300" w:after="300" w:line="280" w:lineRule="exact"/>
        <w:jc w:val="left"/>
        <w:outlineLvl w:val="4"/>
        <w:rPr>
          <w:rFonts w:ascii="宋体" w:hAnsi="宋体" w:eastAsia="宋体" w:cs="宋体"/>
          <w:b/>
          <w:bCs/>
          <w:sz w:val="21"/>
          <w:szCs w:val="21"/>
        </w:rPr>
      </w:pPr>
      <w:bookmarkStart w:id="136" w:name="_Toc989081"/>
      <w:r>
        <w:rPr>
          <w:rFonts w:ascii="宋体" w:hAnsi="宋体" w:eastAsia="宋体" w:cs="宋体"/>
          <w:b/>
          <w:bCs/>
          <w:sz w:val="21"/>
          <w:szCs w:val="21"/>
        </w:rPr>
        <w:t>6） 涉及政府补助的应收款项</w:t>
      </w:r>
      <w:bookmarkEnd w:id="13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政府补助项目名称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预计收取的时间、金额及依据</w:t>
            </w:r>
          </w:p>
        </w:tc>
      </w:tr>
    </w:tbl>
    <w:p>
      <w:pPr>
        <w:pStyle w:val="3"/>
        <w:keepNext w:val="0"/>
        <w:keepLines w:val="0"/>
        <w:widowControl/>
        <w:suppressLineNumbers w:val="0"/>
        <w:spacing w:before="100" w:beforeAutospacing="0" w:after="120" w:afterAutospacing="0"/>
        <w:ind w:left="0" w:right="0" w:firstLine="420"/>
        <w:jc w:val="left"/>
        <w:rPr>
          <w:rFonts w:hint="default" w:ascii="Times New Roman" w:hAnsi="Times New Roman" w:cs="Times New Roman"/>
          <w:sz w:val="18"/>
          <w:szCs w:val="18"/>
        </w:rPr>
      </w:pPr>
      <w:r>
        <w:rPr>
          <w:rFonts w:hint="eastAsia" w:ascii="宋体" w:hAnsi="宋体" w:eastAsia="宋体" w:cs="宋体"/>
          <w:sz w:val="21"/>
          <w:szCs w:val="21"/>
        </w:rPr>
        <w:t>期末余额中无应收政府补助款。</w:t>
      </w:r>
    </w:p>
    <w:p>
      <w:pPr>
        <w:keepNext/>
        <w:keepLines/>
        <w:spacing w:before="300" w:after="300" w:line="280" w:lineRule="exact"/>
        <w:jc w:val="left"/>
        <w:outlineLvl w:val="4"/>
        <w:rPr>
          <w:rFonts w:ascii="宋体" w:hAnsi="宋体" w:eastAsia="宋体" w:cs="宋体"/>
          <w:b/>
          <w:bCs/>
          <w:sz w:val="21"/>
          <w:szCs w:val="21"/>
        </w:rPr>
      </w:pPr>
      <w:bookmarkStart w:id="137" w:name="_Toc989082"/>
      <w:r>
        <w:rPr>
          <w:rFonts w:ascii="宋体" w:hAnsi="宋体" w:eastAsia="宋体" w:cs="宋体"/>
          <w:b/>
          <w:bCs/>
          <w:sz w:val="21"/>
          <w:szCs w:val="21"/>
        </w:rPr>
        <w:t>7） 因金融资产转移而终止确认的其他应收款</w:t>
      </w:r>
      <w:bookmarkEnd w:id="137"/>
    </w:p>
    <w:p>
      <w:pPr>
        <w:pStyle w:val="3"/>
        <w:keepNext w:val="0"/>
        <w:keepLines w:val="0"/>
        <w:widowControl/>
        <w:suppressLineNumbers w:val="0"/>
        <w:spacing w:before="0" w:beforeAutospacing="0" w:after="120" w:afterAutospacing="0"/>
        <w:ind w:left="0" w:right="0" w:firstLine="420"/>
        <w:jc w:val="left"/>
        <w:rPr>
          <w:rFonts w:hint="default" w:ascii="Times New Roman" w:hAnsi="Times New Roman" w:cs="Times New Roman"/>
          <w:sz w:val="18"/>
          <w:szCs w:val="18"/>
        </w:rPr>
      </w:pPr>
      <w:r>
        <w:rPr>
          <w:rFonts w:hint="eastAsia" w:ascii="宋体" w:hAnsi="宋体" w:eastAsia="宋体" w:cs="宋体"/>
          <w:sz w:val="21"/>
          <w:szCs w:val="21"/>
        </w:rPr>
        <w:t>本期无因金融资产转移而终止确认的其他应收款。</w:t>
      </w:r>
    </w:p>
    <w:p>
      <w:pPr>
        <w:keepNext/>
        <w:keepLines/>
        <w:spacing w:before="300" w:after="300" w:line="280" w:lineRule="exact"/>
        <w:jc w:val="left"/>
        <w:outlineLvl w:val="4"/>
        <w:rPr>
          <w:rFonts w:ascii="宋体" w:hAnsi="宋体" w:eastAsia="宋体" w:cs="宋体"/>
          <w:b/>
          <w:bCs/>
          <w:sz w:val="21"/>
          <w:szCs w:val="21"/>
        </w:rPr>
      </w:pPr>
      <w:bookmarkStart w:id="138" w:name="_Toc989083"/>
      <w:r>
        <w:rPr>
          <w:rFonts w:ascii="宋体" w:hAnsi="宋体" w:eastAsia="宋体" w:cs="宋体"/>
          <w:b/>
          <w:bCs/>
          <w:sz w:val="21"/>
          <w:szCs w:val="21"/>
        </w:rPr>
        <w:t>8） 转移其他应收款且继续涉入形成的资产、负债金额</w:t>
      </w:r>
      <w:bookmarkEnd w:id="138"/>
    </w:p>
    <w:p>
      <w:pPr>
        <w:pStyle w:val="3"/>
        <w:keepNext w:val="0"/>
        <w:keepLines w:val="0"/>
        <w:widowControl/>
        <w:suppressLineNumbers w:val="0"/>
        <w:spacing w:before="0" w:beforeAutospacing="0" w:after="0" w:afterAutospacing="0"/>
        <w:ind w:left="0" w:right="0" w:firstLine="420"/>
        <w:jc w:val="left"/>
        <w:rPr>
          <w:rFonts w:hint="default" w:ascii="Times New Roman" w:hAnsi="Times New Roman" w:cs="Times New Roman"/>
          <w:sz w:val="18"/>
          <w:szCs w:val="18"/>
        </w:rPr>
      </w:pPr>
      <w:r>
        <w:rPr>
          <w:rFonts w:hint="eastAsia" w:ascii="宋体" w:hAnsi="宋体" w:eastAsia="宋体" w:cs="宋体"/>
          <w:sz w:val="21"/>
          <w:szCs w:val="21"/>
        </w:rPr>
        <w:t>期末无转移其他应收款而继续涉入形成的资产、负债。</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39" w:name="_Toc989084"/>
      <w:r>
        <w:rPr>
          <w:rFonts w:ascii="宋体" w:hAnsi="宋体" w:eastAsia="宋体" w:cs="宋体"/>
          <w:b/>
          <w:bCs/>
          <w:sz w:val="21"/>
          <w:szCs w:val="21"/>
        </w:rPr>
        <w:t>8、存货</w:t>
      </w:r>
      <w:bookmarkEnd w:id="139"/>
    </w:p>
    <w:p>
      <w:pPr>
        <w:spacing w:before="0" w:after="0" w:line="240" w:lineRule="exact"/>
        <w:jc w:val="left"/>
        <w:rPr>
          <w:rFonts w:ascii="宋体" w:hAnsi="宋体" w:eastAsia="宋体" w:cs="宋体"/>
          <w:sz w:val="18"/>
          <w:szCs w:val="18"/>
        </w:rPr>
      </w:pPr>
      <w:r>
        <w:rPr>
          <w:rFonts w:ascii="宋体" w:hAnsi="宋体" w:eastAsia="宋体" w:cs="宋体"/>
          <w:sz w:val="18"/>
          <w:szCs w:val="18"/>
        </w:rPr>
        <w:t>公司是否需要遵守房地产行业的披露要求</w:t>
      </w:r>
    </w:p>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p>
      <w:pPr>
        <w:keepNext/>
        <w:keepLines/>
        <w:spacing w:before="300" w:after="300" w:line="280" w:lineRule="exact"/>
        <w:jc w:val="left"/>
        <w:outlineLvl w:val="3"/>
        <w:rPr>
          <w:rFonts w:ascii="宋体" w:hAnsi="宋体" w:eastAsia="宋体" w:cs="宋体"/>
          <w:b/>
          <w:bCs/>
          <w:sz w:val="21"/>
          <w:szCs w:val="21"/>
        </w:rPr>
      </w:pPr>
      <w:bookmarkStart w:id="140" w:name="_Toc989085"/>
      <w:r>
        <w:rPr>
          <w:rFonts w:ascii="宋体" w:hAnsi="宋体" w:eastAsia="宋体" w:cs="宋体"/>
          <w:b/>
          <w:bCs/>
          <w:sz w:val="21"/>
          <w:szCs w:val="21"/>
        </w:rPr>
        <w:t>（1） 存货分类</w:t>
      </w:r>
      <w:bookmarkEnd w:id="14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125,946,521.17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12,068,209.43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113,878,311.74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122,510,093.74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11,506,094.04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111,003,999.70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在产品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165,282,316.87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31,171,474.90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134,110,841.97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153,284,755.03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30,081,366.89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123,203,388.14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155,030,720.00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30,824,693.99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124,206,026.01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144,190,098.12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31,026,728.56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113,163,369.56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周转材料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19,411,652.08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19,411,652.08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6,092,392.53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6,092,392.53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发出商品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48,512,167.46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12,794,971.96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35,717,195.50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55,426,429.26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12,794,971.96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42,631,457.30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委托加工物资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5,552,601.70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1,383,709.35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4,168,892.35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6,098,711.55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1,383,709.35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4,715,002.20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519,735,979.28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88,243,059.63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431,492,919.65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487,602,480.23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86,792,870.80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400,809,609.43</w:t>
            </w:r>
          </w:p>
        </w:tc>
      </w:tr>
    </w:tbl>
    <w:p>
      <w:pPr>
        <w:keepNext/>
        <w:keepLines/>
        <w:spacing w:before="300" w:after="300" w:line="280" w:lineRule="exact"/>
        <w:jc w:val="left"/>
        <w:outlineLvl w:val="3"/>
        <w:rPr>
          <w:rFonts w:ascii="宋体" w:hAnsi="宋体" w:eastAsia="宋体" w:cs="宋体"/>
          <w:b/>
          <w:bCs/>
          <w:sz w:val="21"/>
          <w:szCs w:val="21"/>
        </w:rPr>
      </w:pPr>
      <w:bookmarkStart w:id="141" w:name="_Toc989086"/>
      <w:r>
        <w:rPr>
          <w:rFonts w:ascii="宋体" w:hAnsi="宋体" w:eastAsia="宋体" w:cs="宋体"/>
          <w:b/>
          <w:bCs/>
          <w:sz w:val="21"/>
          <w:szCs w:val="21"/>
        </w:rPr>
        <w:t>（2） 存货跌价准备和合同履约成本减值准备</w:t>
      </w:r>
      <w:bookmarkEnd w:id="14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转回或转销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11,506,094.04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562,115.39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12,068,209.43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在产品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30,081,366.89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1,090,108.01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31,171,474.90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31,026,728.56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-202,034.57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30,824,693.99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发出商品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12,794,971.96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12,794,971.96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委托加工物资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1,383,709.35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1,383,709.35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86,792,870.80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1,450,188.83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88,243,059.63</w:t>
            </w:r>
          </w:p>
        </w:tc>
      </w:tr>
    </w:tbl>
    <w:p>
      <w:pPr>
        <w:spacing w:before="60" w:after="60" w:line="0" w:lineRule="exact"/>
        <w:jc w:val="left"/>
      </w:pPr>
    </w:p>
    <w:p>
      <w:pPr>
        <w:keepNext/>
        <w:keepLines/>
        <w:spacing w:before="300" w:after="300" w:line="280" w:lineRule="exact"/>
        <w:jc w:val="left"/>
        <w:outlineLvl w:val="3"/>
        <w:rPr>
          <w:rFonts w:ascii="宋体" w:hAnsi="宋体" w:eastAsia="宋体" w:cs="宋体"/>
          <w:b/>
          <w:bCs/>
          <w:sz w:val="21"/>
          <w:szCs w:val="21"/>
        </w:rPr>
      </w:pPr>
      <w:bookmarkStart w:id="142" w:name="_Toc989087"/>
      <w:r>
        <w:rPr>
          <w:rFonts w:ascii="宋体" w:hAnsi="宋体" w:eastAsia="宋体" w:cs="宋体"/>
          <w:b/>
          <w:bCs/>
          <w:sz w:val="21"/>
          <w:szCs w:val="21"/>
        </w:rPr>
        <w:t>（3） 存货期末余额含有借款费用资本化金额的说明</w:t>
      </w:r>
      <w:bookmarkEnd w:id="142"/>
    </w:p>
    <w:p>
      <w:pPr>
        <w:pStyle w:val="3"/>
        <w:keepNext w:val="0"/>
        <w:keepLines w:val="0"/>
        <w:widowControl/>
        <w:suppressLineNumbers w:val="0"/>
      </w:pPr>
      <w:r>
        <w:rPr>
          <w:rFonts w:hint="eastAsia" w:ascii="宋体" w:hAnsi="宋体" w:eastAsia="宋体" w:cs="宋体"/>
          <w:sz w:val="21"/>
          <w:szCs w:val="21"/>
        </w:rPr>
        <w:t>本公司存货资产负债表日按成本与可变现净值孰低计量，当存货成本低于可变现净值时，存货按成本计量；当存货成本高于可变现净值时，存货按可变现净值计量，同时按照成本高于可变现净值的差额计提存货跌价准备，计入当期损益。</w:t>
      </w:r>
    </w:p>
    <w:p>
      <w:pPr>
        <w:keepNext/>
        <w:keepLines/>
        <w:spacing w:before="300" w:after="300" w:line="280" w:lineRule="exact"/>
        <w:jc w:val="left"/>
        <w:outlineLvl w:val="3"/>
        <w:rPr>
          <w:rFonts w:ascii="宋体" w:hAnsi="宋体" w:eastAsia="宋体" w:cs="宋体"/>
          <w:b/>
          <w:bCs/>
          <w:sz w:val="21"/>
          <w:szCs w:val="21"/>
        </w:rPr>
      </w:pPr>
      <w:bookmarkStart w:id="143" w:name="_Toc989088"/>
      <w:r>
        <w:rPr>
          <w:rFonts w:ascii="宋体" w:hAnsi="宋体" w:eastAsia="宋体" w:cs="宋体"/>
          <w:b/>
          <w:bCs/>
          <w:sz w:val="21"/>
          <w:szCs w:val="21"/>
        </w:rPr>
        <w:t>（4） 合同履约成本本期摊销金额的说明</w:t>
      </w:r>
      <w:bookmarkEnd w:id="143"/>
    </w:p>
    <w:p>
      <w:pPr>
        <w:keepNext/>
        <w:keepLines/>
        <w:spacing w:before="300" w:after="300" w:line="280" w:lineRule="exact"/>
        <w:jc w:val="left"/>
        <w:outlineLvl w:val="2"/>
        <w:rPr>
          <w:rFonts w:ascii="宋体" w:hAnsi="宋体" w:eastAsia="宋体" w:cs="宋体"/>
          <w:b/>
          <w:bCs/>
          <w:sz w:val="21"/>
          <w:szCs w:val="21"/>
        </w:rPr>
      </w:pPr>
      <w:bookmarkStart w:id="144" w:name="_Toc989089"/>
      <w:r>
        <w:rPr>
          <w:rFonts w:ascii="宋体" w:hAnsi="宋体" w:eastAsia="宋体" w:cs="宋体"/>
          <w:b/>
          <w:bCs/>
          <w:sz w:val="21"/>
          <w:szCs w:val="21"/>
        </w:rPr>
        <w:t>9、合同资产</w:t>
      </w:r>
      <w:bookmarkEnd w:id="14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未到期质保金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399,164.54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19,958.23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379,206.31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968,771.39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48,438.57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920,332.82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399,164.54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19,958.23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379,206.31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968,771.39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48,438.57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920,332.82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合同资产的账面价值在本期内发生的重大变动金额和原因：</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如是按照预期信用损失一般模型计提合同资产减值准备，请参照其他应收款的披露方式披露减值准备的相关信息：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本期合同资产计提减值准备情况：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本期转回</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本期转销/核销</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合同资产减值准备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-28,480.34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-28,480.34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45" w:name="_Toc989090"/>
      <w:r>
        <w:rPr>
          <w:rFonts w:ascii="宋体" w:hAnsi="宋体" w:eastAsia="宋体" w:cs="宋体"/>
          <w:b/>
          <w:bCs/>
          <w:sz w:val="21"/>
          <w:szCs w:val="21"/>
        </w:rPr>
        <w:t>10、其他流动资产</w:t>
      </w:r>
      <w:bookmarkEnd w:id="14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待抵扣增值税进项税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4,405,418.22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15,518,268.84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C919项目研发支出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2,787,582.52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2,787,582.52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预缴企业所得税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805,681.49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7,193,000.74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19,111,532.85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46" w:name="_Toc989091"/>
      <w:r>
        <w:rPr>
          <w:rFonts w:ascii="宋体" w:hAnsi="宋体" w:eastAsia="宋体" w:cs="宋体"/>
          <w:b/>
          <w:bCs/>
          <w:sz w:val="21"/>
          <w:szCs w:val="21"/>
        </w:rPr>
        <w:t>11、长期股权投资</w:t>
      </w:r>
      <w:bookmarkEnd w:id="14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6426"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权益法下确认的投资损益</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其他综合收益调整</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其他权益变动</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宣告发放现金股利或利润</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27,717,711.80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28,118,160.00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-11,856,775.01</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43,979,096.79</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小计</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27,717,711.80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28,118,160.00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-11,856,775.01</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43,979,096.79</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27,717,711.80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28,118,160.00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-11,856,775.01</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43,979,096.79</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47" w:name="_Toc989092"/>
      <w:r>
        <w:rPr>
          <w:rFonts w:ascii="宋体" w:hAnsi="宋体" w:eastAsia="宋体" w:cs="宋体"/>
          <w:b/>
          <w:bCs/>
          <w:sz w:val="21"/>
          <w:szCs w:val="21"/>
        </w:rPr>
        <w:t>12、其他权益工具投资</w:t>
      </w:r>
      <w:bookmarkEnd w:id="14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上海钨夫投资管理有限公司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26,707,545.17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26,707,545.17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上海海通创新锦程投资管理中心(有限合伙)</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17,331,541.14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17,554,512.14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深圳富联智能制造产业创新中心有限公司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3,272,818.63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3,272,818.63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77,311,904.94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47,534,875.94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分项披露本期非交易性权益工具投资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确认的股利收入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累计利得</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累计损失</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其他综合收益转入留存收益的金额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指定为以公允价值计量且其变动计入其他综合收益的原因</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其他综合收益转入留存收益的原因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上海钨夫投资管理有限公司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2,798,586.61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上海海通创新锦程投资管理中心(有限合伙)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9,099,588.33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深圳富联智能制造产业创新中心有限公司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231,895.84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7,252,842.53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  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9,331,484.17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10,051,429.14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48" w:name="_Toc989093"/>
      <w:r>
        <w:rPr>
          <w:rFonts w:ascii="宋体" w:hAnsi="宋体" w:eastAsia="宋体" w:cs="宋体"/>
          <w:b/>
          <w:bCs/>
          <w:sz w:val="21"/>
          <w:szCs w:val="21"/>
        </w:rPr>
        <w:t>13、固定资产</w:t>
      </w:r>
      <w:bookmarkEnd w:id="14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591,301,748.47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609,827,964.40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591,301,748.47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609,827,964.40</w:t>
            </w:r>
          </w:p>
        </w:tc>
      </w:tr>
    </w:tbl>
    <w:p>
      <w:pPr>
        <w:keepNext/>
        <w:keepLines/>
        <w:spacing w:before="300" w:after="300" w:line="280" w:lineRule="exact"/>
        <w:jc w:val="left"/>
        <w:outlineLvl w:val="3"/>
        <w:rPr>
          <w:rFonts w:ascii="宋体" w:hAnsi="宋体" w:eastAsia="宋体" w:cs="宋体"/>
          <w:b/>
          <w:bCs/>
          <w:sz w:val="21"/>
          <w:szCs w:val="21"/>
        </w:rPr>
      </w:pPr>
      <w:bookmarkStart w:id="149" w:name="_Toc989094"/>
      <w:r>
        <w:rPr>
          <w:rFonts w:ascii="宋体" w:hAnsi="宋体" w:eastAsia="宋体" w:cs="宋体"/>
          <w:b/>
          <w:bCs/>
          <w:sz w:val="21"/>
          <w:szCs w:val="21"/>
        </w:rPr>
        <w:t>（1） 固定资产情况</w:t>
      </w:r>
      <w:bookmarkEnd w:id="14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房屋及建筑物</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机器设备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运输工具</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电子设备及其他</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497,896,978.71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424,307,382.45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4,239,834.52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31,510,545.08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957,954,740.76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229,755.14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i w:val="0"/>
                <w:caps w:val="0"/>
                <w:color w:val="333333"/>
                <w:spacing w:val="0"/>
                <w:sz w:val="18"/>
                <w:szCs w:val="18"/>
                <w:shd w:val="clear" w:fill="FFFFFF"/>
              </w:rPr>
              <w:t>2,692,180.80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2,493,279.25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i w:val="0"/>
                <w:caps w:val="0"/>
                <w:color w:val="333333"/>
                <w:spacing w:val="0"/>
                <w:sz w:val="18"/>
                <w:szCs w:val="18"/>
                <w:shd w:val="clear" w:fill="FFFFFF"/>
              </w:rPr>
              <w:t>5,429,015.19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（1）购置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229,755.14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i w:val="0"/>
                <w:caps w:val="0"/>
                <w:color w:val="333333"/>
                <w:spacing w:val="0"/>
                <w:sz w:val="18"/>
                <w:szCs w:val="18"/>
                <w:shd w:val="clear" w:fill="FFFFFF"/>
              </w:rPr>
              <w:t>2,069,158.28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2,493,279.25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i w:val="0"/>
                <w:caps w:val="0"/>
                <w:color w:val="333333"/>
                <w:spacing w:val="0"/>
                <w:sz w:val="18"/>
                <w:szCs w:val="18"/>
                <w:shd w:val="clear" w:fill="FFFFFF"/>
              </w:rPr>
              <w:t>4,805,992.67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（2）在建工程转入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623,022.52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623,022.52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（3）企业合并增加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449,736.46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i w:val="0"/>
                <w:caps w:val="0"/>
                <w:color w:val="333333"/>
                <w:spacing w:val="0"/>
                <w:sz w:val="18"/>
                <w:szCs w:val="18"/>
                <w:shd w:val="clear" w:fill="FFFFFF"/>
              </w:rPr>
              <w:t>5,050,245.45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466,683.30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i w:val="0"/>
                <w:caps w:val="0"/>
                <w:color w:val="333333"/>
                <w:spacing w:val="0"/>
                <w:sz w:val="18"/>
                <w:szCs w:val="18"/>
                <w:shd w:val="clear" w:fill="FFFFFF"/>
              </w:rPr>
              <w:t>5,966,665.21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449,736.46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i w:val="0"/>
                <w:caps w:val="0"/>
                <w:color w:val="333333"/>
                <w:spacing w:val="0"/>
                <w:sz w:val="18"/>
                <w:szCs w:val="18"/>
                <w:shd w:val="clear" w:fill="FFFFFF"/>
              </w:rPr>
              <w:t>5,050,245.45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466,683.30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i w:val="0"/>
                <w:caps w:val="0"/>
                <w:color w:val="333333"/>
                <w:spacing w:val="0"/>
                <w:sz w:val="18"/>
                <w:szCs w:val="18"/>
                <w:shd w:val="clear" w:fill="FFFFFF"/>
              </w:rPr>
              <w:t>5,966,665.21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497,676,997.39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421,949,317.80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4,253,634.52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33,537,141.03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957,417,090.74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二、累计折旧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91,525,283.39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227,184,200.97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2,538,089.73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25,996,743.02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347,244,317.11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7,196,616.37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14,385,774.33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149,551.87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1,721,895.99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23,453,838.56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7,196,616.37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14,385,774.33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149,551.87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1,721,895.99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23,453,838.56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5,018,867.83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446,404.82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5,465,272.65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5,018,867.83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446,404.82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5,465,272.65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98,721,899.76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236,551,107.47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2,687,641.60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27,272,234.19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365,232,883.02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803,428.11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77,082.83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1,078.98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869.33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882,459.25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803,428.11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77,082.83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1,078.98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869.33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882,459.25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398,151,669.52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185,321,127.50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1,564,913.94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6,264,037.51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591,301,748.47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405,568,267.21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197,046,098.65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1,700,665.81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5,512,932.73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609,827,964.40</w:t>
            </w:r>
          </w:p>
        </w:tc>
      </w:tr>
    </w:tbl>
    <w:p>
      <w:pPr>
        <w:keepNext/>
        <w:keepLines/>
        <w:spacing w:before="300" w:after="300" w:line="280" w:lineRule="exact"/>
        <w:jc w:val="left"/>
        <w:outlineLvl w:val="3"/>
        <w:rPr>
          <w:rFonts w:ascii="宋体" w:hAnsi="宋体" w:eastAsia="宋体" w:cs="宋体"/>
          <w:b/>
          <w:bCs/>
          <w:sz w:val="21"/>
          <w:szCs w:val="21"/>
        </w:rPr>
      </w:pPr>
      <w:bookmarkStart w:id="150" w:name="_Toc989095"/>
      <w:r>
        <w:rPr>
          <w:rFonts w:ascii="宋体" w:hAnsi="宋体" w:eastAsia="宋体" w:cs="宋体"/>
          <w:b/>
          <w:bCs/>
          <w:sz w:val="21"/>
          <w:szCs w:val="21"/>
        </w:rPr>
        <w:t>（2） 暂时闲置的固定资产情况</w:t>
      </w:r>
      <w:bookmarkEnd w:id="15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账面原值</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累计折旧</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bl>
    <w:p>
      <w:pPr>
        <w:keepNext/>
        <w:keepLines/>
        <w:spacing w:before="300" w:after="300" w:line="280" w:lineRule="exact"/>
        <w:jc w:val="left"/>
        <w:outlineLvl w:val="3"/>
        <w:rPr>
          <w:rFonts w:ascii="宋体" w:hAnsi="宋体" w:eastAsia="宋体" w:cs="宋体"/>
          <w:b/>
          <w:bCs/>
          <w:sz w:val="21"/>
          <w:szCs w:val="21"/>
        </w:rPr>
      </w:pPr>
      <w:bookmarkStart w:id="151" w:name="_Toc989096"/>
      <w:r>
        <w:rPr>
          <w:rFonts w:ascii="宋体" w:hAnsi="宋体" w:eastAsia="宋体" w:cs="宋体"/>
          <w:b/>
          <w:bCs/>
          <w:sz w:val="21"/>
          <w:szCs w:val="21"/>
        </w:rPr>
        <w:t>（3） 通过经营租赁租出的固定资产</w:t>
      </w:r>
      <w:bookmarkEnd w:id="15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期末账面价值</w:t>
            </w:r>
          </w:p>
        </w:tc>
      </w:tr>
    </w:tbl>
    <w:p>
      <w:pPr>
        <w:keepNext/>
        <w:keepLines/>
        <w:spacing w:before="300" w:after="300" w:line="280" w:lineRule="exact"/>
        <w:jc w:val="left"/>
        <w:outlineLvl w:val="3"/>
        <w:rPr>
          <w:rFonts w:ascii="宋体" w:hAnsi="宋体" w:eastAsia="宋体" w:cs="宋体"/>
          <w:b/>
          <w:bCs/>
          <w:sz w:val="21"/>
          <w:szCs w:val="21"/>
        </w:rPr>
      </w:pPr>
      <w:bookmarkStart w:id="152" w:name="_Toc989097"/>
      <w:r>
        <w:rPr>
          <w:rFonts w:ascii="宋体" w:hAnsi="宋体" w:eastAsia="宋体" w:cs="宋体"/>
          <w:b/>
          <w:bCs/>
          <w:sz w:val="21"/>
          <w:szCs w:val="21"/>
        </w:rPr>
        <w:t>（4） 未办妥产权证书的固定资产情况</w:t>
      </w:r>
      <w:bookmarkEnd w:id="15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未办妥产权证书的原因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长沙鑫航机轮生产研制基地-房屋及建筑物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89,402,134.89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3"/>
        <w:keepNext w:val="0"/>
        <w:keepLines w:val="0"/>
        <w:widowControl/>
        <w:suppressLineNumbers w:val="0"/>
        <w:spacing w:before="100" w:beforeAutospacing="0" w:after="120"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截至</w:t>
      </w:r>
      <w:r>
        <w:rPr>
          <w:rFonts w:hint="default" w:ascii="Times New Roman" w:hAnsi="Times New Roman" w:eastAsia="宋体" w:cs="Times New Roman"/>
          <w:sz w:val="21"/>
          <w:szCs w:val="21"/>
        </w:rPr>
        <w:t>2022</w:t>
      </w:r>
      <w:r>
        <w:rPr>
          <w:rFonts w:hint="eastAsia" w:ascii="宋体" w:hAnsi="宋体" w:eastAsia="宋体" w:cs="宋体"/>
          <w:sz w:val="21"/>
          <w:szCs w:val="21"/>
        </w:rPr>
        <w:t>年6月</w:t>
      </w:r>
      <w:r>
        <w:rPr>
          <w:rFonts w:hint="default" w:ascii="Times New Roman" w:hAnsi="Times New Roman" w:eastAsia="宋体" w:cs="Times New Roman"/>
          <w:sz w:val="21"/>
          <w:szCs w:val="21"/>
        </w:rPr>
        <w:t>30</w:t>
      </w:r>
      <w:r>
        <w:rPr>
          <w:rFonts w:hint="eastAsia" w:ascii="宋体" w:hAnsi="宋体" w:eastAsia="宋体" w:cs="宋体"/>
          <w:sz w:val="21"/>
          <w:szCs w:val="21"/>
        </w:rPr>
        <w:t>日，上述固定资产未办妥产权证书的主要原因为竣工决算完成时间滞后，正在办理当中。</w:t>
      </w:r>
    </w:p>
    <w:p>
      <w:pPr>
        <w:pStyle w:val="3"/>
        <w:keepNext w:val="0"/>
        <w:keepLines w:val="0"/>
        <w:widowControl/>
        <w:suppressLineNumbers w:val="0"/>
        <w:spacing w:before="100" w:beforeAutospacing="0" w:after="120"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期末无暂时闲置的固定资产。</w:t>
      </w:r>
    </w:p>
    <w:p>
      <w:pPr>
        <w:pStyle w:val="3"/>
        <w:keepNext w:val="0"/>
        <w:keepLines w:val="0"/>
        <w:widowControl/>
        <w:suppressLineNumbers w:val="0"/>
        <w:spacing w:before="0" w:beforeAutospacing="0" w:after="120"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期末无融资租赁租入的固定资产。</w:t>
      </w:r>
    </w:p>
    <w:p>
      <w:pPr>
        <w:keepNext/>
        <w:keepLines/>
        <w:spacing w:before="300" w:after="300" w:line="280" w:lineRule="exact"/>
        <w:jc w:val="left"/>
        <w:outlineLvl w:val="3"/>
        <w:rPr>
          <w:rFonts w:ascii="宋体" w:hAnsi="宋体" w:eastAsia="宋体" w:cs="宋体"/>
          <w:b/>
          <w:bCs/>
          <w:sz w:val="21"/>
          <w:szCs w:val="21"/>
        </w:rPr>
      </w:pPr>
      <w:bookmarkStart w:id="153" w:name="_Toc989098"/>
      <w:r>
        <w:rPr>
          <w:rFonts w:ascii="宋体" w:hAnsi="宋体" w:eastAsia="宋体" w:cs="宋体"/>
          <w:b/>
          <w:bCs/>
          <w:sz w:val="21"/>
          <w:szCs w:val="21"/>
        </w:rPr>
        <w:t>（5） 固定资产清理</w:t>
      </w:r>
      <w:bookmarkEnd w:id="15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54" w:name="_Toc989099"/>
      <w:r>
        <w:rPr>
          <w:rFonts w:ascii="宋体" w:hAnsi="宋体" w:eastAsia="宋体" w:cs="宋体"/>
          <w:b/>
          <w:bCs/>
          <w:sz w:val="21"/>
          <w:szCs w:val="21"/>
        </w:rPr>
        <w:t>14、在建工程</w:t>
      </w:r>
      <w:bookmarkEnd w:id="15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185,484,751.68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115,912,178.21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185,484,751.68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115,912,178.21</w:t>
            </w:r>
          </w:p>
        </w:tc>
      </w:tr>
    </w:tbl>
    <w:p>
      <w:pPr>
        <w:keepNext/>
        <w:keepLines/>
        <w:spacing w:before="300" w:after="300" w:line="280" w:lineRule="exact"/>
        <w:jc w:val="left"/>
        <w:outlineLvl w:val="3"/>
        <w:rPr>
          <w:rFonts w:ascii="宋体" w:hAnsi="宋体" w:eastAsia="宋体" w:cs="宋体"/>
          <w:b/>
          <w:bCs/>
          <w:sz w:val="21"/>
          <w:szCs w:val="21"/>
        </w:rPr>
      </w:pPr>
      <w:bookmarkStart w:id="155" w:name="_Toc989100"/>
      <w:r>
        <w:rPr>
          <w:rFonts w:ascii="宋体" w:hAnsi="宋体" w:eastAsia="宋体" w:cs="宋体"/>
          <w:b/>
          <w:bCs/>
          <w:sz w:val="21"/>
          <w:szCs w:val="21"/>
        </w:rPr>
        <w:t>（1） 在建工程情况</w:t>
      </w:r>
      <w:bookmarkEnd w:id="15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博云东方麓谷基地产业化项目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162,483,175.69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162,483,175.69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97,072,911.26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97,072,911.26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在安装设备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20,803,315.67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20,803,315.67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18,839,266.95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18,839,266.95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2,198,260.32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2,198,260.32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185,484,751.68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185,484,751.68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115,912,178.21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115,912,178.21</w:t>
            </w:r>
          </w:p>
        </w:tc>
      </w:tr>
    </w:tbl>
    <w:p>
      <w:pPr>
        <w:keepNext/>
        <w:keepLines/>
        <w:spacing w:before="300" w:after="300" w:line="280" w:lineRule="exact"/>
        <w:jc w:val="left"/>
        <w:outlineLvl w:val="3"/>
        <w:rPr>
          <w:rFonts w:ascii="宋体" w:hAnsi="宋体" w:eastAsia="宋体" w:cs="宋体"/>
          <w:b/>
          <w:bCs/>
          <w:sz w:val="21"/>
          <w:szCs w:val="21"/>
        </w:rPr>
      </w:pPr>
      <w:bookmarkStart w:id="156" w:name="_Toc989101"/>
      <w:r>
        <w:rPr>
          <w:rFonts w:ascii="宋体" w:hAnsi="宋体" w:eastAsia="宋体" w:cs="宋体"/>
          <w:b/>
          <w:bCs/>
          <w:sz w:val="21"/>
          <w:szCs w:val="21"/>
        </w:rPr>
        <w:t>（2） 重要在建工程项目本期变动情况</w:t>
      </w:r>
      <w:bookmarkEnd w:id="15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预算数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本期转入固定资产金额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本期其他减少金额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工程累计投入占预算比例</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工程进度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利息资本化累计金额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其中：本期利息资本化金额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本期利息资本化率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资金来源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博云东方麓谷基地产业化项目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460,150,218.11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97,072,911.26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65,410,264.43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162,483,175.69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35.31%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74.23%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募股资金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在安装设备</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18,839,266.95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2,103,776.33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623,022.52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20,320,020.76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460,150,218.11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115,912,178.21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67,514,040.76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623,022.52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182,803,196.45</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3"/>
        <w:rPr>
          <w:rFonts w:ascii="宋体" w:hAnsi="宋体" w:eastAsia="宋体" w:cs="宋体"/>
          <w:b/>
          <w:bCs/>
          <w:sz w:val="21"/>
          <w:szCs w:val="21"/>
        </w:rPr>
      </w:pPr>
      <w:bookmarkStart w:id="157" w:name="_Toc989102"/>
      <w:r>
        <w:rPr>
          <w:rFonts w:ascii="宋体" w:hAnsi="宋体" w:eastAsia="宋体" w:cs="宋体"/>
          <w:b/>
          <w:bCs/>
          <w:sz w:val="21"/>
          <w:szCs w:val="21"/>
        </w:rPr>
        <w:t>（3） 本期计提在建工程减值准备情况</w:t>
      </w:r>
      <w:bookmarkEnd w:id="15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本期计提金额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3"/>
        <w:keepNext w:val="0"/>
        <w:keepLines w:val="0"/>
        <w:widowControl/>
        <w:suppressLineNumbers w:val="0"/>
        <w:spacing w:before="0" w:beforeAutospacing="0" w:after="0"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本公司期末在建工程无减值迹象，无需计提减值准备。</w:t>
      </w:r>
    </w:p>
    <w:p>
      <w:pPr>
        <w:keepNext/>
        <w:keepLines/>
        <w:spacing w:before="300" w:after="300" w:line="280" w:lineRule="exact"/>
        <w:jc w:val="left"/>
        <w:outlineLvl w:val="3"/>
        <w:rPr>
          <w:rFonts w:ascii="宋体" w:hAnsi="宋体" w:eastAsia="宋体" w:cs="宋体"/>
          <w:b/>
          <w:bCs/>
          <w:sz w:val="21"/>
          <w:szCs w:val="21"/>
        </w:rPr>
      </w:pPr>
      <w:bookmarkStart w:id="158" w:name="_Toc989103"/>
      <w:r>
        <w:rPr>
          <w:rFonts w:ascii="宋体" w:hAnsi="宋体" w:eastAsia="宋体" w:cs="宋体"/>
          <w:b/>
          <w:bCs/>
          <w:sz w:val="21"/>
          <w:szCs w:val="21"/>
        </w:rPr>
        <w:t>（4） 工程物资</w:t>
      </w:r>
      <w:bookmarkEnd w:id="15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3"/>
        <w:keepNext w:val="0"/>
        <w:keepLines w:val="0"/>
        <w:widowControl/>
        <w:suppressLineNumbers w:val="0"/>
        <w:spacing w:before="0" w:beforeAutospacing="0" w:after="0"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本公司期末无工程物资。</w:t>
      </w:r>
    </w:p>
    <w:p>
      <w:pPr>
        <w:keepNext/>
        <w:keepLines/>
        <w:spacing w:before="300" w:after="300" w:line="280" w:lineRule="exact"/>
        <w:jc w:val="left"/>
        <w:outlineLvl w:val="2"/>
        <w:rPr>
          <w:rFonts w:ascii="宋体" w:hAnsi="宋体" w:eastAsia="宋体" w:cs="宋体"/>
          <w:b/>
          <w:bCs/>
          <w:sz w:val="21"/>
          <w:szCs w:val="21"/>
        </w:rPr>
      </w:pPr>
      <w:bookmarkStart w:id="159" w:name="_Toc989104"/>
      <w:r>
        <w:rPr>
          <w:rFonts w:ascii="宋体" w:hAnsi="宋体" w:eastAsia="宋体" w:cs="宋体"/>
          <w:b/>
          <w:bCs/>
          <w:sz w:val="21"/>
          <w:szCs w:val="21"/>
        </w:rPr>
        <w:t>15、无形资产</w:t>
      </w:r>
      <w:bookmarkEnd w:id="159"/>
    </w:p>
    <w:p>
      <w:pPr>
        <w:keepNext/>
        <w:keepLines/>
        <w:spacing w:before="300" w:after="300" w:line="280" w:lineRule="exact"/>
        <w:jc w:val="left"/>
        <w:outlineLvl w:val="3"/>
        <w:rPr>
          <w:rFonts w:ascii="宋体" w:hAnsi="宋体" w:eastAsia="宋体" w:cs="宋体"/>
          <w:b/>
          <w:bCs/>
          <w:sz w:val="21"/>
          <w:szCs w:val="21"/>
        </w:rPr>
      </w:pPr>
      <w:bookmarkStart w:id="160" w:name="_Toc989105"/>
      <w:r>
        <w:rPr>
          <w:rFonts w:ascii="宋体" w:hAnsi="宋体" w:eastAsia="宋体" w:cs="宋体"/>
          <w:b/>
          <w:bCs/>
          <w:sz w:val="21"/>
          <w:szCs w:val="21"/>
        </w:rPr>
        <w:t>（1） 无形资产情况</w:t>
      </w:r>
      <w:bookmarkEnd w:id="16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土地使用权</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专利权</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非专利技术</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其他</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200,911,595.79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194,141,782.28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6,429,848.87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401,483,226.94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（1）购置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（2）内部研发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（3）企业合并增加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200,911,595.79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194,141,782.28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6,429,848.87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401,483,226.94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二、累计摊销</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23,348,971.38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121,025,023.95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3,200,366.84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147,574,362.17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2,016,126.81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6,810,031.77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498,763.03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9,324,921.61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2,016,126.81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6,810,031.77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498,763.03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9,324,921.61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25,365,098.19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127,835,055.72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3,699,129.87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156,899,283.78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500,683.92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1,967,332.94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2,468,016.86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500,683.92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1,967,332.94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2,468,016.86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175,045,813.68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64,339,393.62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2,730,719.00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242,115,926.30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177,061,940.49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71,149,425.39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3,229,482.03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251,440,847.91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本期末通过公司内部研发形成的无形资产占无形资产余额的比例26.57%</w:t>
      </w:r>
    </w:p>
    <w:p>
      <w:pPr>
        <w:keepNext/>
        <w:keepLines/>
        <w:spacing w:before="300" w:after="300" w:line="280" w:lineRule="exact"/>
        <w:jc w:val="left"/>
        <w:outlineLvl w:val="3"/>
        <w:rPr>
          <w:rFonts w:ascii="宋体" w:hAnsi="宋体" w:eastAsia="宋体" w:cs="宋体"/>
          <w:b/>
          <w:bCs/>
          <w:sz w:val="21"/>
          <w:szCs w:val="21"/>
        </w:rPr>
      </w:pPr>
      <w:bookmarkStart w:id="161" w:name="_Toc989106"/>
      <w:r>
        <w:rPr>
          <w:rFonts w:ascii="宋体" w:hAnsi="宋体" w:eastAsia="宋体" w:cs="宋体"/>
          <w:b/>
          <w:bCs/>
          <w:sz w:val="21"/>
          <w:szCs w:val="21"/>
        </w:rPr>
        <w:t>（2） 未办妥产权证书的土地使用权情况</w:t>
      </w:r>
      <w:bookmarkEnd w:id="16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未办妥产权证书的原因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3"/>
        <w:keepNext w:val="0"/>
        <w:keepLines w:val="0"/>
        <w:widowControl/>
        <w:suppressLineNumbers w:val="0"/>
        <w:spacing w:before="0" w:beforeAutospacing="0" w:after="0"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期末无未办妥产权证书的土地使用权情况。</w:t>
      </w:r>
    </w:p>
    <w:p>
      <w:pPr>
        <w:keepNext/>
        <w:keepLines/>
        <w:spacing w:before="300" w:after="300" w:line="280" w:lineRule="exact"/>
        <w:jc w:val="left"/>
        <w:outlineLvl w:val="2"/>
        <w:rPr>
          <w:rFonts w:ascii="宋体" w:hAnsi="宋体" w:eastAsia="宋体" w:cs="宋体"/>
          <w:b/>
          <w:bCs/>
          <w:sz w:val="21"/>
          <w:szCs w:val="21"/>
        </w:rPr>
      </w:pPr>
      <w:bookmarkStart w:id="162" w:name="_Toc989107"/>
      <w:r>
        <w:rPr>
          <w:rFonts w:ascii="宋体" w:hAnsi="宋体" w:eastAsia="宋体" w:cs="宋体"/>
          <w:b/>
          <w:bCs/>
          <w:sz w:val="21"/>
          <w:szCs w:val="21"/>
        </w:rPr>
        <w:t>16、开发支出</w:t>
      </w:r>
      <w:bookmarkEnd w:id="16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本期减少金额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内部开发支出</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确认为无形资产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转入当期损益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研究支出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14,277,436.96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14,277,436.96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开发支出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34,556,647.14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15,161,834.51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49,718,481.65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34,556,647.14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29,439,271.47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14,277,436.96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49,718,481.65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3"/>
        <w:keepNext w:val="0"/>
        <w:keepLines w:val="0"/>
        <w:widowControl/>
        <w:suppressLineNumbers w:val="0"/>
        <w:spacing w:before="100" w:beforeAutospacing="0" w:after="120"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w:t>
      </w:r>
      <w:r>
        <w:rPr>
          <w:rFonts w:hint="default" w:ascii="Times New Roman" w:hAnsi="Times New Roman" w:eastAsia="宋体" w:cs="Times New Roman"/>
          <w:sz w:val="21"/>
          <w:szCs w:val="21"/>
        </w:rPr>
        <w:t>2</w:t>
      </w:r>
      <w:r>
        <w:rPr>
          <w:rFonts w:hint="eastAsia" w:ascii="宋体" w:hAnsi="宋体" w:eastAsia="宋体" w:cs="宋体"/>
          <w:sz w:val="21"/>
          <w:szCs w:val="21"/>
        </w:rPr>
        <w:t>）主要开发支出项目的资本化开始时点、资本化的具体依据、截至期末的研发进度</w:t>
      </w:r>
    </w:p>
    <w:tbl>
      <w:tblPr>
        <w:tblStyle w:val="4"/>
        <w:tblW w:w="9536" w:type="dxa"/>
        <w:tblInd w:w="0" w:type="dxa"/>
        <w:shd w:val="clear" w:color="auto" w:fill="auto"/>
        <w:tblLayout w:type="autofit"/>
        <w:tblCellMar>
          <w:top w:w="0" w:type="dxa"/>
          <w:left w:w="0" w:type="dxa"/>
          <w:bottom w:w="0" w:type="dxa"/>
          <w:right w:w="0" w:type="dxa"/>
        </w:tblCellMar>
      </w:tblPr>
      <w:tblGrid>
        <w:gridCol w:w="3206"/>
        <w:gridCol w:w="2925"/>
        <w:gridCol w:w="3405"/>
      </w:tblGrid>
      <w:tr>
        <w:tblPrEx>
          <w:tblCellMar>
            <w:top w:w="0" w:type="dxa"/>
            <w:left w:w="0" w:type="dxa"/>
            <w:bottom w:w="0" w:type="dxa"/>
            <w:right w:w="0" w:type="dxa"/>
          </w:tblCellMar>
        </w:tblPrEx>
        <w:trPr>
          <w:trHeight w:val="465" w:hRule="atLeast"/>
        </w:trPr>
        <w:tc>
          <w:tcPr>
            <w:tcW w:w="320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2925" w:type="dxa"/>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期末余额</w:t>
            </w:r>
          </w:p>
        </w:tc>
        <w:tc>
          <w:tcPr>
            <w:tcW w:w="3405" w:type="dxa"/>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截至期末的研发进度</w:t>
            </w:r>
          </w:p>
        </w:tc>
      </w:tr>
      <w:tr>
        <w:tblPrEx>
          <w:tblCellMar>
            <w:top w:w="0" w:type="dxa"/>
            <w:left w:w="0" w:type="dxa"/>
            <w:bottom w:w="0" w:type="dxa"/>
            <w:right w:w="0" w:type="dxa"/>
          </w:tblCellMar>
        </w:tblPrEx>
        <w:trPr>
          <w:trHeight w:val="465" w:hRule="atLeast"/>
        </w:trPr>
        <w:tc>
          <w:tcPr>
            <w:tcW w:w="320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军机机轮刹车系统研制（二）</w:t>
            </w:r>
          </w:p>
        </w:tc>
        <w:tc>
          <w:tcPr>
            <w:tcW w:w="292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22,612,269.75</w:t>
            </w:r>
          </w:p>
        </w:tc>
        <w:tc>
          <w:tcPr>
            <w:tcW w:w="34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已进入试飞鉴定阶段</w:t>
            </w:r>
          </w:p>
        </w:tc>
      </w:tr>
      <w:tr>
        <w:tblPrEx>
          <w:tblCellMar>
            <w:top w:w="0" w:type="dxa"/>
            <w:left w:w="0" w:type="dxa"/>
            <w:bottom w:w="0" w:type="dxa"/>
            <w:right w:w="0" w:type="dxa"/>
          </w:tblCellMar>
        </w:tblPrEx>
        <w:trPr>
          <w:trHeight w:val="465" w:hRule="atLeast"/>
        </w:trPr>
        <w:tc>
          <w:tcPr>
            <w:tcW w:w="320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金属碳化物粉末制备技术（一）</w:t>
            </w:r>
          </w:p>
        </w:tc>
        <w:tc>
          <w:tcPr>
            <w:tcW w:w="292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15,039,370.58 </w:t>
            </w:r>
          </w:p>
        </w:tc>
        <w:tc>
          <w:tcPr>
            <w:tcW w:w="34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产业化开发</w:t>
            </w:r>
          </w:p>
        </w:tc>
      </w:tr>
      <w:tr>
        <w:tblPrEx>
          <w:tblCellMar>
            <w:top w:w="0" w:type="dxa"/>
            <w:left w:w="0" w:type="dxa"/>
            <w:bottom w:w="0" w:type="dxa"/>
            <w:right w:w="0" w:type="dxa"/>
          </w:tblCellMar>
        </w:tblPrEx>
        <w:trPr>
          <w:trHeight w:val="465" w:hRule="atLeast"/>
        </w:trPr>
        <w:tc>
          <w:tcPr>
            <w:tcW w:w="320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军机机轮刹车系统研制（三）</w:t>
            </w:r>
          </w:p>
        </w:tc>
        <w:tc>
          <w:tcPr>
            <w:tcW w:w="292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8,164,121.61 </w:t>
            </w:r>
          </w:p>
        </w:tc>
        <w:tc>
          <w:tcPr>
            <w:tcW w:w="34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鉴定定型阶段</w:t>
            </w:r>
          </w:p>
        </w:tc>
      </w:tr>
      <w:tr>
        <w:tblPrEx>
          <w:tblCellMar>
            <w:top w:w="0" w:type="dxa"/>
            <w:left w:w="0" w:type="dxa"/>
            <w:bottom w:w="0" w:type="dxa"/>
            <w:right w:w="0" w:type="dxa"/>
          </w:tblCellMar>
        </w:tblPrEx>
        <w:trPr>
          <w:trHeight w:val="286" w:hRule="atLeast"/>
        </w:trPr>
        <w:tc>
          <w:tcPr>
            <w:tcW w:w="320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w:t>
            </w:r>
            <w:r>
              <w:rPr>
                <w:rFonts w:hint="default" w:ascii="Times New Roman" w:hAnsi="Times New Roman" w:eastAsia="宋体" w:cs="Times New Roman"/>
                <w:i w:val="0"/>
                <w:color w:val="000000"/>
                <w:kern w:val="0"/>
                <w:sz w:val="18"/>
                <w:szCs w:val="18"/>
                <w:u w:val="none"/>
                <w:lang w:val="en-US" w:eastAsia="zh-CN" w:bidi="ar"/>
              </w:rPr>
              <w:t>  </w:t>
            </w:r>
            <w:r>
              <w:rPr>
                <w:rFonts w:hint="eastAsia" w:ascii="宋体" w:hAnsi="宋体" w:eastAsia="宋体" w:cs="宋体"/>
                <w:i w:val="0"/>
                <w:color w:val="000000"/>
                <w:kern w:val="0"/>
                <w:sz w:val="18"/>
                <w:szCs w:val="18"/>
                <w:u w:val="none"/>
                <w:lang w:val="en-US" w:eastAsia="zh-CN" w:bidi="ar"/>
              </w:rPr>
              <w:t>计</w:t>
            </w:r>
          </w:p>
        </w:tc>
        <w:tc>
          <w:tcPr>
            <w:tcW w:w="292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45,815,761.94</w:t>
            </w:r>
          </w:p>
        </w:tc>
        <w:tc>
          <w:tcPr>
            <w:tcW w:w="34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w:t>
            </w:r>
          </w:p>
        </w:tc>
      </w:tr>
    </w:tbl>
    <w:p>
      <w:pPr>
        <w:pStyle w:val="3"/>
        <w:keepNext w:val="0"/>
        <w:keepLines w:val="0"/>
        <w:widowControl/>
        <w:suppressLineNumbers w:val="0"/>
        <w:spacing w:before="40" w:beforeAutospacing="0" w:after="40" w:afterAutospacing="0"/>
        <w:jc w:val="both"/>
        <w:rPr>
          <w:rFonts w:hint="eastAsia" w:ascii="宋体" w:hAnsi="宋体" w:eastAsia="宋体" w:cs="宋体"/>
          <w:sz w:val="18"/>
          <w:szCs w:val="18"/>
        </w:rPr>
      </w:pPr>
      <w:r>
        <w:rPr>
          <w:rFonts w:hint="eastAsia" w:ascii="宋体" w:hAnsi="宋体" w:eastAsia="宋体" w:cs="宋体"/>
          <w:sz w:val="21"/>
          <w:szCs w:val="21"/>
        </w:rPr>
        <w:t>（</w:t>
      </w:r>
      <w:r>
        <w:rPr>
          <w:rFonts w:hint="default" w:ascii="Times New Roman" w:hAnsi="Times New Roman" w:eastAsia="宋体" w:cs="Times New Roman"/>
          <w:sz w:val="21"/>
          <w:szCs w:val="21"/>
        </w:rPr>
        <w:t>3</w:t>
      </w:r>
      <w:r>
        <w:rPr>
          <w:rFonts w:hint="eastAsia" w:ascii="宋体" w:hAnsi="宋体" w:eastAsia="宋体" w:cs="宋体"/>
          <w:sz w:val="21"/>
          <w:szCs w:val="21"/>
        </w:rPr>
        <w:t>）本公司开发支出项目的资本化时点及资本化的依据，详见本附注</w:t>
      </w:r>
      <w:r>
        <w:rPr>
          <w:rFonts w:hint="default" w:ascii="Times New Roman" w:hAnsi="Times New Roman" w:eastAsia="宋体" w:cs="Times New Roman"/>
          <w:sz w:val="21"/>
          <w:szCs w:val="21"/>
        </w:rPr>
        <w:t>“</w:t>
      </w:r>
      <w:r>
        <w:rPr>
          <w:rFonts w:hint="eastAsia" w:ascii="宋体" w:hAnsi="宋体" w:eastAsia="宋体" w:cs="宋体"/>
          <w:sz w:val="21"/>
          <w:szCs w:val="21"/>
        </w:rPr>
        <w:t>五、24、无形资产的核算方法</w:t>
      </w:r>
      <w:r>
        <w:rPr>
          <w:rFonts w:hint="default" w:ascii="Times New Roman" w:hAnsi="Times New Roman" w:eastAsia="宋体" w:cs="Times New Roman"/>
          <w:sz w:val="21"/>
          <w:szCs w:val="21"/>
        </w:rPr>
        <w:t>”</w:t>
      </w:r>
      <w:r>
        <w:rPr>
          <w:rFonts w:hint="eastAsia" w:ascii="宋体" w:hAnsi="宋体" w:eastAsia="宋体" w:cs="宋体"/>
          <w:sz w:val="21"/>
          <w:szCs w:val="21"/>
        </w:rPr>
        <w:t>。</w:t>
      </w:r>
    </w:p>
    <w:p>
      <w:pPr>
        <w:keepNext/>
        <w:keepLines/>
        <w:spacing w:before="300" w:after="300" w:line="280" w:lineRule="exact"/>
        <w:jc w:val="left"/>
        <w:outlineLvl w:val="2"/>
        <w:rPr>
          <w:rFonts w:ascii="宋体" w:hAnsi="宋体" w:eastAsia="宋体" w:cs="宋体"/>
          <w:b/>
          <w:bCs/>
          <w:sz w:val="21"/>
          <w:szCs w:val="21"/>
        </w:rPr>
      </w:pPr>
      <w:bookmarkStart w:id="163" w:name="_Toc989108"/>
      <w:r>
        <w:rPr>
          <w:rFonts w:ascii="宋体" w:hAnsi="宋体" w:eastAsia="宋体" w:cs="宋体"/>
          <w:b/>
          <w:bCs/>
          <w:sz w:val="21"/>
          <w:szCs w:val="21"/>
        </w:rPr>
        <w:t>17、商誉</w:t>
      </w:r>
      <w:bookmarkEnd w:id="163"/>
    </w:p>
    <w:p>
      <w:pPr>
        <w:keepNext/>
        <w:keepLines/>
        <w:spacing w:before="300" w:after="300" w:line="280" w:lineRule="exact"/>
        <w:jc w:val="left"/>
        <w:outlineLvl w:val="3"/>
        <w:rPr>
          <w:rFonts w:ascii="宋体" w:hAnsi="宋体" w:eastAsia="宋体" w:cs="宋体"/>
          <w:b/>
          <w:bCs/>
          <w:sz w:val="21"/>
          <w:szCs w:val="21"/>
        </w:rPr>
      </w:pPr>
      <w:bookmarkStart w:id="164" w:name="_Toc989109"/>
      <w:r>
        <w:rPr>
          <w:rFonts w:ascii="宋体" w:hAnsi="宋体" w:eastAsia="宋体" w:cs="宋体"/>
          <w:b/>
          <w:bCs/>
          <w:sz w:val="21"/>
          <w:szCs w:val="21"/>
        </w:rPr>
        <w:t>（1） 商誉账面原值</w:t>
      </w:r>
      <w:bookmarkEnd w:id="16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企业合并形成的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r>
    </w:tbl>
    <w:p>
      <w:pPr>
        <w:keepNext/>
        <w:keepLines/>
        <w:spacing w:before="300" w:after="300" w:line="280" w:lineRule="exact"/>
        <w:jc w:val="left"/>
        <w:outlineLvl w:val="3"/>
        <w:rPr>
          <w:rFonts w:ascii="宋体" w:hAnsi="宋体" w:eastAsia="宋体" w:cs="宋体"/>
          <w:b/>
          <w:bCs/>
          <w:sz w:val="21"/>
          <w:szCs w:val="21"/>
        </w:rPr>
      </w:pPr>
      <w:bookmarkStart w:id="165" w:name="_Toc989110"/>
      <w:r>
        <w:rPr>
          <w:rFonts w:ascii="宋体" w:hAnsi="宋体" w:eastAsia="宋体" w:cs="宋体"/>
          <w:b/>
          <w:bCs/>
          <w:sz w:val="21"/>
          <w:szCs w:val="21"/>
        </w:rPr>
        <w:t>（2） 商誉减值准备</w:t>
      </w:r>
      <w:bookmarkEnd w:id="16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商誉所在资产组或资产组组合的相关信息</w:t>
      </w:r>
    </w:p>
    <w:p>
      <w:pPr>
        <w:pStyle w:val="3"/>
        <w:keepNext w:val="0"/>
        <w:keepLines w:val="0"/>
        <w:widowControl/>
        <w:suppressLineNumbers w:val="0"/>
        <w:spacing w:before="100" w:beforeAutospacing="0" w:after="120"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w:t>
      </w:r>
      <w:r>
        <w:rPr>
          <w:rFonts w:hint="default" w:ascii="Times New Roman" w:hAnsi="Times New Roman" w:eastAsia="宋体" w:cs="Times New Roman"/>
          <w:sz w:val="21"/>
          <w:szCs w:val="21"/>
        </w:rPr>
        <w:t>3</w:t>
      </w:r>
      <w:r>
        <w:rPr>
          <w:rFonts w:hint="eastAsia" w:ascii="宋体" w:hAnsi="宋体" w:eastAsia="宋体" w:cs="宋体"/>
          <w:sz w:val="21"/>
          <w:szCs w:val="21"/>
        </w:rPr>
        <w:t>）期末商誉为公司对外收购时所形成，因该类交易属于非同一控制下的企业合并，合并成本与被合并公司合并日净资产公允价值的差额在合并层面确认为商誉。该资产组与购买日、以前年度商誉减值测试时所确定的资产组一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说明商誉减值测试过程、关键参数（如预计未来现金流量现值时的预测期增长率、稳定期增长率、利润率、折现率、预测期等）及商誉减值损失的确认方法：</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商誉减值测试的影响</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66" w:name="_Toc989111"/>
      <w:r>
        <w:rPr>
          <w:rFonts w:ascii="宋体" w:hAnsi="宋体" w:eastAsia="宋体" w:cs="宋体"/>
          <w:b/>
          <w:bCs/>
          <w:sz w:val="21"/>
          <w:szCs w:val="21"/>
        </w:rPr>
        <w:t>18、长期待摊费用</w:t>
      </w:r>
      <w:bookmarkEnd w:id="16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本期摊销金额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其他减少金额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  他</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4,041,340.98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124,778.77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776,025.89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3,390,093.86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4,041,340.98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124,778.77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776,025.89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3,390,093.86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67" w:name="_Toc989112"/>
      <w:r>
        <w:rPr>
          <w:rFonts w:ascii="宋体" w:hAnsi="宋体" w:eastAsia="宋体" w:cs="宋体"/>
          <w:b/>
          <w:bCs/>
          <w:sz w:val="21"/>
          <w:szCs w:val="21"/>
        </w:rPr>
        <w:t>19、递延所得税资产/递延所得税负债</w:t>
      </w:r>
      <w:bookmarkEnd w:id="167"/>
    </w:p>
    <w:p>
      <w:pPr>
        <w:keepNext/>
        <w:keepLines/>
        <w:spacing w:before="300" w:after="300" w:line="280" w:lineRule="exact"/>
        <w:jc w:val="left"/>
        <w:outlineLvl w:val="3"/>
        <w:rPr>
          <w:rFonts w:ascii="宋体" w:hAnsi="宋体" w:eastAsia="宋体" w:cs="宋体"/>
          <w:b/>
          <w:bCs/>
          <w:sz w:val="21"/>
          <w:szCs w:val="21"/>
        </w:rPr>
      </w:pPr>
      <w:bookmarkStart w:id="168" w:name="_Toc989113"/>
      <w:r>
        <w:rPr>
          <w:rFonts w:ascii="宋体" w:hAnsi="宋体" w:eastAsia="宋体" w:cs="宋体"/>
          <w:b/>
          <w:bCs/>
          <w:sz w:val="21"/>
          <w:szCs w:val="21"/>
        </w:rPr>
        <w:t>（1） 未经抵销的递延所得税资产</w:t>
      </w:r>
      <w:bookmarkEnd w:id="16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资产减值准备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167,560,426.12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25,134,063.92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163,333,779.73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24,500,066.96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可抵扣亏损</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4,740,457.07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711,068.56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4,740,457.09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711,068.56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公允价值计量</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11,825,210.73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1,773,781.61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11,825,210.75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1,773,781.61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184,126,093.92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27,618,914.09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179,899,447.57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26,984,917.13</w:t>
            </w:r>
          </w:p>
        </w:tc>
      </w:tr>
    </w:tbl>
    <w:p>
      <w:pPr>
        <w:keepNext/>
        <w:keepLines/>
        <w:spacing w:before="300" w:after="300" w:line="280" w:lineRule="exact"/>
        <w:jc w:val="left"/>
        <w:outlineLvl w:val="3"/>
        <w:rPr>
          <w:rFonts w:ascii="宋体" w:hAnsi="宋体" w:eastAsia="宋体" w:cs="宋体"/>
          <w:b/>
          <w:bCs/>
          <w:sz w:val="21"/>
          <w:szCs w:val="21"/>
        </w:rPr>
      </w:pPr>
      <w:bookmarkStart w:id="169" w:name="_Toc989114"/>
      <w:r>
        <w:rPr>
          <w:rFonts w:ascii="宋体" w:hAnsi="宋体" w:eastAsia="宋体" w:cs="宋体"/>
          <w:b/>
          <w:bCs/>
          <w:sz w:val="21"/>
          <w:szCs w:val="21"/>
        </w:rPr>
        <w:t>（2） 未经抵销的递延所得税负债</w:t>
      </w:r>
      <w:bookmarkEnd w:id="16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递延所得税负债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非同一控制企业合并资产评估增值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24,583,153.33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3,687,473.00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26,200,196.95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3,930,029.54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公允价值计量</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10,978,216.60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1,646,732.49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10,978,216.66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1,646,732.49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35,561,369.93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5,334,205.49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37,178,413.61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5,576,762.03</w:t>
            </w:r>
          </w:p>
        </w:tc>
      </w:tr>
    </w:tbl>
    <w:p>
      <w:pPr>
        <w:keepNext/>
        <w:keepLines/>
        <w:spacing w:before="300" w:after="300" w:line="280" w:lineRule="exact"/>
        <w:jc w:val="left"/>
        <w:outlineLvl w:val="3"/>
        <w:rPr>
          <w:rFonts w:ascii="宋体" w:hAnsi="宋体" w:eastAsia="宋体" w:cs="宋体"/>
          <w:b/>
          <w:bCs/>
          <w:sz w:val="21"/>
          <w:szCs w:val="21"/>
        </w:rPr>
      </w:pPr>
      <w:bookmarkStart w:id="170" w:name="_Toc989115"/>
      <w:r>
        <w:rPr>
          <w:rFonts w:ascii="宋体" w:hAnsi="宋体" w:eastAsia="宋体" w:cs="宋体"/>
          <w:b/>
          <w:bCs/>
          <w:sz w:val="21"/>
          <w:szCs w:val="21"/>
        </w:rPr>
        <w:t>（3） 以抵销后净额列示的递延所得税资产或负债</w:t>
      </w:r>
      <w:bookmarkEnd w:id="17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递延所得税资产和负债期末互抵金额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抵销后递延所得税资产或负债期末余额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递延所得税资产和负债期初互抵金额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抵销后递延所得税资产或负债期初余额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27,618,914.09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26,984,917.13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5,334,205.49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5,576,762.03</w:t>
            </w:r>
          </w:p>
        </w:tc>
      </w:tr>
    </w:tbl>
    <w:p>
      <w:pPr>
        <w:keepNext/>
        <w:keepLines/>
        <w:spacing w:before="300" w:after="300" w:line="280" w:lineRule="exact"/>
        <w:jc w:val="left"/>
        <w:outlineLvl w:val="3"/>
        <w:rPr>
          <w:rFonts w:ascii="宋体" w:hAnsi="宋体" w:eastAsia="宋体" w:cs="宋体"/>
          <w:b/>
          <w:bCs/>
          <w:sz w:val="21"/>
          <w:szCs w:val="21"/>
        </w:rPr>
      </w:pPr>
      <w:bookmarkStart w:id="171" w:name="_Toc989116"/>
      <w:r>
        <w:rPr>
          <w:rFonts w:ascii="宋体" w:hAnsi="宋体" w:eastAsia="宋体" w:cs="宋体"/>
          <w:b/>
          <w:bCs/>
          <w:sz w:val="21"/>
          <w:szCs w:val="21"/>
        </w:rPr>
        <w:t>（4） 未确认递延所得税资产明细</w:t>
      </w:r>
      <w:bookmarkEnd w:id="17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可抵扣亏损</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122,953,942.47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122,953,942.47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122,953,942.47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122,953,942.47</w:t>
            </w:r>
          </w:p>
        </w:tc>
      </w:tr>
    </w:tbl>
    <w:p>
      <w:pPr>
        <w:keepNext/>
        <w:keepLines/>
        <w:spacing w:before="300" w:after="300" w:line="280" w:lineRule="exact"/>
        <w:jc w:val="left"/>
        <w:outlineLvl w:val="3"/>
        <w:rPr>
          <w:rFonts w:ascii="宋体" w:hAnsi="宋体" w:eastAsia="宋体" w:cs="宋体"/>
          <w:b/>
          <w:bCs/>
          <w:sz w:val="21"/>
          <w:szCs w:val="21"/>
        </w:rPr>
      </w:pPr>
      <w:bookmarkStart w:id="172" w:name="_Toc989117"/>
      <w:r>
        <w:rPr>
          <w:rFonts w:ascii="宋体" w:hAnsi="宋体" w:eastAsia="宋体" w:cs="宋体"/>
          <w:b/>
          <w:bCs/>
          <w:sz w:val="21"/>
          <w:szCs w:val="21"/>
        </w:rPr>
        <w:t>（5） 未确认递延所得税资产的可抵扣亏损将于以下年度到期</w:t>
      </w:r>
      <w:bookmarkEnd w:id="17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年份</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2027年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15,381,396.16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15,381,396.16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2028年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17,604,600.09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17,604,600.09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2029年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27,060,727.19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27,060,727.19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2030年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32,039,929.11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32,039,929.11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2031年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30,867,289.92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30,867,289.92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122,953,942.47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122,953,942.47</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73" w:name="_Toc989118"/>
      <w:r>
        <w:rPr>
          <w:rFonts w:ascii="宋体" w:hAnsi="宋体" w:eastAsia="宋体" w:cs="宋体"/>
          <w:b/>
          <w:bCs/>
          <w:sz w:val="21"/>
          <w:szCs w:val="21"/>
        </w:rPr>
        <w:t>20、其他非流动资产</w:t>
      </w:r>
      <w:bookmarkEnd w:id="17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预付设备及工程款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5,040,669.46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5,040,669.46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6,848,170.27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6,848,170.27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5,040,669.46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5,040,669.46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6,848,170.27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6,848,170.27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74" w:name="_Toc989119"/>
      <w:r>
        <w:rPr>
          <w:rFonts w:ascii="宋体" w:hAnsi="宋体" w:eastAsia="宋体" w:cs="宋体"/>
          <w:b/>
          <w:bCs/>
          <w:sz w:val="21"/>
          <w:szCs w:val="21"/>
        </w:rPr>
        <w:t>21、短期借款</w:t>
      </w:r>
      <w:bookmarkEnd w:id="174"/>
    </w:p>
    <w:p>
      <w:pPr>
        <w:keepNext/>
        <w:keepLines/>
        <w:spacing w:before="300" w:after="300" w:line="280" w:lineRule="exact"/>
        <w:jc w:val="left"/>
        <w:outlineLvl w:val="3"/>
        <w:rPr>
          <w:rFonts w:ascii="宋体" w:hAnsi="宋体" w:eastAsia="宋体" w:cs="宋体"/>
          <w:b/>
          <w:bCs/>
          <w:sz w:val="21"/>
          <w:szCs w:val="21"/>
        </w:rPr>
      </w:pPr>
      <w:bookmarkStart w:id="175" w:name="_Toc989120"/>
      <w:r>
        <w:rPr>
          <w:rFonts w:ascii="宋体" w:hAnsi="宋体" w:eastAsia="宋体" w:cs="宋体"/>
          <w:b/>
          <w:bCs/>
          <w:sz w:val="21"/>
          <w:szCs w:val="21"/>
        </w:rPr>
        <w:t>（1） 短期借款分类</w:t>
      </w:r>
      <w:bookmarkEnd w:id="17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短期借款分类的说明：</w:t>
      </w:r>
    </w:p>
    <w:p>
      <w:pPr>
        <w:keepNext/>
        <w:keepLines/>
        <w:spacing w:before="300" w:after="300" w:line="280" w:lineRule="exact"/>
        <w:jc w:val="left"/>
        <w:outlineLvl w:val="3"/>
        <w:rPr>
          <w:rFonts w:ascii="宋体" w:hAnsi="宋体" w:eastAsia="宋体" w:cs="宋体"/>
          <w:b/>
          <w:bCs/>
          <w:sz w:val="21"/>
          <w:szCs w:val="21"/>
        </w:rPr>
      </w:pPr>
      <w:bookmarkStart w:id="176" w:name="_Toc989121"/>
      <w:r>
        <w:rPr>
          <w:rFonts w:ascii="宋体" w:hAnsi="宋体" w:eastAsia="宋体" w:cs="宋体"/>
          <w:b/>
          <w:bCs/>
          <w:sz w:val="21"/>
          <w:szCs w:val="21"/>
        </w:rPr>
        <w:t>（2） 已逾期未偿还的短期借款情况</w:t>
      </w:r>
      <w:bookmarkEnd w:id="176"/>
    </w:p>
    <w:p>
      <w:pPr>
        <w:spacing w:before="40" w:after="40" w:line="240" w:lineRule="exact"/>
        <w:jc w:val="left"/>
        <w:rPr>
          <w:rFonts w:ascii="宋体" w:hAnsi="宋体" w:eastAsia="宋体" w:cs="宋体"/>
          <w:sz w:val="18"/>
          <w:szCs w:val="18"/>
        </w:rPr>
      </w:pPr>
      <w:r>
        <w:rPr>
          <w:rFonts w:ascii="宋体" w:hAnsi="宋体" w:eastAsia="宋体" w:cs="宋体"/>
          <w:sz w:val="18"/>
          <w:szCs w:val="18"/>
        </w:rPr>
        <w:t>本期末已逾期未偿还的短期借款总额为0.00元，其中重要的已逾期未偿还的短期借款情况如下：</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借款利率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逾期利率</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3"/>
        <w:keepNext w:val="0"/>
        <w:keepLines w:val="0"/>
        <w:widowControl/>
        <w:suppressLineNumbers w:val="0"/>
        <w:spacing w:before="40" w:beforeAutospacing="0" w:after="40" w:afterAutospacing="0"/>
        <w:ind w:left="0" w:firstLine="180"/>
        <w:jc w:val="left"/>
        <w:rPr>
          <w:rFonts w:hint="eastAsia" w:ascii="宋体" w:hAnsi="宋体" w:eastAsia="宋体" w:cs="宋体"/>
          <w:sz w:val="18"/>
          <w:szCs w:val="18"/>
        </w:rPr>
      </w:pPr>
      <w:r>
        <w:rPr>
          <w:rFonts w:hint="eastAsia" w:ascii="宋体" w:hAnsi="宋体" w:eastAsia="宋体" w:cs="宋体"/>
          <w:sz w:val="18"/>
          <w:szCs w:val="18"/>
        </w:rPr>
        <w:t>本期末已逾期未偿还的短期借款总额为</w:t>
      </w:r>
      <w:r>
        <w:rPr>
          <w:rFonts w:hint="default" w:ascii="Times New Roman" w:hAnsi="Times New Roman" w:eastAsia="宋体" w:cs="Times New Roman"/>
          <w:sz w:val="18"/>
          <w:szCs w:val="18"/>
        </w:rPr>
        <w:t>0.00</w:t>
      </w:r>
      <w:r>
        <w:rPr>
          <w:rFonts w:hint="eastAsia" w:ascii="宋体" w:hAnsi="宋体" w:eastAsia="宋体" w:cs="宋体"/>
          <w:sz w:val="18"/>
          <w:szCs w:val="18"/>
        </w:rPr>
        <w:t>元。</w:t>
      </w:r>
    </w:p>
    <w:p>
      <w:pPr>
        <w:keepNext/>
        <w:keepLines/>
        <w:spacing w:before="300" w:after="300" w:line="280" w:lineRule="exact"/>
        <w:jc w:val="left"/>
        <w:outlineLvl w:val="2"/>
        <w:rPr>
          <w:rFonts w:ascii="宋体" w:hAnsi="宋体" w:eastAsia="宋体" w:cs="宋体"/>
          <w:b/>
          <w:bCs/>
          <w:sz w:val="21"/>
          <w:szCs w:val="21"/>
        </w:rPr>
      </w:pPr>
      <w:bookmarkStart w:id="177" w:name="_Toc989122"/>
      <w:r>
        <w:rPr>
          <w:rFonts w:ascii="宋体" w:hAnsi="宋体" w:eastAsia="宋体" w:cs="宋体"/>
          <w:b/>
          <w:bCs/>
          <w:sz w:val="21"/>
          <w:szCs w:val="21"/>
        </w:rPr>
        <w:t>22、应付票据</w:t>
      </w:r>
      <w:bookmarkEnd w:id="17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种类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商业承兑汇票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10,245,116.90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12,031,722.06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60,396,481.41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65,574,710.00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70,641,598.31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77,606,432.06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本期末已到期未支付的应付票据总额为0.00元。</w:t>
      </w:r>
    </w:p>
    <w:p>
      <w:pPr>
        <w:keepNext/>
        <w:keepLines/>
        <w:spacing w:before="300" w:after="300" w:line="280" w:lineRule="exact"/>
        <w:jc w:val="left"/>
        <w:outlineLvl w:val="2"/>
        <w:rPr>
          <w:rFonts w:ascii="宋体" w:hAnsi="宋体" w:eastAsia="宋体" w:cs="宋体"/>
          <w:b/>
          <w:bCs/>
          <w:sz w:val="21"/>
          <w:szCs w:val="21"/>
        </w:rPr>
      </w:pPr>
      <w:bookmarkStart w:id="178" w:name="_Toc989123"/>
      <w:r>
        <w:rPr>
          <w:rFonts w:ascii="宋体" w:hAnsi="宋体" w:eastAsia="宋体" w:cs="宋体"/>
          <w:b/>
          <w:bCs/>
          <w:sz w:val="21"/>
          <w:szCs w:val="21"/>
        </w:rPr>
        <w:t>23、应付账款</w:t>
      </w:r>
      <w:bookmarkEnd w:id="178"/>
    </w:p>
    <w:p>
      <w:pPr>
        <w:keepNext/>
        <w:keepLines/>
        <w:spacing w:before="300" w:after="300" w:line="280" w:lineRule="exact"/>
        <w:jc w:val="left"/>
        <w:outlineLvl w:val="3"/>
        <w:rPr>
          <w:rFonts w:ascii="宋体" w:hAnsi="宋体" w:eastAsia="宋体" w:cs="宋体"/>
          <w:b/>
          <w:bCs/>
          <w:sz w:val="18"/>
          <w:szCs w:val="18"/>
        </w:rPr>
      </w:pPr>
      <w:bookmarkStart w:id="179" w:name="_Toc989124"/>
      <w:r>
        <w:rPr>
          <w:rFonts w:ascii="宋体" w:hAnsi="宋体" w:eastAsia="宋体" w:cs="宋体"/>
          <w:b/>
          <w:bCs/>
          <w:sz w:val="18"/>
          <w:szCs w:val="18"/>
        </w:rPr>
        <w:t>（1） 应付账款列示</w:t>
      </w:r>
      <w:bookmarkEnd w:id="17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材料款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i w:val="0"/>
                <w:caps w:val="0"/>
                <w:color w:val="333333"/>
                <w:spacing w:val="0"/>
                <w:sz w:val="18"/>
                <w:szCs w:val="18"/>
                <w:shd w:val="clear" w:fill="FFFFFF"/>
              </w:rPr>
              <w:t>91,774,982.85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65,286,561.99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工程及设备款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i w:val="0"/>
                <w:caps w:val="0"/>
                <w:color w:val="333333"/>
                <w:spacing w:val="0"/>
                <w:sz w:val="18"/>
                <w:szCs w:val="18"/>
                <w:shd w:val="clear" w:fill="FFFFFF"/>
              </w:rPr>
              <w:t>44,333,609.43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46,707,585.89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i w:val="0"/>
                <w:caps w:val="0"/>
                <w:color w:val="333333"/>
                <w:spacing w:val="0"/>
                <w:sz w:val="18"/>
                <w:szCs w:val="18"/>
                <w:shd w:val="clear" w:fill="FFFFFF"/>
              </w:rPr>
              <w:t>3,816,069.22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1,185,781.01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139,924,661.50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113,179,928.89</w:t>
            </w:r>
          </w:p>
        </w:tc>
      </w:tr>
    </w:tbl>
    <w:p>
      <w:pPr>
        <w:keepNext/>
        <w:keepLines/>
        <w:spacing w:before="300" w:after="300" w:line="280" w:lineRule="exact"/>
        <w:jc w:val="left"/>
        <w:outlineLvl w:val="3"/>
        <w:rPr>
          <w:rFonts w:ascii="宋体" w:hAnsi="宋体" w:eastAsia="宋体" w:cs="宋体"/>
          <w:b/>
          <w:bCs/>
          <w:sz w:val="18"/>
          <w:szCs w:val="18"/>
        </w:rPr>
      </w:pPr>
      <w:bookmarkStart w:id="180" w:name="_Toc989125"/>
      <w:r>
        <w:rPr>
          <w:rFonts w:ascii="宋体" w:hAnsi="宋体" w:eastAsia="宋体" w:cs="宋体"/>
          <w:b/>
          <w:bCs/>
          <w:sz w:val="18"/>
          <w:szCs w:val="18"/>
        </w:rPr>
        <w:t>（2） 账龄超过1年的重要应付账款</w:t>
      </w:r>
      <w:bookmarkEnd w:id="18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3"/>
        <w:keepNext w:val="0"/>
        <w:keepLines w:val="0"/>
        <w:widowControl/>
        <w:suppressLineNumbers w:val="0"/>
        <w:spacing w:before="100" w:beforeAutospacing="0" w:after="120"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期末无账龄超过</w:t>
      </w:r>
      <w:r>
        <w:rPr>
          <w:rFonts w:hint="default" w:ascii="Times New Roman" w:hAnsi="Times New Roman" w:eastAsia="宋体" w:cs="Times New Roman"/>
          <w:sz w:val="21"/>
          <w:szCs w:val="21"/>
        </w:rPr>
        <w:t>1</w:t>
      </w:r>
      <w:r>
        <w:rPr>
          <w:rFonts w:hint="eastAsia" w:ascii="宋体" w:hAnsi="宋体" w:eastAsia="宋体" w:cs="宋体"/>
          <w:sz w:val="21"/>
          <w:szCs w:val="21"/>
        </w:rPr>
        <w:t>年的重要应付账款。</w:t>
      </w:r>
    </w:p>
    <w:p>
      <w:pPr>
        <w:keepNext/>
        <w:keepLines/>
        <w:spacing w:before="300" w:after="300" w:line="280" w:lineRule="exact"/>
        <w:jc w:val="left"/>
        <w:outlineLvl w:val="2"/>
        <w:rPr>
          <w:rFonts w:ascii="宋体" w:hAnsi="宋体" w:eastAsia="宋体" w:cs="宋体"/>
          <w:b/>
          <w:bCs/>
          <w:sz w:val="21"/>
          <w:szCs w:val="21"/>
        </w:rPr>
      </w:pPr>
      <w:bookmarkStart w:id="181" w:name="_Toc989126"/>
      <w:r>
        <w:rPr>
          <w:rFonts w:ascii="宋体" w:hAnsi="宋体" w:eastAsia="宋体" w:cs="宋体"/>
          <w:b/>
          <w:bCs/>
          <w:sz w:val="21"/>
          <w:szCs w:val="21"/>
        </w:rPr>
        <w:t>24、预收款项</w:t>
      </w:r>
      <w:bookmarkEnd w:id="181"/>
    </w:p>
    <w:p>
      <w:pPr>
        <w:keepNext/>
        <w:keepLines/>
        <w:spacing w:before="300" w:after="300" w:line="280" w:lineRule="exact"/>
        <w:jc w:val="left"/>
        <w:outlineLvl w:val="3"/>
        <w:rPr>
          <w:rFonts w:ascii="宋体" w:hAnsi="宋体" w:eastAsia="宋体" w:cs="宋体"/>
          <w:b/>
          <w:bCs/>
          <w:sz w:val="18"/>
          <w:szCs w:val="18"/>
        </w:rPr>
      </w:pPr>
      <w:bookmarkStart w:id="182" w:name="_Toc989127"/>
      <w:r>
        <w:rPr>
          <w:rFonts w:ascii="宋体" w:hAnsi="宋体" w:eastAsia="宋体" w:cs="宋体"/>
          <w:b/>
          <w:bCs/>
          <w:sz w:val="18"/>
          <w:szCs w:val="18"/>
        </w:rPr>
        <w:t>（1） 预收款项列示</w:t>
      </w:r>
      <w:bookmarkEnd w:id="18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预收租金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533,651.81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592,600.01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533,651.81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592,600.01</w:t>
            </w:r>
          </w:p>
        </w:tc>
      </w:tr>
    </w:tbl>
    <w:p>
      <w:pPr>
        <w:keepNext/>
        <w:keepLines/>
        <w:spacing w:before="300" w:after="300" w:line="280" w:lineRule="exact"/>
        <w:jc w:val="left"/>
        <w:outlineLvl w:val="3"/>
        <w:rPr>
          <w:rFonts w:ascii="宋体" w:hAnsi="宋体" w:eastAsia="宋体" w:cs="宋体"/>
          <w:b/>
          <w:bCs/>
          <w:sz w:val="18"/>
          <w:szCs w:val="18"/>
        </w:rPr>
      </w:pPr>
      <w:bookmarkStart w:id="183" w:name="_Toc989128"/>
      <w:r>
        <w:rPr>
          <w:rFonts w:ascii="宋体" w:hAnsi="宋体" w:eastAsia="宋体" w:cs="宋体"/>
          <w:b/>
          <w:bCs/>
          <w:sz w:val="18"/>
          <w:szCs w:val="18"/>
        </w:rPr>
        <w:t>（2） 账龄超过1年的重要预收款项</w:t>
      </w:r>
      <w:bookmarkEnd w:id="18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84" w:name="_Toc989129"/>
      <w:r>
        <w:rPr>
          <w:rFonts w:ascii="宋体" w:hAnsi="宋体" w:eastAsia="宋体" w:cs="宋体"/>
          <w:b/>
          <w:bCs/>
          <w:sz w:val="21"/>
          <w:szCs w:val="21"/>
        </w:rPr>
        <w:t>25、合同负债</w:t>
      </w:r>
      <w:bookmarkEnd w:id="18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企业已收客户对价而应向客户转让商品/提供劳务的义务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9,420,042.54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9,924,497.97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9,420,042.54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9,924,497.97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报告期内账面价值发生重大变动的金额和原因</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0"/>
        <w:gridCol w:w="820"/>
        <w:gridCol w:w="80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变动金额</w:t>
            </w:r>
          </w:p>
        </w:tc>
        <w:tc>
          <w:tcPr>
            <w:tcW w:w="8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变动原因</w:t>
            </w:r>
          </w:p>
        </w:tc>
      </w:tr>
    </w:tbl>
    <w:p>
      <w:pPr>
        <w:keepNext/>
        <w:keepLines/>
        <w:spacing w:before="300" w:after="300" w:line="280" w:lineRule="exact"/>
        <w:jc w:val="left"/>
        <w:outlineLvl w:val="2"/>
        <w:rPr>
          <w:rFonts w:ascii="宋体" w:hAnsi="宋体" w:eastAsia="宋体" w:cs="宋体"/>
          <w:b/>
          <w:bCs/>
          <w:sz w:val="21"/>
          <w:szCs w:val="21"/>
        </w:rPr>
      </w:pPr>
      <w:bookmarkStart w:id="185" w:name="_Toc989130"/>
      <w:r>
        <w:rPr>
          <w:rFonts w:ascii="宋体" w:hAnsi="宋体" w:eastAsia="宋体" w:cs="宋体"/>
          <w:b/>
          <w:bCs/>
          <w:sz w:val="21"/>
          <w:szCs w:val="21"/>
        </w:rPr>
        <w:t>26、应付职工薪酬</w:t>
      </w:r>
      <w:bookmarkEnd w:id="185"/>
    </w:p>
    <w:p>
      <w:pPr>
        <w:keepNext/>
        <w:keepLines/>
        <w:spacing w:before="300" w:after="300" w:line="280" w:lineRule="exact"/>
        <w:jc w:val="left"/>
        <w:outlineLvl w:val="3"/>
        <w:rPr>
          <w:rFonts w:ascii="宋体" w:hAnsi="宋体" w:eastAsia="宋体" w:cs="宋体"/>
          <w:b/>
          <w:bCs/>
          <w:sz w:val="21"/>
          <w:szCs w:val="21"/>
        </w:rPr>
      </w:pPr>
      <w:bookmarkStart w:id="186" w:name="_Toc989131"/>
      <w:r>
        <w:rPr>
          <w:rFonts w:ascii="宋体" w:hAnsi="宋体" w:eastAsia="宋体" w:cs="宋体"/>
          <w:b/>
          <w:bCs/>
          <w:sz w:val="21"/>
          <w:szCs w:val="21"/>
        </w:rPr>
        <w:t>（1） 应付职工薪酬列示</w:t>
      </w:r>
      <w:bookmarkEnd w:id="18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一、短期薪酬</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31,501,048.85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61,491,833.58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78,297,249.27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14,695,633.16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二、离职后福利-设定提存计划</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2,589,139.17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2,589,139.17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31,501,048.85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64,080,972.75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80,886,388.44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14,695,633.16</w:t>
            </w:r>
          </w:p>
        </w:tc>
      </w:tr>
    </w:tbl>
    <w:p>
      <w:pPr>
        <w:keepNext/>
        <w:keepLines/>
        <w:spacing w:before="300" w:after="300" w:line="280" w:lineRule="exact"/>
        <w:jc w:val="left"/>
        <w:outlineLvl w:val="3"/>
        <w:rPr>
          <w:rFonts w:ascii="宋体" w:hAnsi="宋体" w:eastAsia="宋体" w:cs="宋体"/>
          <w:b/>
          <w:bCs/>
          <w:sz w:val="21"/>
          <w:szCs w:val="21"/>
        </w:rPr>
      </w:pPr>
      <w:bookmarkStart w:id="187" w:name="_Toc989132"/>
      <w:r>
        <w:rPr>
          <w:rFonts w:ascii="宋体" w:hAnsi="宋体" w:eastAsia="宋体" w:cs="宋体"/>
          <w:b/>
          <w:bCs/>
          <w:sz w:val="21"/>
          <w:szCs w:val="21"/>
        </w:rPr>
        <w:t>（2） 短期薪酬列示</w:t>
      </w:r>
      <w:bookmarkEnd w:id="18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1、工资、奖金、津贴和补贴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29,525,699.37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54,818,782.18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71,384,877.75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12,959,603.80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2、职工福利费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2,758,027.65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2,758,027.65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3、社会保险费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1,529,728.18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1,529,728.18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其中：医疗保险费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1,319,582.29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1,319,582.29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工伤保险费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169,258.64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169,258.64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生育保险费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40,887.25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40,887.25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4、住房公积金</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1,752,703.00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1,752,519.00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5、工会经费和职工教育经费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1,975,349.48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632,592.57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872,096.69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1,735,845.36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31,501,048.85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61,491,833.58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78,297,249.27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14,695,633.16</w:t>
            </w:r>
          </w:p>
        </w:tc>
      </w:tr>
    </w:tbl>
    <w:p>
      <w:pPr>
        <w:keepNext/>
        <w:keepLines/>
        <w:spacing w:before="300" w:after="300" w:line="280" w:lineRule="exact"/>
        <w:jc w:val="left"/>
        <w:outlineLvl w:val="3"/>
        <w:rPr>
          <w:rFonts w:ascii="宋体" w:hAnsi="宋体" w:eastAsia="宋体" w:cs="宋体"/>
          <w:b/>
          <w:bCs/>
          <w:sz w:val="21"/>
          <w:szCs w:val="21"/>
        </w:rPr>
      </w:pPr>
      <w:bookmarkStart w:id="188" w:name="_Toc989133"/>
      <w:r>
        <w:rPr>
          <w:rFonts w:ascii="宋体" w:hAnsi="宋体" w:eastAsia="宋体" w:cs="宋体"/>
          <w:b/>
          <w:bCs/>
          <w:sz w:val="21"/>
          <w:szCs w:val="21"/>
        </w:rPr>
        <w:t>（3） 设定提存计划列示</w:t>
      </w:r>
      <w:bookmarkEnd w:id="18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1、基本养老保险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2,476,085.12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2,476,085.12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2、失业保险费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113,054.05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113,054.05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2,589,139.17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2,589,139.17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89" w:name="_Toc989134"/>
      <w:r>
        <w:rPr>
          <w:rFonts w:ascii="宋体" w:hAnsi="宋体" w:eastAsia="宋体" w:cs="宋体"/>
          <w:b/>
          <w:bCs/>
          <w:sz w:val="21"/>
          <w:szCs w:val="21"/>
        </w:rPr>
        <w:t>27、应交税费</w:t>
      </w:r>
      <w:bookmarkEnd w:id="18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5,976,804.99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2,012,109.21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3,838,433.01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1,359,977.97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个人所得税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161,907.87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233,825.83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460,063.45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270,653.96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教育费附加及地方教育附加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324,178.72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188,888.34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39,564.02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38,411.67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18,482.84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23,481.85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10,819,434.90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4,127,348.83</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90" w:name="_Toc989135"/>
      <w:r>
        <w:rPr>
          <w:rFonts w:ascii="宋体" w:hAnsi="宋体" w:eastAsia="宋体" w:cs="宋体"/>
          <w:b/>
          <w:bCs/>
          <w:sz w:val="21"/>
          <w:szCs w:val="21"/>
        </w:rPr>
        <w:t>28、其他应付款</w:t>
      </w:r>
      <w:bookmarkEnd w:id="19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37,286,086.33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37,905,173.59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37,286,086.33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37,905,173.59</w:t>
            </w:r>
          </w:p>
        </w:tc>
      </w:tr>
    </w:tbl>
    <w:p>
      <w:pPr>
        <w:keepNext/>
        <w:keepLines/>
        <w:spacing w:before="300" w:after="300" w:line="280" w:lineRule="exact"/>
        <w:jc w:val="left"/>
        <w:outlineLvl w:val="3"/>
        <w:rPr>
          <w:rFonts w:ascii="宋体" w:hAnsi="宋体" w:eastAsia="宋体" w:cs="宋体"/>
          <w:b/>
          <w:bCs/>
          <w:sz w:val="18"/>
          <w:szCs w:val="18"/>
        </w:rPr>
      </w:pPr>
      <w:bookmarkStart w:id="191" w:name="_Toc989136"/>
      <w:r>
        <w:rPr>
          <w:rFonts w:ascii="宋体" w:hAnsi="宋体" w:eastAsia="宋体" w:cs="宋体"/>
          <w:b/>
          <w:bCs/>
          <w:sz w:val="18"/>
          <w:szCs w:val="18"/>
        </w:rPr>
        <w:t>（1） 应付利息</w:t>
      </w:r>
      <w:bookmarkEnd w:id="19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重要的已逾期未支付的利息情况：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192" w:name="_Toc989137"/>
      <w:r>
        <w:rPr>
          <w:rFonts w:ascii="宋体" w:hAnsi="宋体" w:eastAsia="宋体" w:cs="宋体"/>
          <w:b/>
          <w:bCs/>
          <w:sz w:val="18"/>
          <w:szCs w:val="18"/>
        </w:rPr>
        <w:t>（2） 其他应付款</w:t>
      </w:r>
      <w:bookmarkEnd w:id="192"/>
    </w:p>
    <w:p>
      <w:pPr>
        <w:keepNext/>
        <w:keepLines/>
        <w:spacing w:before="300" w:after="300" w:line="280" w:lineRule="exact"/>
        <w:jc w:val="left"/>
        <w:outlineLvl w:val="4"/>
        <w:rPr>
          <w:rFonts w:ascii="宋体" w:hAnsi="宋体" w:eastAsia="宋体" w:cs="宋体"/>
          <w:b/>
          <w:bCs/>
          <w:sz w:val="18"/>
          <w:szCs w:val="18"/>
        </w:rPr>
      </w:pPr>
      <w:bookmarkStart w:id="193" w:name="_Toc989138"/>
      <w:r>
        <w:rPr>
          <w:rFonts w:ascii="宋体" w:hAnsi="宋体" w:eastAsia="宋体" w:cs="宋体"/>
          <w:b/>
          <w:bCs/>
          <w:sz w:val="18"/>
          <w:szCs w:val="18"/>
        </w:rPr>
        <w:t>1） 按款项性质列示其他应付款</w:t>
      </w:r>
      <w:bookmarkEnd w:id="19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2,426,086.33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3,045,173.59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联营企业股权转让款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37,286,086.33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37,905,173.59</w:t>
            </w:r>
          </w:p>
        </w:tc>
      </w:tr>
    </w:tbl>
    <w:p>
      <w:pPr>
        <w:keepNext/>
        <w:keepLines/>
        <w:spacing w:before="300" w:after="300" w:line="280" w:lineRule="exact"/>
        <w:jc w:val="left"/>
        <w:outlineLvl w:val="4"/>
        <w:rPr>
          <w:rFonts w:ascii="宋体" w:hAnsi="宋体" w:eastAsia="宋体" w:cs="宋体"/>
          <w:b/>
          <w:bCs/>
          <w:sz w:val="18"/>
          <w:szCs w:val="18"/>
        </w:rPr>
      </w:pPr>
      <w:bookmarkStart w:id="194" w:name="_Toc989139"/>
      <w:r>
        <w:rPr>
          <w:rFonts w:ascii="宋体" w:hAnsi="宋体" w:eastAsia="宋体" w:cs="宋体"/>
          <w:b/>
          <w:bCs/>
          <w:sz w:val="18"/>
          <w:szCs w:val="18"/>
        </w:rPr>
        <w:t>2） 账龄超过1年的重要其他应付款</w:t>
      </w:r>
      <w:bookmarkEnd w:id="19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3"/>
        <w:keepNext w:val="0"/>
        <w:keepLines w:val="0"/>
        <w:widowControl/>
        <w:suppressLineNumbers w:val="0"/>
        <w:spacing w:before="40" w:beforeAutospacing="0" w:after="40" w:afterAutospacing="0"/>
        <w:jc w:val="right"/>
        <w:rPr>
          <w:rFonts w:hint="eastAsia" w:ascii="宋体" w:hAnsi="宋体" w:eastAsia="宋体" w:cs="宋体"/>
          <w:sz w:val="18"/>
          <w:szCs w:val="18"/>
        </w:rPr>
      </w:pPr>
      <w:r>
        <w:rPr>
          <w:rFonts w:hint="eastAsia" w:ascii="宋体" w:hAnsi="宋体" w:eastAsia="宋体" w:cs="宋体"/>
          <w:sz w:val="18"/>
          <w:szCs w:val="18"/>
        </w:rPr>
        <w:t> </w:t>
      </w:r>
    </w:p>
    <w:p>
      <w:pPr>
        <w:pStyle w:val="3"/>
        <w:keepNext w:val="0"/>
        <w:keepLines w:val="0"/>
        <w:widowControl/>
        <w:suppressLineNumbers w:val="0"/>
        <w:spacing w:before="0" w:beforeAutospacing="0" w:after="0"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期末无账龄超过</w:t>
      </w:r>
      <w:r>
        <w:rPr>
          <w:rFonts w:hint="default" w:ascii="Times New Roman" w:hAnsi="Times New Roman" w:eastAsia="宋体" w:cs="Times New Roman"/>
          <w:sz w:val="21"/>
          <w:szCs w:val="21"/>
        </w:rPr>
        <w:t>1</w:t>
      </w:r>
      <w:r>
        <w:rPr>
          <w:rFonts w:hint="eastAsia" w:ascii="宋体" w:hAnsi="宋体" w:eastAsia="宋体" w:cs="宋体"/>
          <w:sz w:val="21"/>
          <w:szCs w:val="21"/>
        </w:rPr>
        <w:t>年的重要其他应付款。</w:t>
      </w:r>
    </w:p>
    <w:p>
      <w:pPr>
        <w:keepNext/>
        <w:keepLines/>
        <w:spacing w:before="300" w:after="300" w:line="280" w:lineRule="exact"/>
        <w:jc w:val="left"/>
        <w:outlineLvl w:val="2"/>
        <w:rPr>
          <w:rFonts w:ascii="宋体" w:hAnsi="宋体" w:eastAsia="宋体" w:cs="宋体"/>
          <w:b/>
          <w:bCs/>
          <w:sz w:val="21"/>
          <w:szCs w:val="21"/>
        </w:rPr>
      </w:pPr>
      <w:bookmarkStart w:id="195" w:name="_Toc989140"/>
      <w:r>
        <w:rPr>
          <w:rFonts w:ascii="宋体" w:hAnsi="宋体" w:eastAsia="宋体" w:cs="宋体"/>
          <w:b/>
          <w:bCs/>
          <w:sz w:val="21"/>
          <w:szCs w:val="21"/>
        </w:rPr>
        <w:t>29、一年内到期的非流动负债</w:t>
      </w:r>
      <w:bookmarkEnd w:id="19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一年内到期的长期借款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41,601,700.00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41,841,863.89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41,601,700.00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41,841,863.89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96" w:name="_Toc989141"/>
      <w:r>
        <w:rPr>
          <w:rFonts w:ascii="宋体" w:hAnsi="宋体" w:eastAsia="宋体" w:cs="宋体"/>
          <w:b/>
          <w:bCs/>
          <w:sz w:val="21"/>
          <w:szCs w:val="21"/>
        </w:rPr>
        <w:t>30、其他流动负债</w:t>
      </w:r>
      <w:bookmarkEnd w:id="19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已背书未终止确认的应收票据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84,294,492.94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61,279,001.18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待转销项税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1,157,080.94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1,222,874.55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已背书未终止确认的应收账款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2,498,000.00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87,949,573.88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62,501,875.73</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短期应付债券的增减变动：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债券名称</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发行日期</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债券期限</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发行金额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本期发行</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按面值计提利息</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溢折价摊销</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本期偿还</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97" w:name="_Toc989142"/>
      <w:r>
        <w:rPr>
          <w:rFonts w:ascii="宋体" w:hAnsi="宋体" w:eastAsia="宋体" w:cs="宋体"/>
          <w:b/>
          <w:bCs/>
          <w:sz w:val="21"/>
          <w:szCs w:val="21"/>
        </w:rPr>
        <w:t>31、长期借款</w:t>
      </w:r>
      <w:bookmarkEnd w:id="197"/>
    </w:p>
    <w:p>
      <w:pPr>
        <w:keepNext/>
        <w:keepLines/>
        <w:spacing w:before="300" w:after="300" w:line="280" w:lineRule="exact"/>
        <w:jc w:val="left"/>
        <w:outlineLvl w:val="3"/>
        <w:rPr>
          <w:rFonts w:ascii="宋体" w:hAnsi="宋体" w:eastAsia="宋体" w:cs="宋体"/>
          <w:b/>
          <w:bCs/>
          <w:sz w:val="18"/>
          <w:szCs w:val="18"/>
        </w:rPr>
      </w:pPr>
      <w:bookmarkStart w:id="198" w:name="_Toc989143"/>
      <w:r>
        <w:rPr>
          <w:rFonts w:ascii="宋体" w:hAnsi="宋体" w:eastAsia="宋体" w:cs="宋体"/>
          <w:b/>
          <w:bCs/>
          <w:sz w:val="18"/>
          <w:szCs w:val="18"/>
        </w:rPr>
        <w:t>（1） 长期借款分类</w:t>
      </w:r>
      <w:bookmarkEnd w:id="19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信用借款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77,065,450.00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78,058,933.33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77,065,450.00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78,058,933.33</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长期借款分类的说明：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其他说明，包括利率区间：</w:t>
      </w:r>
    </w:p>
    <w:p>
      <w:pPr>
        <w:keepNext/>
        <w:keepLines/>
        <w:spacing w:before="300" w:after="300" w:line="280" w:lineRule="exact"/>
        <w:jc w:val="left"/>
        <w:outlineLvl w:val="2"/>
        <w:rPr>
          <w:rFonts w:ascii="宋体" w:hAnsi="宋体" w:eastAsia="宋体" w:cs="宋体"/>
          <w:b/>
          <w:bCs/>
          <w:sz w:val="21"/>
          <w:szCs w:val="21"/>
        </w:rPr>
      </w:pPr>
      <w:bookmarkStart w:id="199" w:name="_Toc989144"/>
      <w:r>
        <w:rPr>
          <w:rFonts w:ascii="宋体" w:hAnsi="宋体" w:eastAsia="宋体" w:cs="宋体"/>
          <w:b/>
          <w:bCs/>
          <w:sz w:val="21"/>
          <w:szCs w:val="21"/>
        </w:rPr>
        <w:t>32、递延收益</w:t>
      </w:r>
      <w:bookmarkEnd w:id="19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政府补助</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73,288,329.86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12,274,300.00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5,241,159.42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80,321,470.44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73,288,329.86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12,274,300.00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5,241,159.42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80,321,470.44</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涉及政府补助的项目：</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本期新增补助金额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本期计入营业外收入金额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本期计入其他收益金额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本期冲减成本费用金额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与资产相关/与收益相关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C919研制保障条件建设项目政府补助</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37,307,755.09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10,660,000.00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2,394,752.16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45,573,002.93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305吨高性能碳/碳复合材料研发与产业化项目</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10,061,131.43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808,575.78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9,252,555.65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C/C复合材料技术产业化项目专项资金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9,961,143.40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156,063.56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9,805,079.84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军民融合产业发展专项资金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8,772,246.36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467,720.16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8,304,526.20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2018年制造强省专项资金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2,587,500.00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2,512,500.00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国家炭/炭复合材料工程技术研究中心项目</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1,975,000.00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1,825,000.00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2021智能化技改项目</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1,614,300.00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1,614,300.00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805,029.86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2,423,570.14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航天航空用炭/炭复合材料高技术产业化项目</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797,055.33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268,273.07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528,782.26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国产炭纤维增强、低成本、高性能炭/炭复合材料产业化项目</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212,197.85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115,744.83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96,453.02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性能检测和安全技术研究</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73,288,329.86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12,274,300.00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5,241,159.42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80,321,470.44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00" w:name="_Toc989145"/>
      <w:r>
        <w:rPr>
          <w:rFonts w:ascii="宋体" w:hAnsi="宋体" w:eastAsia="宋体" w:cs="宋体"/>
          <w:b/>
          <w:bCs/>
          <w:sz w:val="21"/>
          <w:szCs w:val="21"/>
        </w:rPr>
        <w:t>33、股本</w:t>
      </w:r>
      <w:bookmarkEnd w:id="20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024"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本次变动增减（+、-）</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发行新股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送股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公积金转股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股份总数</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tbl>
      <w:tblPr>
        <w:tblStyle w:val="4"/>
        <w:tblW w:w="982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44"/>
        <w:gridCol w:w="1275"/>
        <w:gridCol w:w="810"/>
        <w:gridCol w:w="660"/>
        <w:gridCol w:w="390"/>
        <w:gridCol w:w="810"/>
        <w:gridCol w:w="1215"/>
        <w:gridCol w:w="1230"/>
        <w:gridCol w:w="1275"/>
        <w:gridCol w:w="9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bookmarkStart w:id="201" w:name="_Toc989146"/>
          </w:p>
        </w:tc>
        <w:tc>
          <w:tcPr>
            <w:tcW w:w="208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本次变动前</w:t>
            </w:r>
          </w:p>
        </w:tc>
        <w:tc>
          <w:tcPr>
            <w:tcW w:w="4305"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本次变动增减（＋，－）</w:t>
            </w:r>
          </w:p>
        </w:tc>
        <w:tc>
          <w:tcPr>
            <w:tcW w:w="219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8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6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发行新股</w:t>
            </w:r>
          </w:p>
        </w:tc>
        <w:tc>
          <w:tcPr>
            <w:tcW w:w="39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送股</w:t>
            </w:r>
          </w:p>
        </w:tc>
        <w:tc>
          <w:tcPr>
            <w:tcW w:w="8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公积金转股</w:t>
            </w:r>
          </w:p>
        </w:tc>
        <w:tc>
          <w:tcPr>
            <w:tcW w:w="12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23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9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一、有限售条件股份</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101,789,774</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17.76%</w:t>
            </w: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-77,596,226</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-77,596,226</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1、国家持股</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2、国有法人持股</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64,822,034</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11.31%</w:t>
            </w: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-40,628,486</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-40,628,486</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3、其他内资持股</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36,967,740</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w:t>
            </w: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-36,967,740</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-36,967,740</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其中：境内法人持股</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36,967,740</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w:t>
            </w: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-36,967,740</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-36,967,740</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境内自然人持股</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4、外资持股</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其中：境外法人持股</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境外自然人持股</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二、无限售条件股份</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471,315,045</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82.24%</w:t>
            </w: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77,596,226</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77,596,226</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548,911,271</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1、人民币普通股</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471,315,045</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82.24%</w:t>
            </w: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77,596,226</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77,596,226</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548,911,271</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2、境内上市的外资股</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3、境外上市的外资股</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4、其他</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三、股份总数</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bl>
    <w:p>
      <w:pPr>
        <w:keepNext/>
        <w:keepLines/>
        <w:spacing w:before="300" w:after="300" w:line="280" w:lineRule="exact"/>
        <w:jc w:val="left"/>
        <w:outlineLvl w:val="2"/>
        <w:rPr>
          <w:rFonts w:ascii="宋体" w:hAnsi="宋体" w:eastAsia="宋体" w:cs="宋体"/>
          <w:b/>
          <w:bCs/>
          <w:sz w:val="21"/>
          <w:szCs w:val="21"/>
        </w:rPr>
      </w:pPr>
      <w:r>
        <w:rPr>
          <w:rFonts w:ascii="宋体" w:hAnsi="宋体" w:eastAsia="宋体" w:cs="宋体"/>
          <w:b/>
          <w:bCs/>
          <w:sz w:val="21"/>
          <w:szCs w:val="21"/>
        </w:rPr>
        <w:t>34、资本公积</w:t>
      </w:r>
      <w:bookmarkEnd w:id="20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资本溢价（股本溢价）</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1,678,317,226.47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1,678,317,226.47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其他资本公积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44,466.60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44,466.60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其他说明，包括本期增减变动情况、变动原因说明：</w:t>
      </w:r>
    </w:p>
    <w:p>
      <w:pPr>
        <w:keepNext/>
        <w:keepLines/>
        <w:spacing w:before="300" w:after="300" w:line="280" w:lineRule="exact"/>
        <w:jc w:val="left"/>
        <w:outlineLvl w:val="2"/>
        <w:rPr>
          <w:rFonts w:ascii="宋体" w:hAnsi="宋体" w:eastAsia="宋体" w:cs="宋体"/>
          <w:b/>
          <w:bCs/>
          <w:sz w:val="21"/>
          <w:szCs w:val="21"/>
        </w:rPr>
      </w:pPr>
      <w:bookmarkStart w:id="202" w:name="_Toc989147"/>
      <w:r>
        <w:rPr>
          <w:rFonts w:ascii="宋体" w:hAnsi="宋体" w:eastAsia="宋体" w:cs="宋体"/>
          <w:b/>
          <w:bCs/>
          <w:sz w:val="21"/>
          <w:szCs w:val="21"/>
        </w:rPr>
        <w:t>35、其他综合收益</w:t>
      </w:r>
      <w:bookmarkEnd w:id="20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54"/>
        <w:gridCol w:w="900"/>
        <w:gridCol w:w="859"/>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5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9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214"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5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9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本期所得税前发生额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减：前期计入其他综合收益当期转入损益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减：前期计入其他综合收益当期转入留存收益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减：所得税费用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税后归属于母公司</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税后归属于少数股东</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5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929,844.02</w:t>
            </w:r>
          </w:p>
        </w:tc>
        <w:tc>
          <w:tcPr>
            <w:tcW w:w="85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929,844.02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5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其他权益工具投资公允价值变动</w:t>
            </w: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929,844.02</w:t>
            </w:r>
          </w:p>
        </w:tc>
        <w:tc>
          <w:tcPr>
            <w:tcW w:w="85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929,844.02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5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其他综合收益合计</w:t>
            </w: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929,844.02</w:t>
            </w:r>
          </w:p>
        </w:tc>
        <w:tc>
          <w:tcPr>
            <w:tcW w:w="85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929,844.02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其他说明，包括对现金流量套期损益的有效部分转为被套期项目初始确认金额调整：</w:t>
      </w:r>
    </w:p>
    <w:p>
      <w:pPr>
        <w:keepNext/>
        <w:keepLines/>
        <w:spacing w:before="300" w:after="300" w:line="280" w:lineRule="exact"/>
        <w:jc w:val="left"/>
        <w:outlineLvl w:val="2"/>
        <w:rPr>
          <w:rFonts w:ascii="宋体" w:hAnsi="宋体" w:eastAsia="宋体" w:cs="宋体"/>
          <w:b/>
          <w:bCs/>
          <w:sz w:val="21"/>
          <w:szCs w:val="21"/>
        </w:rPr>
      </w:pPr>
      <w:bookmarkStart w:id="203" w:name="_Toc989148"/>
      <w:r>
        <w:rPr>
          <w:rFonts w:ascii="宋体" w:hAnsi="宋体" w:eastAsia="宋体" w:cs="宋体"/>
          <w:b/>
          <w:bCs/>
          <w:sz w:val="21"/>
          <w:szCs w:val="21"/>
        </w:rPr>
        <w:t>36、盈余公积</w:t>
      </w:r>
      <w:bookmarkEnd w:id="20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法定盈余公积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盈余公积说明，包括本期增减变动情况、变动原因说明：</w:t>
      </w:r>
    </w:p>
    <w:p>
      <w:pPr>
        <w:keepNext/>
        <w:keepLines/>
        <w:spacing w:before="300" w:after="300" w:line="280" w:lineRule="exact"/>
        <w:jc w:val="left"/>
        <w:outlineLvl w:val="2"/>
        <w:rPr>
          <w:rFonts w:ascii="宋体" w:hAnsi="宋体" w:eastAsia="宋体" w:cs="宋体"/>
          <w:b/>
          <w:bCs/>
          <w:sz w:val="21"/>
          <w:szCs w:val="21"/>
        </w:rPr>
      </w:pPr>
      <w:bookmarkStart w:id="204" w:name="_Toc989149"/>
      <w:r>
        <w:rPr>
          <w:rFonts w:ascii="宋体" w:hAnsi="宋体" w:eastAsia="宋体" w:cs="宋体"/>
          <w:b/>
          <w:bCs/>
          <w:sz w:val="21"/>
          <w:szCs w:val="21"/>
        </w:rPr>
        <w:t>37、未分配利润</w:t>
      </w:r>
      <w:bookmarkEnd w:id="20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调整前上期末未分配利润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-217,240,496.67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-236,143,143.26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调整后期初未分配利润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-217,240,496.67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-236,143,143.26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加：本期归属于母公司所有者的净利润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16,884,923.86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18,902,646.59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-200,355,572.81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-217,240,496.67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调整期初未分配利润明细：</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1)、由于《企业会计准则》及其相关新规定进行追溯调整，影响期初未分配利润0.00元。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2)、由于会计政策变更，影响期初未分配利润0.00元。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3)、由于重大会计差错更正，影响期初未分配利润0.00元。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4)、由于同一控制导致的合并范围变更，影响期初未分配利润0.00元。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5)、其他调整合计影响期初未分配利润0.00元。</w:t>
      </w:r>
    </w:p>
    <w:p>
      <w:pPr>
        <w:keepNext/>
        <w:keepLines/>
        <w:spacing w:before="300" w:after="300" w:line="280" w:lineRule="exact"/>
        <w:jc w:val="left"/>
        <w:outlineLvl w:val="2"/>
        <w:rPr>
          <w:rFonts w:ascii="宋体" w:hAnsi="宋体" w:eastAsia="宋体" w:cs="宋体"/>
          <w:b/>
          <w:bCs/>
          <w:sz w:val="21"/>
          <w:szCs w:val="21"/>
        </w:rPr>
      </w:pPr>
      <w:bookmarkStart w:id="205" w:name="_Toc989150"/>
      <w:r>
        <w:rPr>
          <w:rFonts w:ascii="宋体" w:hAnsi="宋体" w:eastAsia="宋体" w:cs="宋体"/>
          <w:b/>
          <w:bCs/>
          <w:sz w:val="21"/>
          <w:szCs w:val="21"/>
        </w:rPr>
        <w:t>38、营业收入和营业成本</w:t>
      </w:r>
      <w:bookmarkEnd w:id="20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278,665,695.11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215,025,678.24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224,326,304.95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164,343,921.85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14,615,310.36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4,144,507.55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10,473,742.17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2,791,439.85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293,281,005.47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219,170,185.79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234,800,047.12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167,135,361.70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收入相关信息：</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5000" w:type="pct"/>
        <w:tblInd w:w="0" w:type="dxa"/>
        <w:tblLayout w:type="autofit"/>
        <w:tblCellMar>
          <w:top w:w="0" w:type="dxa"/>
          <w:left w:w="108" w:type="dxa"/>
          <w:bottom w:w="0" w:type="dxa"/>
          <w:right w:w="108" w:type="dxa"/>
        </w:tblCellMar>
      </w:tblPr>
      <w:tblGrid>
        <w:gridCol w:w="2502"/>
        <w:gridCol w:w="2164"/>
        <w:gridCol w:w="2024"/>
        <w:gridCol w:w="1238"/>
        <w:gridCol w:w="1925"/>
      </w:tblGrid>
      <w:tr>
        <w:tblPrEx>
          <w:tblCellMar>
            <w:top w:w="0" w:type="dxa"/>
            <w:left w:w="108" w:type="dxa"/>
            <w:bottom w:w="0" w:type="dxa"/>
            <w:right w:w="108" w:type="dxa"/>
          </w:tblCellMar>
        </w:tblPrEx>
        <w:trPr>
          <w:trHeight w:val="285" w:hRule="atLeast"/>
        </w:trPr>
        <w:tc>
          <w:tcPr>
            <w:tcW w:w="1270" w:type="pct"/>
            <w:tcBorders>
              <w:top w:val="single" w:color="000000" w:sz="8" w:space="0"/>
              <w:left w:val="single" w:color="000000" w:sz="8" w:space="0"/>
              <w:bottom w:val="single" w:color="000000" w:sz="8" w:space="0"/>
              <w:right w:val="single" w:color="000000" w:sz="8" w:space="0"/>
            </w:tcBorders>
            <w:shd w:val="clear" w:color="auto" w:fill="D3D3D3"/>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合同分类</w:t>
            </w:r>
          </w:p>
        </w:tc>
        <w:tc>
          <w:tcPr>
            <w:tcW w:w="1098" w:type="pct"/>
            <w:tcBorders>
              <w:top w:val="single" w:color="000000" w:sz="8" w:space="0"/>
              <w:left w:val="nil"/>
              <w:bottom w:val="single" w:color="000000" w:sz="8" w:space="0"/>
              <w:right w:val="single" w:color="000000" w:sz="8" w:space="0"/>
            </w:tcBorders>
            <w:shd w:val="clear" w:color="auto" w:fill="D3D3D3"/>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分部1</w:t>
            </w:r>
          </w:p>
        </w:tc>
        <w:tc>
          <w:tcPr>
            <w:tcW w:w="1027" w:type="pct"/>
            <w:tcBorders>
              <w:top w:val="single" w:color="000000" w:sz="8" w:space="0"/>
              <w:left w:val="nil"/>
              <w:bottom w:val="single" w:color="000000" w:sz="8" w:space="0"/>
              <w:right w:val="single" w:color="000000" w:sz="8" w:space="0"/>
            </w:tcBorders>
            <w:shd w:val="clear" w:color="auto" w:fill="D3D3D3"/>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分部2</w:t>
            </w:r>
          </w:p>
        </w:tc>
        <w:tc>
          <w:tcPr>
            <w:tcW w:w="628" w:type="pct"/>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c>
          <w:tcPr>
            <w:tcW w:w="977" w:type="pct"/>
            <w:tcBorders>
              <w:top w:val="single" w:color="000000" w:sz="8" w:space="0"/>
              <w:left w:val="nil"/>
              <w:bottom w:val="single" w:color="000000" w:sz="8" w:space="0"/>
              <w:right w:val="single" w:color="000000" w:sz="8" w:space="0"/>
            </w:tcBorders>
            <w:shd w:val="clear" w:color="auto" w:fill="D3D3D3"/>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D3D3D3"/>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商品类型</w:t>
            </w:r>
          </w:p>
        </w:tc>
        <w:tc>
          <w:tcPr>
            <w:tcW w:w="109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102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62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97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D3D3D3"/>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其中：</w:t>
            </w:r>
          </w:p>
        </w:tc>
        <w:tc>
          <w:tcPr>
            <w:tcW w:w="1098"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c>
          <w:tcPr>
            <w:tcW w:w="1027"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c>
          <w:tcPr>
            <w:tcW w:w="628"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c>
          <w:tcPr>
            <w:tcW w:w="977"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航空航天及民用炭\炭复合材料</w:t>
            </w:r>
          </w:p>
        </w:tc>
        <w:tc>
          <w:tcPr>
            <w:tcW w:w="109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102,132,301.48 </w:t>
            </w:r>
          </w:p>
        </w:tc>
        <w:tc>
          <w:tcPr>
            <w:tcW w:w="102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62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97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102,132,301.48 </w:t>
            </w: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硬质合金</w:t>
            </w:r>
          </w:p>
        </w:tc>
        <w:tc>
          <w:tcPr>
            <w:tcW w:w="109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102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131,088,361.89 </w:t>
            </w:r>
          </w:p>
        </w:tc>
        <w:tc>
          <w:tcPr>
            <w:tcW w:w="62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97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131,088,361.89 </w:t>
            </w: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稀有金属粉体新材料</w:t>
            </w:r>
          </w:p>
        </w:tc>
        <w:tc>
          <w:tcPr>
            <w:tcW w:w="109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102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45,445,031.74 </w:t>
            </w:r>
          </w:p>
        </w:tc>
        <w:tc>
          <w:tcPr>
            <w:tcW w:w="62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97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45,445,031.74 </w:t>
            </w: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w:t>
            </w:r>
          </w:p>
        </w:tc>
        <w:tc>
          <w:tcPr>
            <w:tcW w:w="109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5,233,474.19 </w:t>
            </w:r>
          </w:p>
        </w:tc>
        <w:tc>
          <w:tcPr>
            <w:tcW w:w="102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9,381,836.17 </w:t>
            </w:r>
          </w:p>
        </w:tc>
        <w:tc>
          <w:tcPr>
            <w:tcW w:w="62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97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14,615,310.36 </w:t>
            </w: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D3D3D3"/>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按经营地区分类</w:t>
            </w:r>
          </w:p>
        </w:tc>
        <w:tc>
          <w:tcPr>
            <w:tcW w:w="109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102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62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97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D3D3D3"/>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其中：</w:t>
            </w:r>
          </w:p>
        </w:tc>
        <w:tc>
          <w:tcPr>
            <w:tcW w:w="1098"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c>
          <w:tcPr>
            <w:tcW w:w="1027"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c>
          <w:tcPr>
            <w:tcW w:w="628"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c>
          <w:tcPr>
            <w:tcW w:w="977"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国内地区</w:t>
            </w:r>
          </w:p>
        </w:tc>
        <w:tc>
          <w:tcPr>
            <w:tcW w:w="1098" w:type="pct"/>
            <w:tcBorders>
              <w:top w:val="nil"/>
              <w:left w:val="nil"/>
              <w:bottom w:val="single" w:color="000000" w:sz="8" w:space="0"/>
              <w:right w:val="single" w:color="000000" w:sz="8" w:space="0"/>
            </w:tcBorders>
            <w:shd w:val="clear" w:color="auto" w:fill="FFFFFF"/>
            <w:vAlign w:val="center"/>
          </w:tcPr>
          <w:p>
            <w:pPr>
              <w:widowControl/>
              <w:jc w:val="righ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107,365,775.67</w:t>
            </w:r>
          </w:p>
        </w:tc>
        <w:tc>
          <w:tcPr>
            <w:tcW w:w="102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169,112,036.91 </w:t>
            </w:r>
          </w:p>
        </w:tc>
        <w:tc>
          <w:tcPr>
            <w:tcW w:w="62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97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276,477,812.58 </w:t>
            </w: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国外地区</w:t>
            </w:r>
          </w:p>
        </w:tc>
        <w:tc>
          <w:tcPr>
            <w:tcW w:w="1098" w:type="pct"/>
            <w:tcBorders>
              <w:top w:val="nil"/>
              <w:left w:val="nil"/>
              <w:bottom w:val="single" w:color="000000" w:sz="8" w:space="0"/>
              <w:right w:val="single" w:color="000000" w:sz="8" w:space="0"/>
            </w:tcBorders>
            <w:shd w:val="clear" w:color="auto" w:fill="FFFFFF"/>
            <w:vAlign w:val="center"/>
          </w:tcPr>
          <w:p>
            <w:pPr>
              <w:widowControl/>
              <w:jc w:val="right"/>
              <w:rPr>
                <w:rFonts w:ascii="Times New Roman" w:hAnsi="Times New Roman" w:eastAsia="宋体" w:cs="Times New Roman"/>
                <w:color w:val="000000"/>
                <w:kern w:val="0"/>
                <w:sz w:val="18"/>
                <w:szCs w:val="18"/>
              </w:rPr>
            </w:pPr>
          </w:p>
        </w:tc>
        <w:tc>
          <w:tcPr>
            <w:tcW w:w="102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16,803,192.89 </w:t>
            </w:r>
          </w:p>
        </w:tc>
        <w:tc>
          <w:tcPr>
            <w:tcW w:w="62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97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16,803,192.89 </w:t>
            </w: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D3D3D3"/>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市场或客户类型</w:t>
            </w:r>
          </w:p>
        </w:tc>
        <w:tc>
          <w:tcPr>
            <w:tcW w:w="109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102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62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97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D3D3D3"/>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其中：</w:t>
            </w:r>
          </w:p>
        </w:tc>
        <w:tc>
          <w:tcPr>
            <w:tcW w:w="1098"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c>
          <w:tcPr>
            <w:tcW w:w="1027"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c>
          <w:tcPr>
            <w:tcW w:w="628"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c>
          <w:tcPr>
            <w:tcW w:w="977"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航空航天及民用炭\炭复合材料</w:t>
            </w:r>
          </w:p>
        </w:tc>
        <w:tc>
          <w:tcPr>
            <w:tcW w:w="109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102,132,301.48 </w:t>
            </w:r>
          </w:p>
        </w:tc>
        <w:tc>
          <w:tcPr>
            <w:tcW w:w="102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62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97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102,132,301.48 </w:t>
            </w: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硬质合金</w:t>
            </w:r>
          </w:p>
        </w:tc>
        <w:tc>
          <w:tcPr>
            <w:tcW w:w="109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102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131,088,361.89 </w:t>
            </w:r>
          </w:p>
        </w:tc>
        <w:tc>
          <w:tcPr>
            <w:tcW w:w="62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97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131,088,361.89 </w:t>
            </w: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稀有金属粉体新材料</w:t>
            </w:r>
          </w:p>
        </w:tc>
        <w:tc>
          <w:tcPr>
            <w:tcW w:w="109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102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45,445,031.74 </w:t>
            </w:r>
          </w:p>
        </w:tc>
        <w:tc>
          <w:tcPr>
            <w:tcW w:w="62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97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45,445,031.74 </w:t>
            </w: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w:t>
            </w:r>
          </w:p>
        </w:tc>
        <w:tc>
          <w:tcPr>
            <w:tcW w:w="109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5,233,474.19 </w:t>
            </w:r>
          </w:p>
        </w:tc>
        <w:tc>
          <w:tcPr>
            <w:tcW w:w="102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9,381,836.17 </w:t>
            </w:r>
          </w:p>
        </w:tc>
        <w:tc>
          <w:tcPr>
            <w:tcW w:w="62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97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14,615,310.36 </w:t>
            </w: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D3D3D3"/>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按经营地区分类</w:t>
            </w:r>
          </w:p>
        </w:tc>
        <w:tc>
          <w:tcPr>
            <w:tcW w:w="109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102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62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97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D3D3D3"/>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其中：</w:t>
            </w:r>
          </w:p>
        </w:tc>
        <w:tc>
          <w:tcPr>
            <w:tcW w:w="1098"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c>
          <w:tcPr>
            <w:tcW w:w="1027"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c>
          <w:tcPr>
            <w:tcW w:w="628"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c>
          <w:tcPr>
            <w:tcW w:w="977"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color w:val="000000"/>
                <w:kern w:val="0"/>
                <w:sz w:val="18"/>
                <w:szCs w:val="18"/>
              </w:rPr>
            </w:pPr>
          </w:p>
        </w:tc>
        <w:tc>
          <w:tcPr>
            <w:tcW w:w="109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102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62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97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D3D3D3"/>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按商品转让的时间分类</w:t>
            </w:r>
          </w:p>
        </w:tc>
        <w:tc>
          <w:tcPr>
            <w:tcW w:w="109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102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62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97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D3D3D3"/>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其中：</w:t>
            </w:r>
          </w:p>
        </w:tc>
        <w:tc>
          <w:tcPr>
            <w:tcW w:w="1098"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c>
          <w:tcPr>
            <w:tcW w:w="1027"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c>
          <w:tcPr>
            <w:tcW w:w="628"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c>
          <w:tcPr>
            <w:tcW w:w="977"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按时点</w:t>
            </w:r>
          </w:p>
        </w:tc>
        <w:tc>
          <w:tcPr>
            <w:tcW w:w="109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107,365,775.67 </w:t>
            </w:r>
          </w:p>
        </w:tc>
        <w:tc>
          <w:tcPr>
            <w:tcW w:w="102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185,915,229.80 </w:t>
            </w:r>
          </w:p>
        </w:tc>
        <w:tc>
          <w:tcPr>
            <w:tcW w:w="62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97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293,281,005.47 </w:t>
            </w: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按时段</w:t>
            </w:r>
          </w:p>
        </w:tc>
        <w:tc>
          <w:tcPr>
            <w:tcW w:w="109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102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62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97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D3D3D3"/>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按合同期限分类</w:t>
            </w:r>
          </w:p>
        </w:tc>
        <w:tc>
          <w:tcPr>
            <w:tcW w:w="109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102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62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97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D3D3D3"/>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其中：</w:t>
            </w:r>
          </w:p>
        </w:tc>
        <w:tc>
          <w:tcPr>
            <w:tcW w:w="1098"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c>
          <w:tcPr>
            <w:tcW w:w="1027"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c>
          <w:tcPr>
            <w:tcW w:w="628"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c>
          <w:tcPr>
            <w:tcW w:w="977"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主营商品买卖</w:t>
            </w:r>
          </w:p>
        </w:tc>
        <w:tc>
          <w:tcPr>
            <w:tcW w:w="109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102,132,301.48 </w:t>
            </w:r>
          </w:p>
        </w:tc>
        <w:tc>
          <w:tcPr>
            <w:tcW w:w="102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176,533,393.63 </w:t>
            </w:r>
          </w:p>
        </w:tc>
        <w:tc>
          <w:tcPr>
            <w:tcW w:w="62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97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278,665,695.11 </w:t>
            </w: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其他买卖</w:t>
            </w:r>
          </w:p>
        </w:tc>
        <w:tc>
          <w:tcPr>
            <w:tcW w:w="109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5,233,474.19 </w:t>
            </w:r>
          </w:p>
        </w:tc>
        <w:tc>
          <w:tcPr>
            <w:tcW w:w="102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9,381,836.17 </w:t>
            </w:r>
          </w:p>
        </w:tc>
        <w:tc>
          <w:tcPr>
            <w:tcW w:w="62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97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14,615,310.36 </w:t>
            </w: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D3D3D3"/>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按销售渠道分类</w:t>
            </w:r>
          </w:p>
        </w:tc>
        <w:tc>
          <w:tcPr>
            <w:tcW w:w="109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102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62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97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D3D3D3"/>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其中：</w:t>
            </w:r>
          </w:p>
        </w:tc>
        <w:tc>
          <w:tcPr>
            <w:tcW w:w="1098"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c>
          <w:tcPr>
            <w:tcW w:w="1027"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c>
          <w:tcPr>
            <w:tcW w:w="628"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c>
          <w:tcPr>
            <w:tcW w:w="977" w:type="pct"/>
            <w:tcBorders>
              <w:top w:val="nil"/>
              <w:left w:val="nil"/>
              <w:bottom w:val="single" w:color="000000" w:sz="8" w:space="0"/>
              <w:right w:val="single" w:color="000000" w:sz="8" w:space="0"/>
            </w:tcBorders>
            <w:shd w:val="clear" w:color="auto" w:fill="D3D3D3"/>
            <w:vAlign w:val="center"/>
          </w:tcPr>
          <w:p>
            <w:pPr>
              <w:widowControl/>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color w:val="000000"/>
                <w:kern w:val="0"/>
                <w:sz w:val="18"/>
                <w:szCs w:val="18"/>
              </w:rPr>
            </w:pPr>
          </w:p>
        </w:tc>
        <w:tc>
          <w:tcPr>
            <w:tcW w:w="109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102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62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97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1270" w:type="pct"/>
            <w:tcBorders>
              <w:top w:val="nil"/>
              <w:left w:val="single" w:color="000000" w:sz="8" w:space="0"/>
              <w:bottom w:val="single" w:color="000000" w:sz="8" w:space="0"/>
              <w:right w:val="single" w:color="000000" w:sz="8" w:space="0"/>
            </w:tcBorders>
            <w:shd w:val="clear" w:color="auto" w:fill="D3D3D3"/>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109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107,365,775.67 </w:t>
            </w:r>
          </w:p>
        </w:tc>
        <w:tc>
          <w:tcPr>
            <w:tcW w:w="102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185,915,229.80 </w:t>
            </w:r>
          </w:p>
        </w:tc>
        <w:tc>
          <w:tcPr>
            <w:tcW w:w="628"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p>
        </w:tc>
        <w:tc>
          <w:tcPr>
            <w:tcW w:w="977" w:type="pct"/>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293,281,005.47 </w:t>
            </w:r>
          </w:p>
        </w:tc>
      </w:tr>
    </w:tbl>
    <w:p>
      <w:pPr>
        <w:spacing w:before="100" w:after="100" w:line="240" w:lineRule="exact"/>
        <w:jc w:val="left"/>
        <w:rPr>
          <w:rFonts w:ascii="宋体" w:hAnsi="宋体" w:eastAsia="宋体" w:cs="宋体"/>
          <w:sz w:val="18"/>
          <w:szCs w:val="18"/>
        </w:rPr>
      </w:pP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与履约义务相关的信息：</w:t>
      </w:r>
    </w:p>
    <w:p>
      <w:pPr>
        <w:pStyle w:val="3"/>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eastAsia"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与分摊至剩余履约义务的交易价格相关的信息：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报告期末已签订合同、但尚未履行或尚未履行完毕的履约义务所对应的收入金额为262,334,256.39元，其中，172,298,208.39元预计将于2022年度确认收入，90,036,048.00元预计将于2023年度确认收入，元预计将于年度确认收入。</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06" w:name="_Toc989151"/>
      <w:r>
        <w:rPr>
          <w:rFonts w:ascii="宋体" w:hAnsi="宋体" w:eastAsia="宋体" w:cs="宋体"/>
          <w:b/>
          <w:bCs/>
          <w:sz w:val="21"/>
          <w:szCs w:val="21"/>
        </w:rPr>
        <w:t>39、税金及附加</w:t>
      </w:r>
      <w:bookmarkEnd w:id="20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405,049.81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270,774.97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289,319.13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191,398.14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1,823,835.22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1,309,510.00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土地使用税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1,219,164.98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1,219,164.98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656,559.33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592,586.40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4,393,928.47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3,583,434.49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07" w:name="_Toc989152"/>
      <w:r>
        <w:rPr>
          <w:rFonts w:ascii="宋体" w:hAnsi="宋体" w:eastAsia="宋体" w:cs="宋体"/>
          <w:b/>
          <w:bCs/>
          <w:sz w:val="21"/>
          <w:szCs w:val="21"/>
        </w:rPr>
        <w:t>40、销售费用</w:t>
      </w:r>
      <w:bookmarkEnd w:id="20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人工成本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4,482,372.80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4,497,101.97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售后服务费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907,707.78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1,575,313.54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156,398.21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454,016.98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业务招待费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1,049,495.80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1,935,164.38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展览及广告宣传费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257,823.94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447,617.52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1,146,315.88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805,537.58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8,000,114.41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9,714,751.97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08" w:name="_Toc989153"/>
      <w:r>
        <w:rPr>
          <w:rFonts w:ascii="宋体" w:hAnsi="宋体" w:eastAsia="宋体" w:cs="宋体"/>
          <w:b/>
          <w:bCs/>
          <w:sz w:val="21"/>
          <w:szCs w:val="21"/>
        </w:rPr>
        <w:t>41、管理费用</w:t>
      </w:r>
      <w:bookmarkEnd w:id="20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人工成本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13,544,635.60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10,599,503.05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5,259,215.71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4,194,591.26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1,284,105.34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2,696,360.74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中介咨询费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1,507,445.65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1,276,781.82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修理费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325,091.16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538,397.73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招待费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934,293.49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1,339,384.71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办公费及会务费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450,620.69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440,729.41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23,305,407.64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21,085,748.72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09" w:name="_Toc989154"/>
      <w:r>
        <w:rPr>
          <w:rFonts w:ascii="宋体" w:hAnsi="宋体" w:eastAsia="宋体" w:cs="宋体"/>
          <w:b/>
          <w:bCs/>
          <w:sz w:val="21"/>
          <w:szCs w:val="21"/>
        </w:rPr>
        <w:t>42、研发费用</w:t>
      </w:r>
      <w:bookmarkEnd w:id="20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人工成本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6,392,550.85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4,786,859.28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研发领料</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776,474.47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1,519,184.49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4,560,091.76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5,524,425.30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水电燃料</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519,419.12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496,266.63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研发测试</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343,449.55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219,067.91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1,685,451.21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1,672,413.48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14,277,436.96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14,218,217.09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0" w:name="_Toc989155"/>
      <w:r>
        <w:rPr>
          <w:rFonts w:ascii="宋体" w:hAnsi="宋体" w:eastAsia="宋体" w:cs="宋体"/>
          <w:b/>
          <w:bCs/>
          <w:sz w:val="21"/>
          <w:szCs w:val="21"/>
        </w:rPr>
        <w:t>43、财务费用</w:t>
      </w:r>
      <w:bookmarkEnd w:id="21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1,082,947.81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6,964,010.08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减：利息收入（以正数表示）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4,722,192.12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2,602,940.51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加：汇兑损益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-460,663.53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582,554.00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其他（手续费）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105,285.30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897,820.79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现金折扣</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票据贴现</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-3,994,622.54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5,841,444.36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1" w:name="_Toc989156"/>
      <w:r>
        <w:rPr>
          <w:rFonts w:ascii="宋体" w:hAnsi="宋体" w:eastAsia="宋体" w:cs="宋体"/>
          <w:b/>
          <w:bCs/>
          <w:sz w:val="21"/>
          <w:szCs w:val="21"/>
        </w:rPr>
        <w:t>44、其他收益</w:t>
      </w:r>
      <w:bookmarkEnd w:id="21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产生其他收益的来源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性能检测和安全技术研究</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403,999.98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国产炭纤维增强、低成本、高性能炭/炭复合材料产业化项目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115,744.84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374,282.15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航天航空用炭/炭复合材料高技术产业化项目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268,273.07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268,273.07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财务局305吨高性能碳/碳复合材料研发与产业化项目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958,575.78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958,575.52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高承载自适应机轮刹车系统研究</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C/C复合材料技术产业化项目专项资金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156,063.55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156,063.56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C919大型客机机轮及刹车系统研制保障条件建设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2,394,752.16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1,883,544.90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高新技术企业补助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常州市政府奖励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48,670.00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稳岗补贴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141,893.36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61,082.44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市财政局高新区分局2018年度产业扶持政策兑现</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232,600.00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应用技术研究与开发补贴资金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研发奖补资金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1,152,200.00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1,727,600.00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军民融合产业专项发展资金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467,720.16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301,601.04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2018年制造强省专项资金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144,307.56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2020年度政策兑现财政拨款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622,300.00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技术改造贷款贴息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157,230.00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2021年个人所得税代扣代缴手续费返还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36,541.48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一次性吸纳就业补贴款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2021年政策兑现推动中小企业向专精特新发展补贴款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2021年政策兑现鼓励企业扩大发展规模亿元企业补贴款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2021年政策兑现技术改造项目补贴款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284,400.00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长财教指（2022）14号2022年度第一批创新型省份建设专项资金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长财教指（2021）79号2021年企业、高校及科研院所研发奖补资金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智能化改造项目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805,029.86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高新区财务局其他技术研究与开发支出补贴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XX领域重点项目补助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7,941,964.26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9,082,260.22</w:t>
            </w:r>
          </w:p>
        </w:tc>
      </w:tr>
    </w:tbl>
    <w:p>
      <w:pPr>
        <w:keepNext/>
        <w:keepLines/>
        <w:spacing w:before="300" w:after="300" w:line="280" w:lineRule="exact"/>
        <w:jc w:val="left"/>
        <w:outlineLvl w:val="2"/>
        <w:rPr>
          <w:rFonts w:ascii="宋体" w:hAnsi="宋体" w:eastAsia="宋体" w:cs="宋体"/>
          <w:b/>
          <w:bCs/>
          <w:sz w:val="21"/>
          <w:szCs w:val="21"/>
        </w:rPr>
      </w:pPr>
      <w:bookmarkStart w:id="212" w:name="_Toc989157"/>
      <w:r>
        <w:rPr>
          <w:rFonts w:ascii="宋体" w:hAnsi="宋体" w:eastAsia="宋体" w:cs="宋体"/>
          <w:b/>
          <w:bCs/>
          <w:sz w:val="21"/>
          <w:szCs w:val="21"/>
        </w:rPr>
        <w:t>45、投资收益</w:t>
      </w:r>
      <w:bookmarkEnd w:id="21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权益法核算的长期股权投资收益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-11,856,775.01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-6,774,728.84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处置交易性金融资产取得的投资收益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1,537,255.57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398,257.58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-10,319,519.44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-6,376,471.26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3" w:name="_Toc989158"/>
      <w:r>
        <w:rPr>
          <w:rFonts w:ascii="宋体" w:hAnsi="宋体" w:eastAsia="宋体" w:cs="宋体"/>
          <w:b/>
          <w:bCs/>
          <w:sz w:val="21"/>
          <w:szCs w:val="21"/>
        </w:rPr>
        <w:t>46、公允价值变动收益</w:t>
      </w:r>
      <w:bookmarkEnd w:id="21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产生公允价值变动收益的来源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152,000.00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4" w:name="_Toc989159"/>
      <w:r>
        <w:rPr>
          <w:rFonts w:ascii="宋体" w:hAnsi="宋体" w:eastAsia="宋体" w:cs="宋体"/>
          <w:b/>
          <w:bCs/>
          <w:sz w:val="21"/>
          <w:szCs w:val="21"/>
        </w:rPr>
        <w:t>47、信用减值损失</w:t>
      </w:r>
      <w:bookmarkEnd w:id="21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-68,650.12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147,279.53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应收账款坏账损失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-4,817,581.40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-2,060,975.51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应收商业承兑汇票坏账损失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2,081,293.60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1,628,183.89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-2,804,937.92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-285,512.09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5" w:name="_Toc989160"/>
      <w:r>
        <w:rPr>
          <w:rFonts w:ascii="宋体" w:hAnsi="宋体" w:eastAsia="宋体" w:cs="宋体"/>
          <w:b/>
          <w:bCs/>
          <w:sz w:val="21"/>
          <w:szCs w:val="21"/>
        </w:rPr>
        <w:t>48、资产减值损失</w:t>
      </w:r>
      <w:bookmarkEnd w:id="21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二、存货跌价损失及合同履约成本减值损失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-1,450,188.83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十二、合同资产减值损失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28,480.34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-1,421,708.49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6" w:name="_Toc989161"/>
      <w:r>
        <w:rPr>
          <w:rFonts w:ascii="宋体" w:hAnsi="宋体" w:eastAsia="宋体" w:cs="宋体"/>
          <w:b/>
          <w:bCs/>
          <w:sz w:val="21"/>
          <w:szCs w:val="21"/>
        </w:rPr>
        <w:t>49、资产处置收益</w:t>
      </w:r>
      <w:bookmarkEnd w:id="21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资产处置收益的来源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未划分为持有待售的固定资产处置利得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1,186.48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1,134,156.96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1,186.48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1,134,156.96</w:t>
            </w:r>
          </w:p>
        </w:tc>
      </w:tr>
    </w:tbl>
    <w:p>
      <w:pPr>
        <w:keepNext/>
        <w:keepLines/>
        <w:spacing w:before="300" w:after="300" w:line="280" w:lineRule="exact"/>
        <w:jc w:val="left"/>
        <w:outlineLvl w:val="2"/>
        <w:rPr>
          <w:rFonts w:ascii="宋体" w:hAnsi="宋体" w:eastAsia="宋体" w:cs="宋体"/>
          <w:b/>
          <w:bCs/>
          <w:sz w:val="21"/>
          <w:szCs w:val="21"/>
        </w:rPr>
      </w:pPr>
      <w:bookmarkStart w:id="217" w:name="_Toc989162"/>
      <w:r>
        <w:rPr>
          <w:rFonts w:ascii="宋体" w:hAnsi="宋体" w:eastAsia="宋体" w:cs="宋体"/>
          <w:b/>
          <w:bCs/>
          <w:sz w:val="21"/>
          <w:szCs w:val="21"/>
        </w:rPr>
        <w:t>50、营业外收入</w:t>
      </w:r>
      <w:bookmarkEnd w:id="21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非流动资产毁损报废利得</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14,720.00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50,141.53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14,720.00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50,141.53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计入当期损益的政府补助：</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补助项目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发放主体</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发放原因</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性质类型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补贴是否影响当年盈亏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是否特殊补贴</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与资产相关/与收益相关</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8" w:name="_Toc989163"/>
      <w:r>
        <w:rPr>
          <w:rFonts w:ascii="宋体" w:hAnsi="宋体" w:eastAsia="宋体" w:cs="宋体"/>
          <w:b/>
          <w:bCs/>
          <w:sz w:val="21"/>
          <w:szCs w:val="21"/>
        </w:rPr>
        <w:t>51、营业外支出</w:t>
      </w:r>
      <w:bookmarkEnd w:id="21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非流动资产毁损报废损失</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20,817.96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19,943.07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51,444.58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72,262.54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19,943.07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9" w:name="_Toc989164"/>
      <w:r>
        <w:rPr>
          <w:rFonts w:ascii="宋体" w:hAnsi="宋体" w:eastAsia="宋体" w:cs="宋体"/>
          <w:b/>
          <w:bCs/>
          <w:sz w:val="21"/>
          <w:szCs w:val="21"/>
        </w:rPr>
        <w:t>52、所得税费用</w:t>
      </w:r>
      <w:bookmarkEnd w:id="219"/>
    </w:p>
    <w:p>
      <w:pPr>
        <w:keepNext/>
        <w:keepLines/>
        <w:spacing w:before="300" w:after="300" w:line="280" w:lineRule="exact"/>
        <w:jc w:val="left"/>
        <w:outlineLvl w:val="3"/>
        <w:rPr>
          <w:rFonts w:ascii="宋体" w:hAnsi="宋体" w:eastAsia="宋体" w:cs="宋体"/>
          <w:b/>
          <w:bCs/>
          <w:sz w:val="21"/>
          <w:szCs w:val="21"/>
        </w:rPr>
      </w:pPr>
      <w:bookmarkStart w:id="220" w:name="_Toc989165"/>
      <w:r>
        <w:rPr>
          <w:rFonts w:ascii="宋体" w:hAnsi="宋体" w:eastAsia="宋体" w:cs="宋体"/>
          <w:b/>
          <w:bCs/>
          <w:sz w:val="21"/>
          <w:szCs w:val="21"/>
        </w:rPr>
        <w:t>（1） 所得税费用表</w:t>
      </w:r>
      <w:bookmarkEnd w:id="22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当期所得税费用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4,847,182.92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3,563,954.65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-595,073.18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-216,075.80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4,252,109.74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3,347,878.85</w:t>
            </w:r>
          </w:p>
        </w:tc>
      </w:tr>
    </w:tbl>
    <w:p>
      <w:pPr>
        <w:keepNext/>
        <w:keepLines/>
        <w:spacing w:before="300" w:after="300" w:line="280" w:lineRule="exact"/>
        <w:jc w:val="left"/>
        <w:outlineLvl w:val="3"/>
        <w:rPr>
          <w:rFonts w:ascii="宋体" w:hAnsi="宋体" w:eastAsia="宋体" w:cs="宋体"/>
          <w:b/>
          <w:bCs/>
          <w:sz w:val="21"/>
          <w:szCs w:val="21"/>
        </w:rPr>
      </w:pPr>
      <w:bookmarkStart w:id="221" w:name="_Toc989166"/>
      <w:r>
        <w:rPr>
          <w:rFonts w:ascii="宋体" w:hAnsi="宋体" w:eastAsia="宋体" w:cs="宋体"/>
          <w:b/>
          <w:bCs/>
          <w:sz w:val="21"/>
          <w:szCs w:val="21"/>
        </w:rPr>
        <w:t>（2） 会计利润与所得税费用调整过程</w:t>
      </w:r>
      <w:bookmarkEnd w:id="22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利润总额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21,467,997.09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按法定/适用税率计算的所得税费用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3,220,199.56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本期未确认递延所得税资产的可抵扣暂时性差异或可抵扣亏损的影响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1,031,910.18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4,252,109.74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22" w:name="_Toc989167"/>
      <w:r>
        <w:rPr>
          <w:rFonts w:ascii="宋体" w:hAnsi="宋体" w:eastAsia="宋体" w:cs="宋体"/>
          <w:b/>
          <w:bCs/>
          <w:sz w:val="21"/>
          <w:szCs w:val="21"/>
        </w:rPr>
        <w:t>53、其他综合收益</w:t>
      </w:r>
      <w:bookmarkEnd w:id="222"/>
    </w:p>
    <w:p>
      <w:pPr>
        <w:spacing w:before="40" w:after="40" w:line="240" w:lineRule="exact"/>
        <w:jc w:val="left"/>
        <w:rPr>
          <w:rFonts w:ascii="宋体" w:hAnsi="宋体" w:eastAsia="宋体" w:cs="宋体"/>
          <w:sz w:val="18"/>
          <w:szCs w:val="18"/>
        </w:rPr>
      </w:pPr>
      <w:r>
        <w:rPr>
          <w:rFonts w:ascii="宋体" w:hAnsi="宋体" w:eastAsia="宋体" w:cs="宋体"/>
          <w:sz w:val="18"/>
          <w:szCs w:val="18"/>
        </w:rPr>
        <w:t>详见附注“第十节、七、35、其他综合收益”。</w:t>
      </w:r>
    </w:p>
    <w:p>
      <w:pPr>
        <w:keepNext/>
        <w:keepLines/>
        <w:spacing w:before="300" w:after="300" w:line="280" w:lineRule="exact"/>
        <w:jc w:val="left"/>
        <w:outlineLvl w:val="2"/>
        <w:rPr>
          <w:rFonts w:ascii="宋体" w:hAnsi="宋体" w:eastAsia="宋体" w:cs="宋体"/>
          <w:b/>
          <w:bCs/>
          <w:sz w:val="21"/>
          <w:szCs w:val="21"/>
        </w:rPr>
      </w:pPr>
      <w:bookmarkStart w:id="223" w:name="_Toc989168"/>
      <w:r>
        <w:rPr>
          <w:rFonts w:ascii="宋体" w:hAnsi="宋体" w:eastAsia="宋体" w:cs="宋体"/>
          <w:b/>
          <w:bCs/>
          <w:sz w:val="21"/>
          <w:szCs w:val="21"/>
        </w:rPr>
        <w:t>54、现金流量表项目</w:t>
      </w:r>
      <w:bookmarkEnd w:id="223"/>
    </w:p>
    <w:p>
      <w:pPr>
        <w:keepNext/>
        <w:keepLines/>
        <w:spacing w:before="300" w:after="300" w:line="280" w:lineRule="exact"/>
        <w:jc w:val="left"/>
        <w:outlineLvl w:val="3"/>
        <w:rPr>
          <w:rFonts w:ascii="宋体" w:hAnsi="宋体" w:eastAsia="宋体" w:cs="宋体"/>
          <w:b/>
          <w:bCs/>
          <w:sz w:val="21"/>
          <w:szCs w:val="21"/>
        </w:rPr>
      </w:pPr>
      <w:bookmarkStart w:id="224" w:name="_Toc989169"/>
      <w:r>
        <w:rPr>
          <w:rFonts w:ascii="宋体" w:hAnsi="宋体" w:eastAsia="宋体" w:cs="宋体"/>
          <w:b/>
          <w:bCs/>
          <w:sz w:val="21"/>
          <w:szCs w:val="21"/>
        </w:rPr>
        <w:t>（1） 收到的其他与经营活动有关的现金</w:t>
      </w:r>
      <w:bookmarkEnd w:id="22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4,949,886.68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2,602,940.51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收回往来款及其他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5,552,679.91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50,141.53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政府补助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15,456,671.60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4,420,612.44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票据保证金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1,808,253.08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25,959,238.19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8,881,947.56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收到的其他与经营活动有关的现金说明：</w:t>
      </w:r>
    </w:p>
    <w:p>
      <w:pPr>
        <w:keepNext/>
        <w:keepLines/>
        <w:spacing w:before="300" w:after="300" w:line="280" w:lineRule="exact"/>
        <w:jc w:val="left"/>
        <w:outlineLvl w:val="3"/>
        <w:rPr>
          <w:rFonts w:ascii="宋体" w:hAnsi="宋体" w:eastAsia="宋体" w:cs="宋体"/>
          <w:b/>
          <w:bCs/>
          <w:sz w:val="21"/>
          <w:szCs w:val="21"/>
        </w:rPr>
      </w:pPr>
      <w:bookmarkStart w:id="225" w:name="_Toc989170"/>
      <w:r>
        <w:rPr>
          <w:rFonts w:ascii="宋体" w:hAnsi="宋体" w:eastAsia="宋体" w:cs="宋体"/>
          <w:b/>
          <w:bCs/>
          <w:sz w:val="21"/>
          <w:szCs w:val="21"/>
        </w:rPr>
        <w:t>（2） 支付的其他与经营活动有关的现金</w:t>
      </w:r>
      <w:bookmarkEnd w:id="22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技术开发费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387,215.09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2,387,748.02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支付往来款及其他付现费用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14,490,888.44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7,973,682.14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票据保证金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222,313.50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售后服务费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45,159.01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85,849.92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业务招待费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1,637,805.91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3,274,549.09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768,136.68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454,016.98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中介费用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1,459,367.82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1,276,781.82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展览及广告宣传费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189,899.41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447,617.52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办公费及会务费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467,114.90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440,729.41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19,667,900.76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16,340,974.90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支付的其他与经营活动有关的现金说明：</w:t>
      </w:r>
    </w:p>
    <w:p>
      <w:pPr>
        <w:keepNext/>
        <w:keepLines/>
        <w:spacing w:before="300" w:after="300" w:line="280" w:lineRule="exact"/>
        <w:jc w:val="left"/>
        <w:outlineLvl w:val="3"/>
        <w:rPr>
          <w:rFonts w:ascii="宋体" w:hAnsi="宋体" w:eastAsia="宋体" w:cs="宋体"/>
          <w:b/>
          <w:bCs/>
          <w:sz w:val="21"/>
          <w:szCs w:val="21"/>
        </w:rPr>
      </w:pPr>
      <w:bookmarkStart w:id="226" w:name="_Toc989171"/>
      <w:r>
        <w:rPr>
          <w:rFonts w:ascii="宋体" w:hAnsi="宋体" w:eastAsia="宋体" w:cs="宋体"/>
          <w:b/>
          <w:bCs/>
          <w:sz w:val="21"/>
          <w:szCs w:val="21"/>
        </w:rPr>
        <w:t>（3） 收到的其他与投资活动有关的现金</w:t>
      </w:r>
      <w:bookmarkEnd w:id="22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博云东方麓谷基地产业化项目保证金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收到的其他与投资活动有关的现金说明：</w:t>
      </w:r>
    </w:p>
    <w:p>
      <w:pPr>
        <w:keepNext/>
        <w:keepLines/>
        <w:spacing w:before="300" w:after="300" w:line="280" w:lineRule="exact"/>
        <w:jc w:val="left"/>
        <w:outlineLvl w:val="3"/>
        <w:rPr>
          <w:rFonts w:ascii="宋体" w:hAnsi="宋体" w:eastAsia="宋体" w:cs="宋体"/>
          <w:b/>
          <w:bCs/>
          <w:sz w:val="21"/>
          <w:szCs w:val="21"/>
        </w:rPr>
      </w:pPr>
      <w:bookmarkStart w:id="227" w:name="_Toc989172"/>
      <w:r>
        <w:rPr>
          <w:rFonts w:ascii="宋体" w:hAnsi="宋体" w:eastAsia="宋体" w:cs="宋体"/>
          <w:b/>
          <w:bCs/>
          <w:sz w:val="21"/>
          <w:szCs w:val="21"/>
        </w:rPr>
        <w:t>（4） 支付的其他与投资活动有关的现金</w:t>
      </w:r>
      <w:bookmarkEnd w:id="22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支付的其他与投资活动有关的现金说明：</w:t>
      </w:r>
    </w:p>
    <w:p>
      <w:pPr>
        <w:keepNext/>
        <w:keepLines/>
        <w:spacing w:before="300" w:after="300" w:line="280" w:lineRule="exact"/>
        <w:jc w:val="left"/>
        <w:outlineLvl w:val="3"/>
        <w:rPr>
          <w:rFonts w:ascii="宋体" w:hAnsi="宋体" w:eastAsia="宋体" w:cs="宋体"/>
          <w:b/>
          <w:bCs/>
          <w:sz w:val="21"/>
          <w:szCs w:val="21"/>
        </w:rPr>
      </w:pPr>
      <w:bookmarkStart w:id="228" w:name="_Toc989173"/>
      <w:r>
        <w:rPr>
          <w:rFonts w:ascii="宋体" w:hAnsi="宋体" w:eastAsia="宋体" w:cs="宋体"/>
          <w:b/>
          <w:bCs/>
          <w:sz w:val="21"/>
          <w:szCs w:val="21"/>
        </w:rPr>
        <w:t>（5） 收到的其他与筹资活动有关的现金</w:t>
      </w:r>
      <w:bookmarkEnd w:id="22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认购保证金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收到的其他与筹资活动有关的现金说明：</w:t>
      </w:r>
    </w:p>
    <w:p>
      <w:pPr>
        <w:keepNext/>
        <w:keepLines/>
        <w:spacing w:before="300" w:after="300" w:line="280" w:lineRule="exact"/>
        <w:jc w:val="left"/>
        <w:outlineLvl w:val="3"/>
        <w:rPr>
          <w:rFonts w:ascii="宋体" w:hAnsi="宋体" w:eastAsia="宋体" w:cs="宋体"/>
          <w:b/>
          <w:bCs/>
          <w:sz w:val="21"/>
          <w:szCs w:val="21"/>
        </w:rPr>
      </w:pPr>
      <w:bookmarkStart w:id="229" w:name="_Toc989174"/>
      <w:r>
        <w:rPr>
          <w:rFonts w:ascii="宋体" w:hAnsi="宋体" w:eastAsia="宋体" w:cs="宋体"/>
          <w:b/>
          <w:bCs/>
          <w:sz w:val="21"/>
          <w:szCs w:val="21"/>
        </w:rPr>
        <w:t>（6） 支付的其他与筹资活动有关的现金</w:t>
      </w:r>
      <w:bookmarkEnd w:id="22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认购保证金及利息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4,003,317.00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定向增发发行费用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5,303,317.00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支付的其他与筹资活动有关的现金说明：</w:t>
      </w:r>
    </w:p>
    <w:p>
      <w:pPr>
        <w:keepNext/>
        <w:keepLines/>
        <w:spacing w:before="300" w:after="300" w:line="280" w:lineRule="exact"/>
        <w:jc w:val="left"/>
        <w:outlineLvl w:val="2"/>
        <w:rPr>
          <w:rFonts w:ascii="宋体" w:hAnsi="宋体" w:eastAsia="宋体" w:cs="宋体"/>
          <w:b/>
          <w:bCs/>
          <w:sz w:val="21"/>
          <w:szCs w:val="21"/>
        </w:rPr>
      </w:pPr>
      <w:bookmarkStart w:id="230" w:name="_Toc989175"/>
      <w:r>
        <w:rPr>
          <w:rFonts w:ascii="宋体" w:hAnsi="宋体" w:eastAsia="宋体" w:cs="宋体"/>
          <w:b/>
          <w:bCs/>
          <w:sz w:val="21"/>
          <w:szCs w:val="21"/>
        </w:rPr>
        <w:t>55、现金流量表补充资料</w:t>
      </w:r>
      <w:bookmarkEnd w:id="230"/>
    </w:p>
    <w:p>
      <w:pPr>
        <w:keepNext/>
        <w:keepLines/>
        <w:spacing w:before="300" w:after="300" w:line="280" w:lineRule="exact"/>
        <w:jc w:val="left"/>
        <w:outlineLvl w:val="3"/>
        <w:rPr>
          <w:rFonts w:ascii="宋体" w:hAnsi="宋体" w:eastAsia="宋体" w:cs="宋体"/>
          <w:b/>
          <w:bCs/>
          <w:sz w:val="21"/>
          <w:szCs w:val="21"/>
        </w:rPr>
      </w:pPr>
      <w:bookmarkStart w:id="231" w:name="_Toc989176"/>
      <w:r>
        <w:rPr>
          <w:rFonts w:ascii="宋体" w:hAnsi="宋体" w:eastAsia="宋体" w:cs="宋体"/>
          <w:b/>
          <w:bCs/>
          <w:sz w:val="21"/>
          <w:szCs w:val="21"/>
        </w:rPr>
        <w:t>（1） 现金流量表补充资料</w:t>
      </w:r>
      <w:bookmarkEnd w:id="23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补充资料</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1．将净利润调节为经营活动现金流量：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17,215,887.35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13,609,842.23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2,804,937.92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加：资产减值准备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1,421,708.49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285,512.09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固定资产折旧、油气资产折耗、生产性生物资产折旧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23,453,838.56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23,899,873.95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使用权资产折旧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无形资产摊销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9,324,921.61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9,226,650.64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长期待摊费用摊销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776,025.89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399,838.86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处置固定资产、无形资产和其他长期资产的损失（收益以“－”号填列）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-1,186.48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-1,134,156.96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固定资产报废损失（收益以“－”号填列）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20,817.96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627.46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财务费用（收益以“－”号填列）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622,284.28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7,546,564.08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10,319,519.44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6,376,471.26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递延所得税资产减少（增加以“－”号填列）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-633,996.96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-42,826.82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递延所得税负债增加（减少以“－”号填列）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-242,556.54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-173,248.98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存货的减少（增加以“－”号填列）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-32,133,499.05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-24,011,632.30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经营性应收项目的减少（增加以“－”号填列）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i w:val="0"/>
                <w:caps w:val="0"/>
                <w:color w:val="333333"/>
                <w:spacing w:val="0"/>
                <w:sz w:val="18"/>
                <w:szCs w:val="18"/>
                <w:shd w:val="clear" w:fill="FFFFFF"/>
              </w:rPr>
              <w:t>-85,471,390.04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-39,455,837.40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经营性应付项目的增加（减少以“－”号填列）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i w:val="0"/>
                <w:caps w:val="0"/>
                <w:color w:val="333333"/>
                <w:spacing w:val="0"/>
                <w:sz w:val="18"/>
                <w:szCs w:val="18"/>
                <w:shd w:val="clear" w:fill="FFFFFF"/>
              </w:rPr>
              <w:t>27,598,233.72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9,170,327.25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-24,924,453.85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5,546,005.36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2．不涉及现金收支的重大投资和筹资活动：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债务转为资本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一年内到期的可转换公司债券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融资租入固定资产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3．现金及现金等价物净变动情况：</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现金的期末余额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560,498,566.04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245,965,864.26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减：现金的期初余额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530,492,915.98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368,118,485.78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加：现金等价物的期末余额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减：现金等价物的期初余额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30,005,650.06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-122,152,621.52</w:t>
            </w:r>
          </w:p>
        </w:tc>
      </w:tr>
    </w:tbl>
    <w:p>
      <w:pPr>
        <w:keepNext/>
        <w:keepLines/>
        <w:spacing w:before="300" w:after="300" w:line="280" w:lineRule="exact"/>
        <w:jc w:val="left"/>
        <w:outlineLvl w:val="3"/>
        <w:rPr>
          <w:rFonts w:ascii="宋体" w:hAnsi="宋体" w:eastAsia="宋体" w:cs="宋体"/>
          <w:b/>
          <w:bCs/>
          <w:sz w:val="21"/>
          <w:szCs w:val="21"/>
        </w:rPr>
      </w:pPr>
      <w:bookmarkStart w:id="232" w:name="_Toc989177"/>
      <w:r>
        <w:rPr>
          <w:rFonts w:ascii="宋体" w:hAnsi="宋体" w:eastAsia="宋体" w:cs="宋体"/>
          <w:b/>
          <w:bCs/>
          <w:sz w:val="21"/>
          <w:szCs w:val="21"/>
        </w:rPr>
        <w:t>（2） 本期支付的取得子公司的现金净额</w:t>
      </w:r>
      <w:bookmarkEnd w:id="23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233" w:name="_Toc989178"/>
      <w:r>
        <w:rPr>
          <w:rFonts w:ascii="宋体" w:hAnsi="宋体" w:eastAsia="宋体" w:cs="宋体"/>
          <w:b/>
          <w:bCs/>
          <w:sz w:val="21"/>
          <w:szCs w:val="21"/>
        </w:rPr>
        <w:t>（3） 本期收到的处置子公司的现金净额</w:t>
      </w:r>
      <w:bookmarkEnd w:id="23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234" w:name="_Toc989179"/>
      <w:r>
        <w:rPr>
          <w:rFonts w:ascii="宋体" w:hAnsi="宋体" w:eastAsia="宋体" w:cs="宋体"/>
          <w:b/>
          <w:bCs/>
          <w:sz w:val="21"/>
          <w:szCs w:val="21"/>
        </w:rPr>
        <w:t>（4） 现金和现金等价物的构成</w:t>
      </w:r>
      <w:bookmarkEnd w:id="23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560,498,566.04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530,492,915.98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其中：库存现金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77,222.01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179,678.44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可随时用于支付的银行存款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560,421,344.03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530,313,237.54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560,498,566.04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530,492,915.98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3"/>
        <w:keepNext w:val="0"/>
        <w:keepLines w:val="0"/>
        <w:widowControl/>
        <w:suppressLineNumbers w:val="0"/>
        <w:spacing w:before="40" w:beforeAutospacing="0" w:after="40" w:afterAutospacing="0"/>
        <w:jc w:val="left"/>
        <w:rPr>
          <w:rFonts w:hint="eastAsia" w:ascii="宋体" w:hAnsi="宋体" w:eastAsia="宋体" w:cs="宋体"/>
          <w:sz w:val="18"/>
          <w:szCs w:val="18"/>
        </w:rPr>
      </w:pPr>
      <w:r>
        <w:rPr>
          <w:rFonts w:hint="eastAsia" w:ascii="宋体" w:hAnsi="宋体" w:eastAsia="宋体" w:cs="宋体"/>
          <w:sz w:val="18"/>
          <w:szCs w:val="18"/>
        </w:rPr>
        <w:t>其他说明：</w:t>
      </w:r>
    </w:p>
    <w:p>
      <w:pPr>
        <w:pStyle w:val="3"/>
        <w:keepNext w:val="0"/>
        <w:keepLines w:val="0"/>
        <w:widowControl/>
        <w:suppressLineNumbers w:val="0"/>
        <w:spacing w:before="100" w:beforeAutospacing="0" w:after="120" w:afterAutospacing="0"/>
        <w:ind w:left="0" w:firstLine="420"/>
        <w:jc w:val="left"/>
        <w:rPr>
          <w:rFonts w:hint="eastAsia" w:ascii="宋体" w:hAnsi="宋体" w:eastAsia="宋体" w:cs="宋体"/>
          <w:sz w:val="18"/>
          <w:szCs w:val="18"/>
        </w:rPr>
      </w:pPr>
      <w:r>
        <w:rPr>
          <w:rFonts w:hint="eastAsia" w:ascii="宋体" w:hAnsi="宋体" w:eastAsia="宋体" w:cs="宋体"/>
          <w:sz w:val="18"/>
          <w:szCs w:val="18"/>
        </w:rPr>
        <w:t>期末货币资金余额为606,149,885.27 元，上表中的现金期末余额 560,498,566.04  元，差额45,651,319.23   元，原因为期末其他货币资金余额中银行承兑汇票及信用证保证金 45,651,319.23 元不符合现金的定义。</w:t>
      </w:r>
      <w:r>
        <w:rPr>
          <w:rFonts w:hint="eastAsia" w:ascii="宋体" w:hAnsi="宋体" w:eastAsia="宋体" w:cs="宋体"/>
          <w:sz w:val="18"/>
          <w:szCs w:val="18"/>
        </w:rPr>
        <w:br w:type="textWrapping"/>
      </w:r>
      <w:r>
        <w:rPr>
          <w:rFonts w:hint="eastAsia" w:ascii="宋体" w:hAnsi="宋体" w:eastAsia="宋体" w:cs="宋体"/>
          <w:sz w:val="18"/>
          <w:szCs w:val="18"/>
        </w:rPr>
        <w:t>   期初货币资金余额为550,165,529.46  元，上表中的现金期末余额53,0492,915.98元，差额19,672,613.48  元，原因为期末其他货币资金余额中银行承兑汇票保证金19,672,613.48  元不符合现金的定义。</w:t>
      </w:r>
    </w:p>
    <w:p>
      <w:pPr>
        <w:keepNext/>
        <w:keepLines/>
        <w:spacing w:before="300" w:after="300" w:line="280" w:lineRule="exact"/>
        <w:jc w:val="left"/>
        <w:outlineLvl w:val="2"/>
        <w:rPr>
          <w:rFonts w:ascii="宋体" w:hAnsi="宋体" w:eastAsia="宋体" w:cs="宋体"/>
          <w:b/>
          <w:bCs/>
          <w:sz w:val="21"/>
          <w:szCs w:val="21"/>
        </w:rPr>
      </w:pPr>
      <w:bookmarkStart w:id="235" w:name="_Toc989180"/>
      <w:r>
        <w:rPr>
          <w:rFonts w:ascii="宋体" w:hAnsi="宋体" w:eastAsia="宋体" w:cs="宋体"/>
          <w:b/>
          <w:bCs/>
          <w:sz w:val="21"/>
          <w:szCs w:val="21"/>
        </w:rPr>
        <w:t>56、所有者权益变动表项目注释</w:t>
      </w:r>
      <w:bookmarkEnd w:id="235"/>
    </w:p>
    <w:p>
      <w:pPr>
        <w:spacing w:before="100" w:after="100" w:line="240" w:lineRule="exact"/>
        <w:jc w:val="left"/>
        <w:rPr>
          <w:rFonts w:ascii="宋体" w:hAnsi="宋体" w:eastAsia="宋体" w:cs="宋体"/>
          <w:sz w:val="18"/>
          <w:szCs w:val="18"/>
        </w:rPr>
      </w:pPr>
      <w:r>
        <w:rPr>
          <w:rFonts w:ascii="宋体" w:hAnsi="宋体" w:eastAsia="宋体" w:cs="宋体"/>
          <w:sz w:val="18"/>
          <w:szCs w:val="18"/>
        </w:rPr>
        <w:t>说明对上年期末余额进行调整的“其他”项目名称及调整金额等事项：</w:t>
      </w:r>
    </w:p>
    <w:p>
      <w:pPr>
        <w:pStyle w:val="3"/>
        <w:keepNext w:val="0"/>
        <w:keepLines w:val="0"/>
        <w:widowControl/>
        <w:suppressLineNumbers w:val="0"/>
      </w:pPr>
      <w:r>
        <w:rPr>
          <w:rFonts w:hint="eastAsia" w:ascii="宋体" w:hAnsi="宋体" w:eastAsia="宋体" w:cs="宋体"/>
          <w:sz w:val="18"/>
          <w:szCs w:val="18"/>
        </w:rPr>
        <w:t>无</w:t>
      </w:r>
    </w:p>
    <w:p>
      <w:pPr>
        <w:keepNext/>
        <w:keepLines/>
        <w:spacing w:before="300" w:after="300" w:line="280" w:lineRule="exact"/>
        <w:jc w:val="left"/>
        <w:outlineLvl w:val="2"/>
        <w:rPr>
          <w:rFonts w:ascii="宋体" w:hAnsi="宋体" w:eastAsia="宋体" w:cs="宋体"/>
          <w:b/>
          <w:bCs/>
          <w:sz w:val="21"/>
          <w:szCs w:val="21"/>
        </w:rPr>
      </w:pPr>
      <w:bookmarkStart w:id="236" w:name="_Toc989181"/>
      <w:r>
        <w:rPr>
          <w:rFonts w:ascii="宋体" w:hAnsi="宋体" w:eastAsia="宋体" w:cs="宋体"/>
          <w:b/>
          <w:bCs/>
          <w:sz w:val="21"/>
          <w:szCs w:val="21"/>
        </w:rPr>
        <w:t>57、所有权或使用权受到限制的资产</w:t>
      </w:r>
      <w:bookmarkEnd w:id="23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84,294,492.94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期末已背书转让尚未到期的票据金额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45,651,319.23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银行承兑汇票及信用证保证金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2,498,000.00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已背书未终止确认的应收账款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132,443,812.17</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37" w:name="_Toc989182"/>
      <w:r>
        <w:rPr>
          <w:rFonts w:ascii="宋体" w:hAnsi="宋体" w:eastAsia="宋体" w:cs="宋体"/>
          <w:b/>
          <w:bCs/>
          <w:sz w:val="21"/>
          <w:szCs w:val="21"/>
        </w:rPr>
        <w:t>58、外币货币性项目</w:t>
      </w:r>
      <w:bookmarkEnd w:id="237"/>
    </w:p>
    <w:p>
      <w:pPr>
        <w:keepNext/>
        <w:keepLines/>
        <w:spacing w:before="300" w:after="300" w:line="280" w:lineRule="exact"/>
        <w:jc w:val="left"/>
        <w:outlineLvl w:val="3"/>
        <w:rPr>
          <w:rFonts w:ascii="宋体" w:hAnsi="宋体" w:eastAsia="宋体" w:cs="宋体"/>
          <w:b/>
          <w:bCs/>
          <w:sz w:val="21"/>
          <w:szCs w:val="21"/>
        </w:rPr>
      </w:pPr>
      <w:bookmarkStart w:id="238" w:name="_Toc989183"/>
      <w:r>
        <w:rPr>
          <w:rFonts w:ascii="宋体" w:hAnsi="宋体" w:eastAsia="宋体" w:cs="宋体"/>
          <w:b/>
          <w:bCs/>
          <w:sz w:val="21"/>
          <w:szCs w:val="21"/>
        </w:rPr>
        <w:t>（1） 外币货币性项目</w:t>
      </w:r>
      <w:bookmarkEnd w:id="23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期末外币余额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折算汇率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期末折算人民币余额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821,712.63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6.7114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5,514,842.14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宋体" w:hAnsi="宋体" w:eastAsia="宋体" w:cs="宋体"/>
                <w:sz w:val="18"/>
                <w:szCs w:val="18"/>
                <w:lang w:val="en-US" w:eastAsia="zh-CN"/>
              </w:rPr>
            </w:pPr>
            <w:r>
              <w:rPr>
                <w:rFonts w:ascii="宋体" w:hAnsi="宋体" w:eastAsia="宋体" w:cs="宋体"/>
                <w:sz w:val="18"/>
                <w:szCs w:val="18"/>
              </w:rPr>
              <w:t>7.00</w:t>
            </w:r>
            <w:r>
              <w:rPr>
                <w:rFonts w:hint="eastAsia" w:ascii="宋体" w:hAnsi="宋体" w:cs="宋体"/>
                <w:sz w:val="18"/>
                <w:szCs w:val="18"/>
                <w:lang w:val="en-US" w:eastAsia="zh-CN"/>
              </w:rPr>
              <w:t>84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0.8552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2,052.46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英镑</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8.1365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813.65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应收账款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179,829.44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6.7114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1,206,907.30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611,613.27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宋体" w:hAnsi="宋体" w:eastAsia="宋体" w:cs="宋体"/>
                <w:sz w:val="18"/>
                <w:szCs w:val="18"/>
                <w:lang w:val="en-US" w:eastAsia="zh-CN"/>
              </w:rPr>
            </w:pPr>
            <w:r>
              <w:rPr>
                <w:rFonts w:ascii="宋体" w:hAnsi="宋体" w:eastAsia="宋体" w:cs="宋体"/>
                <w:sz w:val="18"/>
                <w:szCs w:val="18"/>
              </w:rPr>
              <w:t>7.00</w:t>
            </w:r>
            <w:r>
              <w:rPr>
                <w:rFonts w:hint="eastAsia" w:ascii="宋体" w:hAnsi="宋体" w:cs="宋体"/>
                <w:sz w:val="18"/>
                <w:szCs w:val="18"/>
                <w:lang w:val="en-US" w:eastAsia="zh-CN"/>
              </w:rPr>
              <w:t>84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4,286,430.44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长期借款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239" w:name="_Toc989184"/>
      <w:r>
        <w:rPr>
          <w:rFonts w:ascii="宋体" w:hAnsi="宋体" w:eastAsia="宋体" w:cs="宋体"/>
          <w:b/>
          <w:bCs/>
          <w:sz w:val="21"/>
          <w:szCs w:val="21"/>
        </w:rPr>
        <w:t>（2） 境外经营实体说明，包括对于重要的境外经营实体，应披露其境外主要经营地、记账本位币及选择依据，记账本位币发生变化的还应披露原因。</w:t>
      </w:r>
      <w:bookmarkEnd w:id="239"/>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40" w:name="_Toc989185"/>
      <w:r>
        <w:rPr>
          <w:rFonts w:ascii="宋体" w:hAnsi="宋体" w:eastAsia="宋体" w:cs="宋体"/>
          <w:b/>
          <w:bCs/>
          <w:sz w:val="21"/>
          <w:szCs w:val="21"/>
        </w:rPr>
        <w:t>59、套期</w:t>
      </w:r>
      <w:bookmarkEnd w:id="240"/>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按照套期类别披露套期项目及相关套期工具、被套期风险的定性和定量信息：</w:t>
      </w:r>
    </w:p>
    <w:p>
      <w:pPr>
        <w:keepNext/>
        <w:keepLines/>
        <w:spacing w:before="300" w:after="300" w:line="280" w:lineRule="exact"/>
        <w:jc w:val="left"/>
        <w:outlineLvl w:val="2"/>
        <w:rPr>
          <w:rFonts w:ascii="宋体" w:hAnsi="宋体" w:eastAsia="宋体" w:cs="宋体"/>
          <w:b/>
          <w:bCs/>
          <w:sz w:val="21"/>
          <w:szCs w:val="21"/>
        </w:rPr>
      </w:pPr>
      <w:bookmarkStart w:id="241" w:name="_Toc989186"/>
      <w:r>
        <w:rPr>
          <w:rFonts w:ascii="宋体" w:hAnsi="宋体" w:eastAsia="宋体" w:cs="宋体"/>
          <w:b/>
          <w:bCs/>
          <w:sz w:val="21"/>
          <w:szCs w:val="21"/>
        </w:rPr>
        <w:t>60、政府补助</w:t>
      </w:r>
      <w:bookmarkEnd w:id="241"/>
    </w:p>
    <w:p>
      <w:pPr>
        <w:keepNext/>
        <w:keepLines/>
        <w:spacing w:before="300" w:after="300" w:line="280" w:lineRule="exact"/>
        <w:jc w:val="left"/>
        <w:outlineLvl w:val="3"/>
        <w:rPr>
          <w:rFonts w:ascii="宋体" w:hAnsi="宋体" w:eastAsia="宋体" w:cs="宋体"/>
          <w:b/>
          <w:bCs/>
          <w:sz w:val="21"/>
          <w:szCs w:val="21"/>
        </w:rPr>
      </w:pPr>
      <w:bookmarkStart w:id="242" w:name="_Toc989187"/>
      <w:r>
        <w:rPr>
          <w:rFonts w:ascii="宋体" w:hAnsi="宋体" w:eastAsia="宋体" w:cs="宋体"/>
          <w:b/>
          <w:bCs/>
          <w:sz w:val="21"/>
          <w:szCs w:val="21"/>
        </w:rPr>
        <w:t>（1） 政府补助基本情况</w:t>
      </w:r>
      <w:bookmarkEnd w:id="24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种类</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列报项目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C919研制保障条件建设项目政府补助</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10,660,000.00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递延收益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2021智能化技改项目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1,614,300.00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递延收益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高新技术企业补助</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常州市政府奖励</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48,670.00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48,670.00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稳岗补贴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141,893.36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141,893.36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研发奖补资金</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1,152,200.00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1,152,200.00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2021年个人所得税代扣代缴手续费返还</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36,541.48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36,541.48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一次性吸纳就业补贴款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2021年政策兑现推动中小企业向专精特新发展补贴款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2021年政策兑现鼓励企业扩大发展规模亿元企业补贴款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2021年政策兑现技术改造项目补贴款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284,400.00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284,400.00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长财教指（2022）14号2022年度第一批创新型省份建设专项资金</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长财教指（2021）79号2021年企业、高校及科研院所研发奖补资金</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高新区财务局其他技术研究与开发支出补贴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XX领域重点项目补助</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14,975,104.84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2,700,804.84</w:t>
            </w:r>
          </w:p>
        </w:tc>
      </w:tr>
    </w:tbl>
    <w:p>
      <w:pPr>
        <w:keepNext/>
        <w:keepLines/>
        <w:spacing w:before="300" w:after="300" w:line="280" w:lineRule="exact"/>
        <w:jc w:val="left"/>
        <w:outlineLvl w:val="3"/>
        <w:rPr>
          <w:rFonts w:ascii="宋体" w:hAnsi="宋体" w:eastAsia="宋体" w:cs="宋体"/>
          <w:b/>
          <w:bCs/>
          <w:sz w:val="21"/>
          <w:szCs w:val="21"/>
        </w:rPr>
      </w:pPr>
      <w:bookmarkStart w:id="243" w:name="_Toc989188"/>
      <w:r>
        <w:rPr>
          <w:rFonts w:ascii="宋体" w:hAnsi="宋体" w:eastAsia="宋体" w:cs="宋体"/>
          <w:b/>
          <w:bCs/>
          <w:sz w:val="21"/>
          <w:szCs w:val="21"/>
        </w:rPr>
        <w:t>（2） 政府补助退回情况</w:t>
      </w:r>
      <w:bookmarkEnd w:id="243"/>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320" w:lineRule="exact"/>
        <w:jc w:val="left"/>
        <w:outlineLvl w:val="1"/>
        <w:rPr>
          <w:rFonts w:ascii="宋体" w:hAnsi="宋体" w:eastAsia="宋体" w:cs="宋体"/>
          <w:b/>
          <w:bCs/>
          <w:sz w:val="24"/>
          <w:szCs w:val="24"/>
        </w:rPr>
      </w:pPr>
      <w:bookmarkStart w:id="244" w:name="_Toc989189"/>
      <w:r>
        <w:rPr>
          <w:rFonts w:ascii="宋体" w:hAnsi="宋体" w:eastAsia="宋体" w:cs="宋体"/>
          <w:b/>
          <w:bCs/>
          <w:sz w:val="24"/>
          <w:szCs w:val="24"/>
        </w:rPr>
        <w:t>八、合并范围的变更</w:t>
      </w:r>
      <w:bookmarkEnd w:id="244"/>
    </w:p>
    <w:p>
      <w:pPr>
        <w:keepNext/>
        <w:keepLines/>
        <w:spacing w:before="300" w:after="300" w:line="280" w:lineRule="exact"/>
        <w:jc w:val="left"/>
        <w:outlineLvl w:val="2"/>
        <w:rPr>
          <w:rFonts w:ascii="宋体" w:hAnsi="宋体" w:eastAsia="宋体" w:cs="宋体"/>
          <w:b/>
          <w:bCs/>
          <w:sz w:val="21"/>
          <w:szCs w:val="21"/>
        </w:rPr>
      </w:pPr>
      <w:bookmarkStart w:id="245" w:name="_Toc989190"/>
      <w:r>
        <w:rPr>
          <w:rFonts w:ascii="宋体" w:hAnsi="宋体" w:eastAsia="宋体" w:cs="宋体"/>
          <w:b/>
          <w:bCs/>
          <w:sz w:val="21"/>
          <w:szCs w:val="21"/>
        </w:rPr>
        <w:t>1、非同一控制下企业合并</w:t>
      </w:r>
      <w:bookmarkEnd w:id="245"/>
    </w:p>
    <w:p>
      <w:pPr>
        <w:keepNext/>
        <w:keepLines/>
        <w:spacing w:before="300" w:after="300" w:line="280" w:lineRule="exact"/>
        <w:jc w:val="left"/>
        <w:outlineLvl w:val="3"/>
        <w:rPr>
          <w:rFonts w:ascii="宋体" w:hAnsi="宋体" w:eastAsia="宋体" w:cs="宋体"/>
          <w:b/>
          <w:bCs/>
          <w:sz w:val="18"/>
          <w:szCs w:val="18"/>
        </w:rPr>
      </w:pPr>
      <w:bookmarkStart w:id="246" w:name="_Toc989191"/>
      <w:r>
        <w:rPr>
          <w:rFonts w:ascii="宋体" w:hAnsi="宋体" w:eastAsia="宋体" w:cs="宋体"/>
          <w:b/>
          <w:bCs/>
          <w:sz w:val="18"/>
          <w:szCs w:val="18"/>
        </w:rPr>
        <w:t>（1） 本期发生的非同一控制下企业合并</w:t>
      </w:r>
      <w:bookmarkEnd w:id="24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被购买方名称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股权取得时点</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股权取得比例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股权取得方式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购买日的确定依据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购买日至期末被购买方的收入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购买日至期末被购买方的净利润</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247" w:name="_Toc989192"/>
      <w:r>
        <w:rPr>
          <w:rFonts w:ascii="宋体" w:hAnsi="宋体" w:eastAsia="宋体" w:cs="宋体"/>
          <w:b/>
          <w:bCs/>
          <w:sz w:val="18"/>
          <w:szCs w:val="18"/>
        </w:rPr>
        <w:t>（2） 合并成本及商誉</w:t>
      </w:r>
      <w:bookmarkEnd w:id="24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合并成本</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--现金</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--非现金资产的公允价值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--发行或承担的债务的公允价值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--发行的权益性证券的公允价值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--或有对价的公允价值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--购买日之前持有的股权于购买日的公允价值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合并成本合计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减：取得的可辨认净资产公允价值份额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商誉/合并成本小于取得的可辨认净资产公允价值份额的金额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合并成本公允价值的确定方法、或有对价及其变动的说明：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大额商誉形成的主要原因：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248" w:name="_Toc989193"/>
      <w:r>
        <w:rPr>
          <w:rFonts w:ascii="宋体" w:hAnsi="宋体" w:eastAsia="宋体" w:cs="宋体"/>
          <w:b/>
          <w:bCs/>
          <w:sz w:val="18"/>
          <w:szCs w:val="18"/>
        </w:rPr>
        <w:t>（3） 被购买方于购买日可辨认资产、负债</w:t>
      </w:r>
      <w:bookmarkEnd w:id="24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购买日公允价值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取得的净资产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可辨认资产、负债公允价值的确定方法：</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企业合并中承担的被购买方的或有负债：</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249" w:name="_Toc989194"/>
      <w:r>
        <w:rPr>
          <w:rFonts w:ascii="宋体" w:hAnsi="宋体" w:eastAsia="宋体" w:cs="宋体"/>
          <w:b/>
          <w:bCs/>
          <w:sz w:val="18"/>
          <w:szCs w:val="18"/>
        </w:rPr>
        <w:t>（4） 购买日之前持有的股权按照公允价值重新计量产生的利得或损失</w:t>
      </w:r>
      <w:bookmarkEnd w:id="249"/>
    </w:p>
    <w:p>
      <w:pPr>
        <w:spacing w:before="40" w:after="40" w:line="240" w:lineRule="exact"/>
        <w:jc w:val="left"/>
        <w:rPr>
          <w:rFonts w:ascii="宋体" w:hAnsi="宋体" w:eastAsia="宋体" w:cs="宋体"/>
          <w:sz w:val="18"/>
          <w:szCs w:val="18"/>
        </w:rPr>
      </w:pPr>
      <w:r>
        <w:rPr>
          <w:rFonts w:ascii="宋体" w:hAnsi="宋体" w:eastAsia="宋体" w:cs="宋体"/>
          <w:sz w:val="18"/>
          <w:szCs w:val="18"/>
        </w:rPr>
        <w:t>是否存在通过多次交易分步实现企业合并且在报告期内取得控制权的交易</w:t>
      </w:r>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280" w:lineRule="exact"/>
        <w:jc w:val="left"/>
        <w:outlineLvl w:val="3"/>
        <w:rPr>
          <w:rFonts w:ascii="宋体" w:hAnsi="宋体" w:eastAsia="宋体" w:cs="宋体"/>
          <w:b/>
          <w:bCs/>
          <w:sz w:val="18"/>
          <w:szCs w:val="18"/>
        </w:rPr>
      </w:pPr>
      <w:bookmarkStart w:id="250" w:name="_Toc989195"/>
      <w:r>
        <w:rPr>
          <w:rFonts w:ascii="宋体" w:hAnsi="宋体" w:eastAsia="宋体" w:cs="宋体"/>
          <w:b/>
          <w:bCs/>
          <w:sz w:val="18"/>
          <w:szCs w:val="18"/>
        </w:rPr>
        <w:t>（5） 购买日或合并当期期末无法合理确定合并对价或被购买方可辨认资产、负债公允价值的相关说明</w:t>
      </w:r>
      <w:bookmarkEnd w:id="250"/>
    </w:p>
    <w:p>
      <w:pPr>
        <w:keepNext/>
        <w:keepLines/>
        <w:spacing w:before="300" w:after="300" w:line="280" w:lineRule="exact"/>
        <w:jc w:val="left"/>
        <w:outlineLvl w:val="3"/>
        <w:rPr>
          <w:rFonts w:ascii="宋体" w:hAnsi="宋体" w:eastAsia="宋体" w:cs="宋体"/>
          <w:b/>
          <w:bCs/>
          <w:sz w:val="18"/>
          <w:szCs w:val="18"/>
        </w:rPr>
      </w:pPr>
      <w:bookmarkStart w:id="251" w:name="_Toc989196"/>
      <w:r>
        <w:rPr>
          <w:rFonts w:ascii="宋体" w:hAnsi="宋体" w:eastAsia="宋体" w:cs="宋体"/>
          <w:b/>
          <w:bCs/>
          <w:sz w:val="18"/>
          <w:szCs w:val="18"/>
        </w:rPr>
        <w:t>（6） 其他说明</w:t>
      </w:r>
      <w:bookmarkEnd w:id="251"/>
    </w:p>
    <w:p>
      <w:pPr>
        <w:keepNext/>
        <w:keepLines/>
        <w:spacing w:before="300" w:after="300" w:line="280" w:lineRule="exact"/>
        <w:jc w:val="left"/>
        <w:outlineLvl w:val="2"/>
        <w:rPr>
          <w:rFonts w:ascii="宋体" w:hAnsi="宋体" w:eastAsia="宋体" w:cs="宋体"/>
          <w:b/>
          <w:bCs/>
          <w:sz w:val="21"/>
          <w:szCs w:val="21"/>
        </w:rPr>
      </w:pPr>
      <w:bookmarkStart w:id="252" w:name="_Toc989197"/>
      <w:r>
        <w:rPr>
          <w:rFonts w:ascii="宋体" w:hAnsi="宋体" w:eastAsia="宋体" w:cs="宋体"/>
          <w:b/>
          <w:bCs/>
          <w:sz w:val="21"/>
          <w:szCs w:val="21"/>
        </w:rPr>
        <w:t>2、同一控制下企业合并</w:t>
      </w:r>
      <w:bookmarkEnd w:id="252"/>
    </w:p>
    <w:p>
      <w:pPr>
        <w:keepNext/>
        <w:keepLines/>
        <w:spacing w:before="300" w:after="300" w:line="280" w:lineRule="exact"/>
        <w:jc w:val="left"/>
        <w:outlineLvl w:val="3"/>
        <w:rPr>
          <w:rFonts w:ascii="宋体" w:hAnsi="宋体" w:eastAsia="宋体" w:cs="宋体"/>
          <w:b/>
          <w:bCs/>
          <w:sz w:val="18"/>
          <w:szCs w:val="18"/>
        </w:rPr>
      </w:pPr>
      <w:bookmarkStart w:id="253" w:name="_Toc989198"/>
      <w:r>
        <w:rPr>
          <w:rFonts w:ascii="宋体" w:hAnsi="宋体" w:eastAsia="宋体" w:cs="宋体"/>
          <w:b/>
          <w:bCs/>
          <w:sz w:val="18"/>
          <w:szCs w:val="18"/>
        </w:rPr>
        <w:t>（1） 本期发生的同一控制下企业合并</w:t>
      </w:r>
      <w:bookmarkEnd w:id="25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被合并方名称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企业合并中取得的权益比例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构成同一控制下企业合并的依据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合并日的确定依据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合并当期期初至合并日被合并方的收入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合并当期期初至合并日被合并方的净利润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比较期间被合并方的收入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比较期间被合并方的净利润</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254" w:name="_Toc989199"/>
      <w:r>
        <w:rPr>
          <w:rFonts w:ascii="宋体" w:hAnsi="宋体" w:eastAsia="宋体" w:cs="宋体"/>
          <w:b/>
          <w:bCs/>
          <w:sz w:val="18"/>
          <w:szCs w:val="18"/>
        </w:rPr>
        <w:t>（2） 合并成本</w:t>
      </w:r>
      <w:bookmarkEnd w:id="25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合并成本</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--现金</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--非现金资产的账面价值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--发行或承担的债务的账面价值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--发行的权益性证券的面值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--或有对价</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或有对价及其变动的说明：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255" w:name="_Toc989200"/>
      <w:r>
        <w:rPr>
          <w:rFonts w:ascii="宋体" w:hAnsi="宋体" w:eastAsia="宋体" w:cs="宋体"/>
          <w:b/>
          <w:bCs/>
          <w:sz w:val="18"/>
          <w:szCs w:val="18"/>
        </w:rPr>
        <w:t>（3） 合并日被合并方资产、负债的账面价值</w:t>
      </w:r>
      <w:bookmarkEnd w:id="25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这是文本内容</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取得的净资产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企业合并中承担的被合并方的或有负债：</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56" w:name="_Toc989201"/>
      <w:r>
        <w:rPr>
          <w:rFonts w:ascii="宋体" w:hAnsi="宋体" w:eastAsia="宋体" w:cs="宋体"/>
          <w:b/>
          <w:bCs/>
          <w:sz w:val="21"/>
          <w:szCs w:val="21"/>
        </w:rPr>
        <w:t>3、反向购买</w:t>
      </w:r>
      <w:bookmarkEnd w:id="256"/>
    </w:p>
    <w:p>
      <w:pPr>
        <w:spacing w:before="100" w:after="100" w:line="240" w:lineRule="exact"/>
        <w:jc w:val="left"/>
        <w:rPr>
          <w:rFonts w:ascii="宋体" w:hAnsi="宋体" w:eastAsia="宋体" w:cs="宋体"/>
          <w:sz w:val="18"/>
          <w:szCs w:val="18"/>
        </w:rPr>
      </w:pPr>
      <w:r>
        <w:rPr>
          <w:rFonts w:ascii="宋体" w:hAnsi="宋体" w:eastAsia="宋体" w:cs="宋体"/>
          <w:sz w:val="18"/>
          <w:szCs w:val="18"/>
        </w:rPr>
        <w:t>交易基本信息、交易构成反向购买的依据、上市公司保留的资产、负债是否构成业务及其依据、合并成本的确定、按照权益性交易处理时调整权益的金额及其计算：</w:t>
      </w:r>
    </w:p>
    <w:p>
      <w:pPr>
        <w:keepNext/>
        <w:keepLines/>
        <w:spacing w:before="300" w:after="300" w:line="280" w:lineRule="exact"/>
        <w:jc w:val="left"/>
        <w:outlineLvl w:val="2"/>
        <w:rPr>
          <w:rFonts w:ascii="宋体" w:hAnsi="宋体" w:eastAsia="宋体" w:cs="宋体"/>
          <w:b/>
          <w:bCs/>
          <w:sz w:val="21"/>
          <w:szCs w:val="21"/>
        </w:rPr>
      </w:pPr>
      <w:bookmarkStart w:id="257" w:name="_Toc989202"/>
      <w:r>
        <w:rPr>
          <w:rFonts w:ascii="宋体" w:hAnsi="宋体" w:eastAsia="宋体" w:cs="宋体"/>
          <w:b/>
          <w:bCs/>
          <w:sz w:val="21"/>
          <w:szCs w:val="21"/>
        </w:rPr>
        <w:t>4、处置子公司</w:t>
      </w:r>
      <w:bookmarkEnd w:id="257"/>
    </w:p>
    <w:p>
      <w:pPr>
        <w:spacing w:before="40" w:after="40" w:line="240" w:lineRule="exact"/>
        <w:jc w:val="left"/>
        <w:rPr>
          <w:rFonts w:ascii="宋体" w:hAnsi="宋体" w:eastAsia="宋体" w:cs="宋体"/>
          <w:sz w:val="18"/>
          <w:szCs w:val="18"/>
        </w:rPr>
      </w:pPr>
      <w:r>
        <w:rPr>
          <w:rFonts w:ascii="宋体" w:hAnsi="宋体" w:eastAsia="宋体" w:cs="宋体"/>
          <w:sz w:val="18"/>
          <w:szCs w:val="18"/>
        </w:rPr>
        <w:t>是否存在单次处置对子公司投资即丧失控制权的情形</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是否存在通过多次交易分步处置对子公司投资且在本期丧失控制权的情形</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280" w:lineRule="exact"/>
        <w:jc w:val="left"/>
        <w:outlineLvl w:val="2"/>
        <w:rPr>
          <w:rFonts w:ascii="宋体" w:hAnsi="宋体" w:eastAsia="宋体" w:cs="宋体"/>
          <w:b/>
          <w:bCs/>
          <w:sz w:val="21"/>
          <w:szCs w:val="21"/>
        </w:rPr>
      </w:pPr>
      <w:bookmarkStart w:id="258" w:name="_Toc989203"/>
      <w:r>
        <w:rPr>
          <w:rFonts w:ascii="宋体" w:hAnsi="宋体" w:eastAsia="宋体" w:cs="宋体"/>
          <w:b/>
          <w:bCs/>
          <w:sz w:val="21"/>
          <w:szCs w:val="21"/>
        </w:rPr>
        <w:t>5、其他原因的合并范围变动</w:t>
      </w:r>
      <w:bookmarkEnd w:id="258"/>
    </w:p>
    <w:p>
      <w:pPr>
        <w:spacing w:before="100" w:after="100" w:line="240" w:lineRule="exact"/>
        <w:jc w:val="left"/>
        <w:rPr>
          <w:rFonts w:ascii="宋体" w:hAnsi="宋体" w:eastAsia="宋体" w:cs="宋体"/>
          <w:sz w:val="18"/>
          <w:szCs w:val="18"/>
        </w:rPr>
      </w:pPr>
      <w:r>
        <w:rPr>
          <w:rFonts w:ascii="宋体" w:hAnsi="宋体" w:eastAsia="宋体" w:cs="宋体"/>
          <w:sz w:val="18"/>
          <w:szCs w:val="18"/>
        </w:rPr>
        <w:t>说明其他原因导致的合并范围变动（如，新设子公司、清算子公司等）及其相关情况：</w:t>
      </w:r>
    </w:p>
    <w:p>
      <w:pPr>
        <w:keepNext/>
        <w:keepLines/>
        <w:spacing w:before="300" w:after="300" w:line="280" w:lineRule="exact"/>
        <w:jc w:val="left"/>
        <w:outlineLvl w:val="2"/>
        <w:rPr>
          <w:rFonts w:ascii="宋体" w:hAnsi="宋体" w:eastAsia="宋体" w:cs="宋体"/>
          <w:b/>
          <w:bCs/>
          <w:sz w:val="21"/>
          <w:szCs w:val="21"/>
        </w:rPr>
      </w:pPr>
      <w:bookmarkStart w:id="259" w:name="_Toc989204"/>
      <w:r>
        <w:rPr>
          <w:rFonts w:ascii="宋体" w:hAnsi="宋体" w:eastAsia="宋体" w:cs="宋体"/>
          <w:b/>
          <w:bCs/>
          <w:sz w:val="21"/>
          <w:szCs w:val="21"/>
        </w:rPr>
        <w:t>6、其他</w:t>
      </w:r>
      <w:bookmarkEnd w:id="259"/>
    </w:p>
    <w:p>
      <w:pPr>
        <w:keepNext/>
        <w:keepLines/>
        <w:spacing w:before="300" w:after="300" w:line="320" w:lineRule="exact"/>
        <w:jc w:val="left"/>
        <w:outlineLvl w:val="1"/>
        <w:rPr>
          <w:rFonts w:ascii="宋体" w:hAnsi="宋体" w:eastAsia="宋体" w:cs="宋体"/>
          <w:b/>
          <w:bCs/>
          <w:sz w:val="24"/>
          <w:szCs w:val="24"/>
        </w:rPr>
      </w:pPr>
      <w:bookmarkStart w:id="260" w:name="_Toc989205"/>
      <w:r>
        <w:rPr>
          <w:rFonts w:ascii="宋体" w:hAnsi="宋体" w:eastAsia="宋体" w:cs="宋体"/>
          <w:b/>
          <w:bCs/>
          <w:sz w:val="24"/>
          <w:szCs w:val="24"/>
        </w:rPr>
        <w:t>九、在其他主体中的权益</w:t>
      </w:r>
      <w:bookmarkEnd w:id="260"/>
    </w:p>
    <w:p>
      <w:pPr>
        <w:keepNext/>
        <w:keepLines/>
        <w:spacing w:before="300" w:after="300" w:line="280" w:lineRule="exact"/>
        <w:jc w:val="left"/>
        <w:outlineLvl w:val="2"/>
        <w:rPr>
          <w:rFonts w:ascii="宋体" w:hAnsi="宋体" w:eastAsia="宋体" w:cs="宋体"/>
          <w:b/>
          <w:bCs/>
          <w:sz w:val="21"/>
          <w:szCs w:val="21"/>
        </w:rPr>
      </w:pPr>
      <w:bookmarkStart w:id="261" w:name="_Toc989206"/>
      <w:r>
        <w:rPr>
          <w:rFonts w:ascii="宋体" w:hAnsi="宋体" w:eastAsia="宋体" w:cs="宋体"/>
          <w:b/>
          <w:bCs/>
          <w:sz w:val="21"/>
          <w:szCs w:val="21"/>
        </w:rPr>
        <w:t>1、在子公司中的权益</w:t>
      </w:r>
      <w:bookmarkEnd w:id="261"/>
    </w:p>
    <w:p>
      <w:pPr>
        <w:keepNext/>
        <w:keepLines/>
        <w:spacing w:before="300" w:after="300" w:line="280" w:lineRule="exact"/>
        <w:jc w:val="left"/>
        <w:outlineLvl w:val="3"/>
        <w:rPr>
          <w:rFonts w:ascii="宋体" w:hAnsi="宋体" w:eastAsia="宋体" w:cs="宋体"/>
          <w:b/>
          <w:bCs/>
          <w:sz w:val="18"/>
          <w:szCs w:val="18"/>
        </w:rPr>
      </w:pPr>
      <w:bookmarkStart w:id="262" w:name="_Toc989207"/>
      <w:r>
        <w:rPr>
          <w:rFonts w:ascii="宋体" w:hAnsi="宋体" w:eastAsia="宋体" w:cs="宋体"/>
          <w:b/>
          <w:bCs/>
          <w:sz w:val="18"/>
          <w:szCs w:val="18"/>
        </w:rPr>
        <w:t>（1） 企业集团的构成</w:t>
      </w:r>
      <w:bookmarkEnd w:id="262"/>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取得方式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制造业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97.07%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制造业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制造业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非同一控制下企业合并</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在子公司的持股比例不同于表决权比例的说明：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持有半数或以下表决权但仍控制被投资单位、以及持有半数以上表决权但不控制被投资单位的依据：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对于纳入合并范围的重要的结构化主体，控制的依据：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确定公司是代理人还是委托人的依据：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263" w:name="_Toc989208"/>
      <w:r>
        <w:rPr>
          <w:rFonts w:ascii="宋体" w:hAnsi="宋体" w:eastAsia="宋体" w:cs="宋体"/>
          <w:b/>
          <w:bCs/>
          <w:sz w:val="18"/>
          <w:szCs w:val="18"/>
        </w:rPr>
        <w:t>（2） 重要的非全资子公司</w:t>
      </w:r>
      <w:bookmarkEnd w:id="26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少数股东持股比例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本期归属于少数股东的损益</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本期向少数股东宣告分派的股利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期末少数股东权益余额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330,963.49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22,921,122.91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子公司少数股东的持股比例不同于表决权比例的说明：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264" w:name="_Toc989209"/>
      <w:r>
        <w:rPr>
          <w:rFonts w:ascii="宋体" w:hAnsi="宋体" w:eastAsia="宋体" w:cs="宋体"/>
          <w:b/>
          <w:bCs/>
          <w:sz w:val="18"/>
          <w:szCs w:val="18"/>
        </w:rPr>
        <w:t>（3） 重要非全资子公司的主要财务信息</w:t>
      </w:r>
      <w:bookmarkEnd w:id="26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eastAsia" w:ascii="宋体" w:hAnsi="宋体" w:eastAsia="宋体" w:cs="宋体"/>
                <w:sz w:val="18"/>
                <w:szCs w:val="18"/>
                <w:lang w:eastAsia="zh-CN"/>
              </w:rPr>
            </w:pPr>
            <w:r>
              <w:rPr>
                <w:rFonts w:ascii="宋体" w:hAnsi="宋体" w:eastAsia="宋体" w:cs="宋体"/>
                <w:sz w:val="18"/>
                <w:szCs w:val="18"/>
              </w:rPr>
              <w:t>湖南博云东方粉末冶金</w:t>
            </w:r>
            <w:r>
              <w:rPr>
                <w:rFonts w:hint="eastAsia" w:ascii="宋体" w:hAnsi="宋体" w:cs="宋体"/>
                <w:sz w:val="18"/>
                <w:szCs w:val="18"/>
                <w:lang w:eastAsia="zh-CN"/>
              </w:rPr>
              <w:t>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524,456,560.42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422,495,123.18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946,951,683.60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164,277,645.26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40,922.79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164,318,568.05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562,386,074.44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359,864,760.66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922,250,835.10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150,872,478.93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40,922.79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150,913,401.72</w:t>
            </w:r>
          </w:p>
        </w:tc>
      </w:tr>
    </w:tbl>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经营活动现金流量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经营活动现金流量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eastAsia" w:ascii="宋体" w:hAnsi="宋体" w:eastAsia="宋体" w:cs="宋体"/>
                <w:sz w:val="18"/>
                <w:szCs w:val="18"/>
                <w:lang w:eastAsia="zh-CN"/>
              </w:rPr>
            </w:pPr>
            <w:r>
              <w:rPr>
                <w:rFonts w:ascii="宋体" w:hAnsi="宋体" w:eastAsia="宋体" w:cs="宋体"/>
                <w:sz w:val="18"/>
                <w:szCs w:val="18"/>
              </w:rPr>
              <w:t>湖南博云东方粉末冶金</w:t>
            </w:r>
            <w:r>
              <w:rPr>
                <w:rFonts w:hint="eastAsia" w:ascii="宋体" w:hAnsi="宋体" w:cs="宋体"/>
                <w:sz w:val="18"/>
                <w:szCs w:val="18"/>
                <w:lang w:eastAsia="zh-CN"/>
              </w:rPr>
              <w:t>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136,595,351.58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11,295,682.17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11,295,682.17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-21,589,220.40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122,106,162.07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12,603,432.18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12,603,432.18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-1,380,639.76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65" w:name="_Toc989210"/>
      <w:r>
        <w:rPr>
          <w:rFonts w:ascii="宋体" w:hAnsi="宋体" w:eastAsia="宋体" w:cs="宋体"/>
          <w:b/>
          <w:bCs/>
          <w:sz w:val="21"/>
          <w:szCs w:val="21"/>
        </w:rPr>
        <w:t>2、在合营安排或联营企业中的权益</w:t>
      </w:r>
      <w:bookmarkEnd w:id="265"/>
    </w:p>
    <w:p>
      <w:pPr>
        <w:keepNext/>
        <w:keepLines/>
        <w:spacing w:before="300" w:after="300" w:line="280" w:lineRule="exact"/>
        <w:jc w:val="left"/>
        <w:outlineLvl w:val="3"/>
        <w:rPr>
          <w:rFonts w:ascii="宋体" w:hAnsi="宋体" w:eastAsia="宋体" w:cs="宋体"/>
          <w:b/>
          <w:bCs/>
          <w:sz w:val="21"/>
          <w:szCs w:val="21"/>
        </w:rPr>
      </w:pPr>
      <w:bookmarkStart w:id="266" w:name="_Toc989211"/>
      <w:r>
        <w:rPr>
          <w:rFonts w:ascii="宋体" w:hAnsi="宋体" w:eastAsia="宋体" w:cs="宋体"/>
          <w:b/>
          <w:bCs/>
          <w:sz w:val="21"/>
          <w:szCs w:val="21"/>
        </w:rPr>
        <w:t>（1） 重要的合营企业或联营企业</w:t>
      </w:r>
      <w:bookmarkEnd w:id="266"/>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合营企业或联营企业名称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对合营企业或联营企业投资的会计处理方法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制造业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权益法</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在合营企业或联营企业的持股比例不同于表决权比例的说明：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持有20%以下表决权但具有重大影响，或者持有20%或以上表决权但不具有重大影响的依据：</w:t>
      </w:r>
    </w:p>
    <w:p>
      <w:pPr>
        <w:keepNext/>
        <w:keepLines/>
        <w:spacing w:before="300" w:after="300" w:line="280" w:lineRule="exact"/>
        <w:jc w:val="left"/>
        <w:outlineLvl w:val="3"/>
        <w:rPr>
          <w:rFonts w:ascii="宋体" w:hAnsi="宋体" w:eastAsia="宋体" w:cs="宋体"/>
          <w:b/>
          <w:bCs/>
          <w:sz w:val="21"/>
          <w:szCs w:val="21"/>
        </w:rPr>
      </w:pPr>
      <w:bookmarkStart w:id="267" w:name="_Toc989212"/>
      <w:r>
        <w:rPr>
          <w:rFonts w:ascii="宋体" w:hAnsi="宋体" w:eastAsia="宋体" w:cs="宋体"/>
          <w:b/>
          <w:bCs/>
          <w:sz w:val="21"/>
          <w:szCs w:val="21"/>
        </w:rPr>
        <w:t>（2） 重要联营企业的主要财务信息</w:t>
      </w:r>
      <w:bookmarkEnd w:id="26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142,149,575.59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96,385,737.83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166,830,804.22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173,240,925.91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308,980,379.81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269,626,663.74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57,941,816.95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59,043,293.48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161,002,760.69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153,734,068.09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218,944,577.64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212,777,361.57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归属于母公司股东权益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90,035,802.17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56,849,302.17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按持股比例计算的净资产份额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44,117,543.06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27,856,158.06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调整事项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-138,446.26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-138,446.26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--内部交易未实现利润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-138,446.26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-138,446.26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对联营企业权益投资的账面价值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43,979,096.79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27,717,711.80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存在公开报价的联营企业权益投资的公允价值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872,084.90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285,279.12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-24,197,500.00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-13,825,977.22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终止经营的净利润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-24,197,500.00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-13,825,977.22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本年度收到的来自联营企业的股利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68" w:name="_Toc989213"/>
      <w:r>
        <w:rPr>
          <w:rFonts w:ascii="宋体" w:hAnsi="宋体" w:eastAsia="宋体" w:cs="宋体"/>
          <w:b/>
          <w:bCs/>
          <w:sz w:val="21"/>
          <w:szCs w:val="21"/>
        </w:rPr>
        <w:t>3、在未纳入合并财务报表范围的结构化主体中的权益</w:t>
      </w:r>
      <w:bookmarkEnd w:id="268"/>
    </w:p>
    <w:p>
      <w:pPr>
        <w:spacing w:before="100" w:after="100" w:line="240" w:lineRule="exact"/>
        <w:jc w:val="left"/>
        <w:rPr>
          <w:rFonts w:ascii="宋体" w:hAnsi="宋体" w:eastAsia="宋体" w:cs="宋体"/>
          <w:sz w:val="18"/>
          <w:szCs w:val="18"/>
        </w:rPr>
      </w:pPr>
      <w:r>
        <w:rPr>
          <w:rFonts w:ascii="宋体" w:hAnsi="宋体" w:eastAsia="宋体" w:cs="宋体"/>
          <w:sz w:val="18"/>
          <w:szCs w:val="18"/>
        </w:rPr>
        <w:t>未纳入合并财务报表范围的结构化主体的相关说明：</w:t>
      </w:r>
    </w:p>
    <w:p>
      <w:pPr>
        <w:pStyle w:val="3"/>
        <w:keepNext w:val="0"/>
        <w:keepLines w:val="0"/>
        <w:widowControl/>
        <w:suppressLineNumbers w:val="0"/>
      </w:pPr>
      <w:r>
        <w:rPr>
          <w:rFonts w:hint="eastAsia" w:ascii="宋体" w:hAnsi="宋体" w:eastAsia="宋体" w:cs="宋体"/>
          <w:sz w:val="18"/>
          <w:szCs w:val="18"/>
        </w:rPr>
        <w:t>无</w:t>
      </w:r>
    </w:p>
    <w:p>
      <w:pPr>
        <w:keepNext/>
        <w:keepLines/>
        <w:spacing w:before="300" w:after="300" w:line="320" w:lineRule="exact"/>
        <w:jc w:val="left"/>
        <w:outlineLvl w:val="1"/>
        <w:rPr>
          <w:rFonts w:ascii="宋体" w:hAnsi="宋体" w:eastAsia="宋体" w:cs="宋体"/>
          <w:b/>
          <w:bCs/>
          <w:sz w:val="24"/>
          <w:szCs w:val="24"/>
        </w:rPr>
      </w:pPr>
      <w:bookmarkStart w:id="269" w:name="_Toc989214"/>
      <w:r>
        <w:rPr>
          <w:rFonts w:ascii="宋体" w:hAnsi="宋体" w:eastAsia="宋体" w:cs="宋体"/>
          <w:b/>
          <w:bCs/>
          <w:sz w:val="24"/>
          <w:szCs w:val="24"/>
        </w:rPr>
        <w:t>十、与金融工具相关的风险</w:t>
      </w:r>
      <w:bookmarkEnd w:id="269"/>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本公司报告期的金融工具，金融资产主要为因经营而直接产生的贷款与应收款项，如货币资金、应收票据、应收账款、其他应收款等；金融负债主要为因经营而直接产生的其他金融负债，如应付票据、应付账款、长短期借款等。这些金融工具的主要目的在于为本公司的运营融资。</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本公司的金融工具导致的主要风险主要包括信用风险、流动风险及市场风险。</w:t>
      </w:r>
    </w:p>
    <w:p>
      <w:pPr>
        <w:pStyle w:val="3"/>
        <w:keepNext w:val="0"/>
        <w:keepLines w:val="0"/>
        <w:widowControl/>
        <w:suppressLineNumbers w:val="0"/>
        <w:spacing w:before="0" w:beforeAutospacing="0" w:after="156" w:afterAutospacing="0"/>
        <w:ind w:left="780" w:hanging="360"/>
        <w:jc w:val="left"/>
        <w:rPr>
          <w:rFonts w:hint="eastAsia" w:ascii="宋体" w:hAnsi="宋体" w:eastAsia="宋体" w:cs="宋体"/>
          <w:sz w:val="18"/>
          <w:szCs w:val="18"/>
        </w:rPr>
      </w:pPr>
      <w:r>
        <w:rPr>
          <w:rFonts w:hint="eastAsia" w:ascii="宋体" w:hAnsi="宋体" w:eastAsia="宋体" w:cs="宋体"/>
          <w:sz w:val="21"/>
          <w:szCs w:val="21"/>
        </w:rPr>
        <w:t>金融工具分类</w:t>
      </w:r>
    </w:p>
    <w:p>
      <w:pPr>
        <w:pStyle w:val="3"/>
        <w:keepNext w:val="0"/>
        <w:keepLines w:val="0"/>
        <w:widowControl/>
        <w:suppressLineNumbers w:val="0"/>
        <w:spacing w:before="0" w:beforeAutospacing="0" w:after="156" w:afterAutospacing="0"/>
        <w:ind w:left="420"/>
        <w:jc w:val="left"/>
        <w:rPr>
          <w:rFonts w:hint="eastAsia" w:ascii="宋体" w:hAnsi="宋体" w:eastAsia="宋体" w:cs="宋体"/>
          <w:sz w:val="18"/>
          <w:szCs w:val="18"/>
        </w:rPr>
      </w:pPr>
      <w:r>
        <w:rPr>
          <w:rFonts w:hint="eastAsia" w:ascii="宋体" w:hAnsi="宋体" w:eastAsia="宋体" w:cs="宋体"/>
          <w:sz w:val="21"/>
          <w:szCs w:val="21"/>
        </w:rPr>
        <w:t>（1）资产负债表日的各类金融资产的账面价值</w:t>
      </w:r>
    </w:p>
    <w:tbl>
      <w:tblPr>
        <w:tblStyle w:val="4"/>
        <w:tblW w:w="9026" w:type="dxa"/>
        <w:tblInd w:w="0" w:type="dxa"/>
        <w:shd w:val="clear" w:color="auto" w:fill="auto"/>
        <w:tblLayout w:type="fixed"/>
        <w:tblCellMar>
          <w:top w:w="0" w:type="dxa"/>
          <w:left w:w="0" w:type="dxa"/>
          <w:bottom w:w="0" w:type="dxa"/>
          <w:right w:w="0" w:type="dxa"/>
        </w:tblCellMar>
      </w:tblPr>
      <w:tblGrid>
        <w:gridCol w:w="1919"/>
        <w:gridCol w:w="1842"/>
        <w:gridCol w:w="1605"/>
        <w:gridCol w:w="1635"/>
        <w:gridCol w:w="2025"/>
      </w:tblGrid>
      <w:tr>
        <w:tblPrEx>
          <w:shd w:val="clear" w:color="auto" w:fill="auto"/>
          <w:tblCellMar>
            <w:top w:w="0" w:type="dxa"/>
            <w:left w:w="0" w:type="dxa"/>
            <w:bottom w:w="0" w:type="dxa"/>
            <w:right w:w="0" w:type="dxa"/>
          </w:tblCellMar>
        </w:tblPrEx>
        <w:trPr>
          <w:trHeight w:val="300" w:hRule="atLeast"/>
        </w:trPr>
        <w:tc>
          <w:tcPr>
            <w:tcW w:w="1919"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金融资产项目</w:t>
            </w:r>
          </w:p>
        </w:tc>
        <w:tc>
          <w:tcPr>
            <w:tcW w:w="7107" w:type="dxa"/>
            <w:gridSpan w:val="4"/>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期末金额</w:t>
            </w:r>
          </w:p>
        </w:tc>
      </w:tr>
      <w:tr>
        <w:tblPrEx>
          <w:tblCellMar>
            <w:top w:w="0" w:type="dxa"/>
            <w:left w:w="0" w:type="dxa"/>
            <w:bottom w:w="0" w:type="dxa"/>
            <w:right w:w="0" w:type="dxa"/>
          </w:tblCellMar>
        </w:tblPrEx>
        <w:trPr>
          <w:trHeight w:val="420" w:hRule="atLeast"/>
        </w:trPr>
        <w:tc>
          <w:tcPr>
            <w:tcW w:w="1919"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000000"/>
                <w:sz w:val="15"/>
                <w:szCs w:val="15"/>
                <w:u w:val="none"/>
              </w:rPr>
            </w:pPr>
          </w:p>
        </w:tc>
        <w:tc>
          <w:tcPr>
            <w:tcW w:w="1842"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以摊余成本计量</w:t>
            </w:r>
          </w:p>
        </w:tc>
        <w:tc>
          <w:tcPr>
            <w:tcW w:w="16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以公允价值计量且其变动</w:t>
            </w:r>
          </w:p>
        </w:tc>
        <w:tc>
          <w:tcPr>
            <w:tcW w:w="163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以公允价值计量且其变动</w:t>
            </w:r>
          </w:p>
        </w:tc>
        <w:tc>
          <w:tcPr>
            <w:tcW w:w="2025" w:type="dxa"/>
            <w:vMerge w:val="restart"/>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合</w:t>
            </w:r>
            <w:r>
              <w:rPr>
                <w:rFonts w:hint="default" w:ascii="Times New Roman" w:hAnsi="Times New Roman" w:eastAsia="宋体" w:cs="Times New Roman"/>
                <w:b/>
                <w:i w:val="0"/>
                <w:color w:val="000000"/>
                <w:kern w:val="0"/>
                <w:sz w:val="15"/>
                <w:szCs w:val="15"/>
                <w:u w:val="none"/>
                <w:lang w:val="en-US" w:eastAsia="zh-CN" w:bidi="ar"/>
              </w:rPr>
              <w:t>  </w:t>
            </w:r>
            <w:r>
              <w:rPr>
                <w:rFonts w:hint="eastAsia" w:ascii="宋体" w:hAnsi="宋体" w:eastAsia="宋体" w:cs="宋体"/>
                <w:b/>
                <w:i w:val="0"/>
                <w:color w:val="000000"/>
                <w:kern w:val="0"/>
                <w:sz w:val="15"/>
                <w:szCs w:val="15"/>
                <w:u w:val="none"/>
                <w:lang w:val="en-US" w:eastAsia="zh-CN" w:bidi="ar"/>
              </w:rPr>
              <w:t>计</w:t>
            </w:r>
          </w:p>
        </w:tc>
      </w:tr>
      <w:tr>
        <w:tblPrEx>
          <w:tblCellMar>
            <w:top w:w="0" w:type="dxa"/>
            <w:left w:w="0" w:type="dxa"/>
            <w:bottom w:w="0" w:type="dxa"/>
            <w:right w:w="0" w:type="dxa"/>
          </w:tblCellMar>
        </w:tblPrEx>
        <w:trPr>
          <w:trHeight w:val="435" w:hRule="atLeast"/>
        </w:trPr>
        <w:tc>
          <w:tcPr>
            <w:tcW w:w="1919"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000000"/>
                <w:sz w:val="15"/>
                <w:szCs w:val="15"/>
                <w:u w:val="none"/>
              </w:rPr>
            </w:pPr>
          </w:p>
        </w:tc>
        <w:tc>
          <w:tcPr>
            <w:tcW w:w="1842"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的金融资产</w:t>
            </w:r>
          </w:p>
        </w:tc>
        <w:tc>
          <w:tcPr>
            <w:tcW w:w="16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计入当期损益的金融资产</w:t>
            </w:r>
          </w:p>
        </w:tc>
        <w:tc>
          <w:tcPr>
            <w:tcW w:w="163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计入其他综合收益的金融资产</w:t>
            </w:r>
          </w:p>
        </w:tc>
        <w:tc>
          <w:tcPr>
            <w:tcW w:w="2025" w:type="dxa"/>
            <w:vMerge w:val="continue"/>
            <w:tcBorders>
              <w:top w:val="nil"/>
              <w:left w:val="nil"/>
              <w:bottom w:val="single" w:color="auto" w:sz="8" w:space="0"/>
              <w:right w:val="single" w:color="auto"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000000"/>
                <w:sz w:val="15"/>
                <w:szCs w:val="15"/>
                <w:u w:val="none"/>
              </w:rPr>
            </w:pPr>
          </w:p>
        </w:tc>
      </w:tr>
      <w:tr>
        <w:tblPrEx>
          <w:tblCellMar>
            <w:top w:w="0" w:type="dxa"/>
            <w:left w:w="0" w:type="dxa"/>
            <w:bottom w:w="0" w:type="dxa"/>
            <w:right w:w="0" w:type="dxa"/>
          </w:tblCellMar>
        </w:tblPrEx>
        <w:trPr>
          <w:trHeight w:val="286" w:hRule="atLeast"/>
        </w:trPr>
        <w:tc>
          <w:tcPr>
            <w:tcW w:w="1919"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货币资金</w:t>
            </w:r>
          </w:p>
        </w:tc>
        <w:tc>
          <w:tcPr>
            <w:tcW w:w="1842"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606,149,885.27 </w:t>
            </w:r>
          </w:p>
        </w:tc>
        <w:tc>
          <w:tcPr>
            <w:tcW w:w="16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163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202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single"/>
              </w:rPr>
            </w:pPr>
            <w:r>
              <w:rPr>
                <w:rFonts w:hint="default" w:ascii="Times New Roman" w:hAnsi="Times New Roman" w:eastAsia="宋体" w:cs="Times New Roman"/>
                <w:i w:val="0"/>
                <w:color w:val="000000"/>
                <w:kern w:val="0"/>
                <w:sz w:val="15"/>
                <w:szCs w:val="15"/>
                <w:u w:val="single"/>
                <w:lang w:val="en-US" w:eastAsia="zh-CN" w:bidi="ar"/>
              </w:rPr>
              <w:t>606,149,885.27 </w:t>
            </w:r>
          </w:p>
        </w:tc>
      </w:tr>
      <w:tr>
        <w:tblPrEx>
          <w:tblCellMar>
            <w:top w:w="0" w:type="dxa"/>
            <w:left w:w="0" w:type="dxa"/>
            <w:bottom w:w="0" w:type="dxa"/>
            <w:right w:w="0" w:type="dxa"/>
          </w:tblCellMar>
        </w:tblPrEx>
        <w:trPr>
          <w:trHeight w:val="286" w:hRule="atLeast"/>
        </w:trPr>
        <w:tc>
          <w:tcPr>
            <w:tcW w:w="1919"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交易性金融资产</w:t>
            </w:r>
          </w:p>
        </w:tc>
        <w:tc>
          <w:tcPr>
            <w:tcW w:w="1842"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16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163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202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single"/>
              </w:rPr>
            </w:pPr>
            <w:r>
              <w:rPr>
                <w:rFonts w:hint="default" w:ascii="Times New Roman" w:hAnsi="Times New Roman" w:eastAsia="宋体" w:cs="Times New Roman"/>
                <w:i w:val="0"/>
                <w:color w:val="000000"/>
                <w:kern w:val="0"/>
                <w:sz w:val="15"/>
                <w:szCs w:val="15"/>
                <w:u w:val="single"/>
                <w:lang w:val="en-US" w:eastAsia="zh-CN" w:bidi="ar"/>
              </w:rPr>
              <w:t> </w:t>
            </w:r>
          </w:p>
        </w:tc>
      </w:tr>
      <w:tr>
        <w:tblPrEx>
          <w:tblCellMar>
            <w:top w:w="0" w:type="dxa"/>
            <w:left w:w="0" w:type="dxa"/>
            <w:bottom w:w="0" w:type="dxa"/>
            <w:right w:w="0" w:type="dxa"/>
          </w:tblCellMar>
        </w:tblPrEx>
        <w:trPr>
          <w:trHeight w:val="301" w:hRule="atLeast"/>
        </w:trPr>
        <w:tc>
          <w:tcPr>
            <w:tcW w:w="1919"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应收票据</w:t>
            </w:r>
          </w:p>
        </w:tc>
        <w:tc>
          <w:tcPr>
            <w:tcW w:w="1842"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127,330,858.37 </w:t>
            </w:r>
          </w:p>
        </w:tc>
        <w:tc>
          <w:tcPr>
            <w:tcW w:w="16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163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202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single"/>
              </w:rPr>
            </w:pPr>
            <w:r>
              <w:rPr>
                <w:rFonts w:hint="default" w:ascii="Times New Roman" w:hAnsi="Times New Roman" w:eastAsia="宋体" w:cs="Times New Roman"/>
                <w:i w:val="0"/>
                <w:color w:val="000000"/>
                <w:kern w:val="0"/>
                <w:sz w:val="15"/>
                <w:szCs w:val="15"/>
                <w:u w:val="single"/>
                <w:lang w:val="en-US" w:eastAsia="zh-CN" w:bidi="ar"/>
              </w:rPr>
              <w:t> </w:t>
            </w:r>
          </w:p>
        </w:tc>
      </w:tr>
      <w:tr>
        <w:tblPrEx>
          <w:tblCellMar>
            <w:top w:w="0" w:type="dxa"/>
            <w:left w:w="0" w:type="dxa"/>
            <w:bottom w:w="0" w:type="dxa"/>
            <w:right w:w="0" w:type="dxa"/>
          </w:tblCellMar>
        </w:tblPrEx>
        <w:trPr>
          <w:trHeight w:val="286" w:hRule="atLeast"/>
        </w:trPr>
        <w:tc>
          <w:tcPr>
            <w:tcW w:w="1919"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应收账款</w:t>
            </w:r>
          </w:p>
        </w:tc>
        <w:tc>
          <w:tcPr>
            <w:tcW w:w="1842"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227,081,105.72 </w:t>
            </w:r>
          </w:p>
        </w:tc>
        <w:tc>
          <w:tcPr>
            <w:tcW w:w="16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163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202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single"/>
              </w:rPr>
            </w:pPr>
            <w:r>
              <w:rPr>
                <w:rFonts w:hint="default" w:ascii="Times New Roman" w:hAnsi="Times New Roman" w:eastAsia="宋体" w:cs="Times New Roman"/>
                <w:i w:val="0"/>
                <w:color w:val="000000"/>
                <w:kern w:val="0"/>
                <w:sz w:val="15"/>
                <w:szCs w:val="15"/>
                <w:u w:val="single"/>
                <w:lang w:val="en-US" w:eastAsia="zh-CN" w:bidi="ar"/>
              </w:rPr>
              <w:t>227,081,105.72 </w:t>
            </w:r>
          </w:p>
        </w:tc>
      </w:tr>
      <w:tr>
        <w:tblPrEx>
          <w:tblCellMar>
            <w:top w:w="0" w:type="dxa"/>
            <w:left w:w="0" w:type="dxa"/>
            <w:bottom w:w="0" w:type="dxa"/>
            <w:right w:w="0" w:type="dxa"/>
          </w:tblCellMar>
        </w:tblPrEx>
        <w:trPr>
          <w:trHeight w:val="286" w:hRule="atLeast"/>
        </w:trPr>
        <w:tc>
          <w:tcPr>
            <w:tcW w:w="1919"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应收款项融资</w:t>
            </w:r>
          </w:p>
        </w:tc>
        <w:tc>
          <w:tcPr>
            <w:tcW w:w="1842"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16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163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28,813,984.37 </w:t>
            </w:r>
          </w:p>
        </w:tc>
        <w:tc>
          <w:tcPr>
            <w:tcW w:w="202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single"/>
              </w:rPr>
            </w:pPr>
            <w:r>
              <w:rPr>
                <w:rFonts w:hint="default" w:ascii="Times New Roman" w:hAnsi="Times New Roman" w:eastAsia="宋体" w:cs="Times New Roman"/>
                <w:i w:val="0"/>
                <w:color w:val="000000"/>
                <w:kern w:val="0"/>
                <w:sz w:val="15"/>
                <w:szCs w:val="15"/>
                <w:u w:val="single"/>
                <w:lang w:val="en-US" w:eastAsia="zh-CN" w:bidi="ar"/>
              </w:rPr>
              <w:t>28,813,984.37 </w:t>
            </w:r>
          </w:p>
        </w:tc>
      </w:tr>
      <w:tr>
        <w:tblPrEx>
          <w:tblCellMar>
            <w:top w:w="0" w:type="dxa"/>
            <w:left w:w="0" w:type="dxa"/>
            <w:bottom w:w="0" w:type="dxa"/>
            <w:right w:w="0" w:type="dxa"/>
          </w:tblCellMar>
        </w:tblPrEx>
        <w:trPr>
          <w:trHeight w:val="286" w:hRule="atLeast"/>
        </w:trPr>
        <w:tc>
          <w:tcPr>
            <w:tcW w:w="1919"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其他应收款</w:t>
            </w:r>
          </w:p>
        </w:tc>
        <w:tc>
          <w:tcPr>
            <w:tcW w:w="1842"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2,633,752.02 </w:t>
            </w:r>
          </w:p>
        </w:tc>
        <w:tc>
          <w:tcPr>
            <w:tcW w:w="16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163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202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single"/>
              </w:rPr>
            </w:pPr>
            <w:r>
              <w:rPr>
                <w:rFonts w:hint="default" w:ascii="Times New Roman" w:hAnsi="Times New Roman" w:eastAsia="宋体" w:cs="Times New Roman"/>
                <w:i w:val="0"/>
                <w:color w:val="000000"/>
                <w:kern w:val="0"/>
                <w:sz w:val="15"/>
                <w:szCs w:val="15"/>
                <w:u w:val="single"/>
                <w:lang w:val="en-US" w:eastAsia="zh-CN" w:bidi="ar"/>
              </w:rPr>
              <w:t>2,633,752.02 </w:t>
            </w:r>
          </w:p>
        </w:tc>
      </w:tr>
      <w:tr>
        <w:tblPrEx>
          <w:tblCellMar>
            <w:top w:w="0" w:type="dxa"/>
            <w:left w:w="0" w:type="dxa"/>
            <w:bottom w:w="0" w:type="dxa"/>
            <w:right w:w="0" w:type="dxa"/>
          </w:tblCellMar>
        </w:tblPrEx>
        <w:trPr>
          <w:trHeight w:val="286" w:hRule="atLeast"/>
        </w:trPr>
        <w:tc>
          <w:tcPr>
            <w:tcW w:w="1919"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其他权益工具投资</w:t>
            </w:r>
          </w:p>
        </w:tc>
        <w:tc>
          <w:tcPr>
            <w:tcW w:w="1842"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16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163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77,311,904.94 </w:t>
            </w:r>
          </w:p>
        </w:tc>
        <w:tc>
          <w:tcPr>
            <w:tcW w:w="202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single"/>
              </w:rPr>
            </w:pPr>
            <w:r>
              <w:rPr>
                <w:rFonts w:hint="default" w:ascii="Times New Roman" w:hAnsi="Times New Roman" w:eastAsia="宋体" w:cs="Times New Roman"/>
                <w:i w:val="0"/>
                <w:color w:val="000000"/>
                <w:kern w:val="0"/>
                <w:sz w:val="15"/>
                <w:szCs w:val="15"/>
                <w:u w:val="single"/>
                <w:lang w:val="en-US" w:eastAsia="zh-CN" w:bidi="ar"/>
              </w:rPr>
              <w:t>77,311,904.94 </w:t>
            </w:r>
          </w:p>
        </w:tc>
      </w:tr>
      <w:tr>
        <w:tblPrEx>
          <w:tblCellMar>
            <w:top w:w="0" w:type="dxa"/>
            <w:left w:w="0" w:type="dxa"/>
            <w:bottom w:w="0" w:type="dxa"/>
            <w:right w:w="0" w:type="dxa"/>
          </w:tblCellMar>
        </w:tblPrEx>
        <w:trPr>
          <w:trHeight w:val="271" w:hRule="atLeast"/>
        </w:trPr>
        <w:tc>
          <w:tcPr>
            <w:tcW w:w="1919"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合</w:t>
            </w:r>
            <w:r>
              <w:rPr>
                <w:rFonts w:hint="default" w:ascii="Times New Roman" w:hAnsi="Times New Roman" w:eastAsia="宋体" w:cs="Times New Roman"/>
                <w:i w:val="0"/>
                <w:color w:val="000000"/>
                <w:kern w:val="0"/>
                <w:sz w:val="15"/>
                <w:szCs w:val="15"/>
                <w:u w:val="none"/>
                <w:lang w:val="en-US" w:eastAsia="zh-CN" w:bidi="ar"/>
              </w:rPr>
              <w:t>  </w:t>
            </w:r>
            <w:r>
              <w:rPr>
                <w:rFonts w:hint="eastAsia" w:ascii="宋体" w:hAnsi="宋体" w:eastAsia="宋体" w:cs="宋体"/>
                <w:i w:val="0"/>
                <w:color w:val="000000"/>
                <w:kern w:val="0"/>
                <w:sz w:val="15"/>
                <w:szCs w:val="15"/>
                <w:u w:val="none"/>
                <w:lang w:val="en-US" w:eastAsia="zh-CN" w:bidi="ar"/>
              </w:rPr>
              <w:t>计</w:t>
            </w:r>
          </w:p>
        </w:tc>
        <w:tc>
          <w:tcPr>
            <w:tcW w:w="1842"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single"/>
              </w:rPr>
            </w:pPr>
            <w:r>
              <w:rPr>
                <w:rFonts w:hint="default" w:ascii="Times New Roman" w:hAnsi="Times New Roman" w:eastAsia="宋体" w:cs="Times New Roman"/>
                <w:i w:val="0"/>
                <w:color w:val="000000"/>
                <w:kern w:val="0"/>
                <w:sz w:val="15"/>
                <w:szCs w:val="15"/>
                <w:u w:val="single"/>
                <w:lang w:val="en-US" w:eastAsia="zh-CN" w:bidi="ar"/>
              </w:rPr>
              <w:t>963,195,601.38 </w:t>
            </w:r>
          </w:p>
        </w:tc>
        <w:tc>
          <w:tcPr>
            <w:tcW w:w="16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single"/>
              </w:rPr>
            </w:pPr>
            <w:r>
              <w:rPr>
                <w:rFonts w:hint="default" w:ascii="Times New Roman" w:hAnsi="Times New Roman" w:eastAsia="宋体" w:cs="Times New Roman"/>
                <w:i w:val="0"/>
                <w:color w:val="000000"/>
                <w:kern w:val="0"/>
                <w:sz w:val="15"/>
                <w:szCs w:val="15"/>
                <w:u w:val="single"/>
                <w:lang w:val="en-US" w:eastAsia="zh-CN" w:bidi="ar"/>
              </w:rPr>
              <w:t> </w:t>
            </w:r>
          </w:p>
        </w:tc>
        <w:tc>
          <w:tcPr>
            <w:tcW w:w="163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single"/>
              </w:rPr>
            </w:pPr>
            <w:r>
              <w:rPr>
                <w:rFonts w:hint="default" w:ascii="Times New Roman" w:hAnsi="Times New Roman" w:eastAsia="宋体" w:cs="Times New Roman"/>
                <w:i w:val="0"/>
                <w:color w:val="000000"/>
                <w:kern w:val="0"/>
                <w:sz w:val="15"/>
                <w:szCs w:val="15"/>
                <w:u w:val="single"/>
                <w:lang w:val="en-US" w:eastAsia="zh-CN" w:bidi="ar"/>
              </w:rPr>
              <w:t>106,125,889.31 </w:t>
            </w:r>
          </w:p>
        </w:tc>
        <w:tc>
          <w:tcPr>
            <w:tcW w:w="202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single"/>
              </w:rPr>
            </w:pPr>
            <w:r>
              <w:rPr>
                <w:rFonts w:hint="default" w:ascii="Times New Roman" w:hAnsi="Times New Roman" w:eastAsia="宋体" w:cs="Times New Roman"/>
                <w:i w:val="0"/>
                <w:color w:val="000000"/>
                <w:kern w:val="0"/>
                <w:sz w:val="15"/>
                <w:szCs w:val="15"/>
                <w:u w:val="single"/>
                <w:lang w:val="en-US" w:eastAsia="zh-CN" w:bidi="ar"/>
              </w:rPr>
              <w:t>941,990,632.32 </w:t>
            </w:r>
          </w:p>
        </w:tc>
      </w:tr>
      <w:tr>
        <w:tblPrEx>
          <w:tblCellMar>
            <w:top w:w="0" w:type="dxa"/>
            <w:left w:w="0" w:type="dxa"/>
            <w:bottom w:w="0" w:type="dxa"/>
            <w:right w:w="0" w:type="dxa"/>
          </w:tblCellMar>
        </w:tblPrEx>
        <w:trPr>
          <w:trHeight w:val="286" w:hRule="atLeast"/>
        </w:trPr>
        <w:tc>
          <w:tcPr>
            <w:tcW w:w="1919" w:type="dxa"/>
            <w:tcBorders>
              <w:top w:val="nil"/>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接上表：</w:t>
            </w:r>
          </w:p>
        </w:tc>
        <w:tc>
          <w:tcPr>
            <w:tcW w:w="1842" w:type="dxa"/>
            <w:tcBorders>
              <w:top w:val="nil"/>
              <w:left w:val="nil"/>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605" w:type="dxa"/>
            <w:tcBorders>
              <w:top w:val="nil"/>
              <w:left w:val="nil"/>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635" w:type="dxa"/>
            <w:tcBorders>
              <w:top w:val="nil"/>
              <w:left w:val="nil"/>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2025" w:type="dxa"/>
            <w:tcBorders>
              <w:top w:val="nil"/>
              <w:left w:val="nil"/>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301" w:hRule="atLeast"/>
        </w:trPr>
        <w:tc>
          <w:tcPr>
            <w:tcW w:w="1919"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金融资产项目</w:t>
            </w:r>
          </w:p>
        </w:tc>
        <w:tc>
          <w:tcPr>
            <w:tcW w:w="7107" w:type="dxa"/>
            <w:gridSpan w:val="4"/>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期初金额</w:t>
            </w:r>
          </w:p>
        </w:tc>
      </w:tr>
      <w:tr>
        <w:tblPrEx>
          <w:tblCellMar>
            <w:top w:w="0" w:type="dxa"/>
            <w:left w:w="0" w:type="dxa"/>
            <w:bottom w:w="0" w:type="dxa"/>
            <w:right w:w="0" w:type="dxa"/>
          </w:tblCellMar>
        </w:tblPrEx>
        <w:trPr>
          <w:trHeight w:val="435" w:hRule="atLeast"/>
        </w:trPr>
        <w:tc>
          <w:tcPr>
            <w:tcW w:w="1919" w:type="dxa"/>
            <w:vMerge w:val="restart"/>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842"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以摊余成本计量</w:t>
            </w:r>
          </w:p>
        </w:tc>
        <w:tc>
          <w:tcPr>
            <w:tcW w:w="16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以公允价值计量且其变动</w:t>
            </w:r>
          </w:p>
        </w:tc>
        <w:tc>
          <w:tcPr>
            <w:tcW w:w="163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以公允价值计量且其变动</w:t>
            </w:r>
          </w:p>
        </w:tc>
        <w:tc>
          <w:tcPr>
            <w:tcW w:w="2025" w:type="dxa"/>
            <w:vMerge w:val="restart"/>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合  计</w:t>
            </w:r>
          </w:p>
        </w:tc>
      </w:tr>
      <w:tr>
        <w:tblPrEx>
          <w:tblCellMar>
            <w:top w:w="0" w:type="dxa"/>
            <w:left w:w="0" w:type="dxa"/>
            <w:bottom w:w="0" w:type="dxa"/>
            <w:right w:w="0" w:type="dxa"/>
          </w:tblCellMar>
        </w:tblPrEx>
        <w:trPr>
          <w:trHeight w:val="435" w:hRule="atLeast"/>
        </w:trPr>
        <w:tc>
          <w:tcPr>
            <w:tcW w:w="1919" w:type="dxa"/>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42"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的金融资产</w:t>
            </w:r>
          </w:p>
        </w:tc>
        <w:tc>
          <w:tcPr>
            <w:tcW w:w="16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计入当期损益的金融资产</w:t>
            </w:r>
          </w:p>
        </w:tc>
        <w:tc>
          <w:tcPr>
            <w:tcW w:w="163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计入其他综合收益的金融资产</w:t>
            </w:r>
          </w:p>
        </w:tc>
        <w:tc>
          <w:tcPr>
            <w:tcW w:w="2025" w:type="dxa"/>
            <w:vMerge w:val="continue"/>
            <w:tcBorders>
              <w:top w:val="nil"/>
              <w:left w:val="nil"/>
              <w:bottom w:val="single" w:color="auto" w:sz="8" w:space="0"/>
              <w:right w:val="single" w:color="auto"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000000"/>
                <w:sz w:val="15"/>
                <w:szCs w:val="15"/>
                <w:u w:val="none"/>
              </w:rPr>
            </w:pPr>
          </w:p>
        </w:tc>
      </w:tr>
      <w:tr>
        <w:tblPrEx>
          <w:tblCellMar>
            <w:top w:w="0" w:type="dxa"/>
            <w:left w:w="0" w:type="dxa"/>
            <w:bottom w:w="0" w:type="dxa"/>
            <w:right w:w="0" w:type="dxa"/>
          </w:tblCellMar>
        </w:tblPrEx>
        <w:trPr>
          <w:trHeight w:val="286" w:hRule="atLeast"/>
        </w:trPr>
        <w:tc>
          <w:tcPr>
            <w:tcW w:w="1919"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货币资金</w:t>
            </w:r>
          </w:p>
        </w:tc>
        <w:tc>
          <w:tcPr>
            <w:tcW w:w="1842"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550,165,529.46</w:t>
            </w:r>
          </w:p>
        </w:tc>
        <w:tc>
          <w:tcPr>
            <w:tcW w:w="16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163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202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single"/>
              </w:rPr>
            </w:pPr>
            <w:r>
              <w:rPr>
                <w:rFonts w:hint="default" w:ascii="Times New Roman" w:hAnsi="Times New Roman" w:eastAsia="宋体" w:cs="Times New Roman"/>
                <w:i w:val="0"/>
                <w:color w:val="000000"/>
                <w:kern w:val="0"/>
                <w:sz w:val="15"/>
                <w:szCs w:val="15"/>
                <w:u w:val="single"/>
                <w:lang w:val="en-US" w:eastAsia="zh-CN" w:bidi="ar"/>
              </w:rPr>
              <w:t>550,165,529.46</w:t>
            </w:r>
          </w:p>
        </w:tc>
      </w:tr>
      <w:tr>
        <w:tblPrEx>
          <w:tblCellMar>
            <w:top w:w="0" w:type="dxa"/>
            <w:left w:w="0" w:type="dxa"/>
            <w:bottom w:w="0" w:type="dxa"/>
            <w:right w:w="0" w:type="dxa"/>
          </w:tblCellMar>
        </w:tblPrEx>
        <w:trPr>
          <w:trHeight w:val="286" w:hRule="atLeast"/>
        </w:trPr>
        <w:tc>
          <w:tcPr>
            <w:tcW w:w="1919"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交易性金融资产</w:t>
            </w:r>
          </w:p>
        </w:tc>
        <w:tc>
          <w:tcPr>
            <w:tcW w:w="1842"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16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215,983,345.52</w:t>
            </w:r>
          </w:p>
        </w:tc>
        <w:tc>
          <w:tcPr>
            <w:tcW w:w="163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202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single"/>
              </w:rPr>
            </w:pPr>
            <w:r>
              <w:rPr>
                <w:rFonts w:hint="default" w:ascii="Times New Roman" w:hAnsi="Times New Roman" w:eastAsia="宋体" w:cs="Times New Roman"/>
                <w:i w:val="0"/>
                <w:color w:val="000000"/>
                <w:kern w:val="0"/>
                <w:sz w:val="15"/>
                <w:szCs w:val="15"/>
                <w:u w:val="single"/>
                <w:lang w:val="en-US" w:eastAsia="zh-CN" w:bidi="ar"/>
              </w:rPr>
              <w:t>215,983,345.52</w:t>
            </w:r>
          </w:p>
        </w:tc>
      </w:tr>
      <w:tr>
        <w:tblPrEx>
          <w:tblCellMar>
            <w:top w:w="0" w:type="dxa"/>
            <w:left w:w="0" w:type="dxa"/>
            <w:bottom w:w="0" w:type="dxa"/>
            <w:right w:w="0" w:type="dxa"/>
          </w:tblCellMar>
        </w:tblPrEx>
        <w:trPr>
          <w:trHeight w:val="301" w:hRule="atLeast"/>
        </w:trPr>
        <w:tc>
          <w:tcPr>
            <w:tcW w:w="1919"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应收票据</w:t>
            </w:r>
          </w:p>
        </w:tc>
        <w:tc>
          <w:tcPr>
            <w:tcW w:w="1842"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159,147,937.24</w:t>
            </w:r>
          </w:p>
        </w:tc>
        <w:tc>
          <w:tcPr>
            <w:tcW w:w="16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163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202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single"/>
              </w:rPr>
            </w:pPr>
            <w:r>
              <w:rPr>
                <w:rFonts w:hint="default" w:ascii="Times New Roman" w:hAnsi="Times New Roman" w:eastAsia="宋体" w:cs="Times New Roman"/>
                <w:i w:val="0"/>
                <w:color w:val="000000"/>
                <w:kern w:val="0"/>
                <w:sz w:val="15"/>
                <w:szCs w:val="15"/>
                <w:u w:val="single"/>
                <w:lang w:val="en-US" w:eastAsia="zh-CN" w:bidi="ar"/>
              </w:rPr>
              <w:t>159,147,937.24</w:t>
            </w:r>
          </w:p>
        </w:tc>
      </w:tr>
      <w:tr>
        <w:tblPrEx>
          <w:tblCellMar>
            <w:top w:w="0" w:type="dxa"/>
            <w:left w:w="0" w:type="dxa"/>
            <w:bottom w:w="0" w:type="dxa"/>
            <w:right w:w="0" w:type="dxa"/>
          </w:tblCellMar>
        </w:tblPrEx>
        <w:trPr>
          <w:trHeight w:val="286" w:hRule="atLeast"/>
        </w:trPr>
        <w:tc>
          <w:tcPr>
            <w:tcW w:w="1919"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应收账款</w:t>
            </w:r>
          </w:p>
        </w:tc>
        <w:tc>
          <w:tcPr>
            <w:tcW w:w="1842"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113,650,979.47</w:t>
            </w:r>
          </w:p>
        </w:tc>
        <w:tc>
          <w:tcPr>
            <w:tcW w:w="16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163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202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single"/>
              </w:rPr>
            </w:pPr>
            <w:r>
              <w:rPr>
                <w:rFonts w:hint="default" w:ascii="Times New Roman" w:hAnsi="Times New Roman" w:eastAsia="宋体" w:cs="Times New Roman"/>
                <w:i w:val="0"/>
                <w:color w:val="000000"/>
                <w:kern w:val="0"/>
                <w:sz w:val="15"/>
                <w:szCs w:val="15"/>
                <w:u w:val="single"/>
                <w:lang w:val="en-US" w:eastAsia="zh-CN" w:bidi="ar"/>
              </w:rPr>
              <w:t>113,650,979.47</w:t>
            </w:r>
          </w:p>
        </w:tc>
      </w:tr>
      <w:tr>
        <w:tblPrEx>
          <w:tblCellMar>
            <w:top w:w="0" w:type="dxa"/>
            <w:left w:w="0" w:type="dxa"/>
            <w:bottom w:w="0" w:type="dxa"/>
            <w:right w:w="0" w:type="dxa"/>
          </w:tblCellMar>
        </w:tblPrEx>
        <w:trPr>
          <w:trHeight w:val="286" w:hRule="atLeast"/>
        </w:trPr>
        <w:tc>
          <w:tcPr>
            <w:tcW w:w="1919"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应收款项融资</w:t>
            </w:r>
          </w:p>
        </w:tc>
        <w:tc>
          <w:tcPr>
            <w:tcW w:w="1842"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16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163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22,075,670.99</w:t>
            </w:r>
          </w:p>
        </w:tc>
        <w:tc>
          <w:tcPr>
            <w:tcW w:w="202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single"/>
              </w:rPr>
            </w:pPr>
            <w:r>
              <w:rPr>
                <w:rFonts w:hint="default" w:ascii="Times New Roman" w:hAnsi="Times New Roman" w:eastAsia="宋体" w:cs="Times New Roman"/>
                <w:i w:val="0"/>
                <w:color w:val="000000"/>
                <w:kern w:val="0"/>
                <w:sz w:val="15"/>
                <w:szCs w:val="15"/>
                <w:u w:val="single"/>
                <w:lang w:val="en-US" w:eastAsia="zh-CN" w:bidi="ar"/>
              </w:rPr>
              <w:t>22,075,670.99</w:t>
            </w:r>
          </w:p>
        </w:tc>
      </w:tr>
      <w:tr>
        <w:tblPrEx>
          <w:tblCellMar>
            <w:top w:w="0" w:type="dxa"/>
            <w:left w:w="0" w:type="dxa"/>
            <w:bottom w:w="0" w:type="dxa"/>
            <w:right w:w="0" w:type="dxa"/>
          </w:tblCellMar>
        </w:tblPrEx>
        <w:trPr>
          <w:trHeight w:val="286" w:hRule="atLeast"/>
        </w:trPr>
        <w:tc>
          <w:tcPr>
            <w:tcW w:w="1919"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其他应收款</w:t>
            </w:r>
          </w:p>
        </w:tc>
        <w:tc>
          <w:tcPr>
            <w:tcW w:w="1842"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1,474,698.95</w:t>
            </w:r>
          </w:p>
        </w:tc>
        <w:tc>
          <w:tcPr>
            <w:tcW w:w="16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163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202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single"/>
              </w:rPr>
            </w:pPr>
            <w:r>
              <w:rPr>
                <w:rFonts w:hint="default" w:ascii="Times New Roman" w:hAnsi="Times New Roman" w:eastAsia="宋体" w:cs="Times New Roman"/>
                <w:i w:val="0"/>
                <w:color w:val="000000"/>
                <w:kern w:val="0"/>
                <w:sz w:val="15"/>
                <w:szCs w:val="15"/>
                <w:u w:val="single"/>
                <w:lang w:val="en-US" w:eastAsia="zh-CN" w:bidi="ar"/>
              </w:rPr>
              <w:t>1,474,698.95</w:t>
            </w:r>
          </w:p>
        </w:tc>
      </w:tr>
      <w:tr>
        <w:tblPrEx>
          <w:tblCellMar>
            <w:top w:w="0" w:type="dxa"/>
            <w:left w:w="0" w:type="dxa"/>
            <w:bottom w:w="0" w:type="dxa"/>
            <w:right w:w="0" w:type="dxa"/>
          </w:tblCellMar>
        </w:tblPrEx>
        <w:trPr>
          <w:trHeight w:val="301" w:hRule="atLeast"/>
        </w:trPr>
        <w:tc>
          <w:tcPr>
            <w:tcW w:w="1919"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其他权益工具投资</w:t>
            </w:r>
          </w:p>
        </w:tc>
        <w:tc>
          <w:tcPr>
            <w:tcW w:w="1842"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16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w:t>
            </w:r>
          </w:p>
        </w:tc>
        <w:tc>
          <w:tcPr>
            <w:tcW w:w="163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47,534,875.94</w:t>
            </w:r>
          </w:p>
        </w:tc>
        <w:tc>
          <w:tcPr>
            <w:tcW w:w="202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single"/>
              </w:rPr>
            </w:pPr>
            <w:r>
              <w:rPr>
                <w:rFonts w:hint="default" w:ascii="Times New Roman" w:hAnsi="Times New Roman" w:eastAsia="宋体" w:cs="Times New Roman"/>
                <w:i w:val="0"/>
                <w:color w:val="000000"/>
                <w:kern w:val="0"/>
                <w:sz w:val="15"/>
                <w:szCs w:val="15"/>
                <w:u w:val="single"/>
                <w:lang w:val="en-US" w:eastAsia="zh-CN" w:bidi="ar"/>
              </w:rPr>
              <w:t>47,534,875.94</w:t>
            </w:r>
          </w:p>
        </w:tc>
      </w:tr>
      <w:tr>
        <w:tblPrEx>
          <w:tblCellMar>
            <w:top w:w="0" w:type="dxa"/>
            <w:left w:w="0" w:type="dxa"/>
            <w:bottom w:w="0" w:type="dxa"/>
            <w:right w:w="0" w:type="dxa"/>
          </w:tblCellMar>
        </w:tblPrEx>
        <w:trPr>
          <w:trHeight w:val="271" w:hRule="atLeast"/>
        </w:trPr>
        <w:tc>
          <w:tcPr>
            <w:tcW w:w="1919"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合  计</w:t>
            </w:r>
          </w:p>
        </w:tc>
        <w:tc>
          <w:tcPr>
            <w:tcW w:w="1842"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single"/>
              </w:rPr>
            </w:pPr>
            <w:r>
              <w:rPr>
                <w:rFonts w:hint="default" w:ascii="Times New Roman" w:hAnsi="Times New Roman" w:eastAsia="宋体" w:cs="Times New Roman"/>
                <w:i w:val="0"/>
                <w:color w:val="000000"/>
                <w:kern w:val="0"/>
                <w:sz w:val="15"/>
                <w:szCs w:val="15"/>
                <w:u w:val="single"/>
                <w:lang w:val="en-US" w:eastAsia="zh-CN" w:bidi="ar"/>
              </w:rPr>
              <w:t>824,439,145.12</w:t>
            </w:r>
          </w:p>
        </w:tc>
        <w:tc>
          <w:tcPr>
            <w:tcW w:w="16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cs="Times New Roman"/>
                <w:i w:val="0"/>
                <w:color w:val="000000"/>
                <w:sz w:val="15"/>
                <w:szCs w:val="15"/>
                <w:u w:val="single"/>
              </w:rPr>
            </w:pPr>
            <w:r>
              <w:rPr>
                <w:rFonts w:hint="default" w:ascii="Times New Roman" w:hAnsi="Times New Roman" w:eastAsia="宋体" w:cs="Times New Roman"/>
                <w:i w:val="0"/>
                <w:color w:val="000000"/>
                <w:kern w:val="0"/>
                <w:sz w:val="15"/>
                <w:szCs w:val="15"/>
                <w:u w:val="single"/>
                <w:lang w:val="en-US" w:eastAsia="zh-CN" w:bidi="ar"/>
              </w:rPr>
              <w:t>215,983,345.52</w:t>
            </w:r>
          </w:p>
        </w:tc>
        <w:tc>
          <w:tcPr>
            <w:tcW w:w="163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single"/>
              </w:rPr>
            </w:pPr>
            <w:r>
              <w:rPr>
                <w:rFonts w:hint="default" w:ascii="Times New Roman" w:hAnsi="Times New Roman" w:eastAsia="宋体" w:cs="Times New Roman"/>
                <w:i w:val="0"/>
                <w:color w:val="000000"/>
                <w:kern w:val="0"/>
                <w:sz w:val="15"/>
                <w:szCs w:val="15"/>
                <w:u w:val="single"/>
                <w:lang w:val="en-US" w:eastAsia="zh-CN" w:bidi="ar"/>
              </w:rPr>
              <w:t>69,610,546.93</w:t>
            </w:r>
          </w:p>
        </w:tc>
        <w:tc>
          <w:tcPr>
            <w:tcW w:w="202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single"/>
              </w:rPr>
            </w:pPr>
            <w:r>
              <w:rPr>
                <w:rFonts w:hint="default" w:ascii="Times New Roman" w:hAnsi="Times New Roman" w:eastAsia="宋体" w:cs="Times New Roman"/>
                <w:i w:val="0"/>
                <w:color w:val="000000"/>
                <w:kern w:val="0"/>
                <w:sz w:val="15"/>
                <w:szCs w:val="15"/>
                <w:u w:val="single"/>
                <w:lang w:val="en-US" w:eastAsia="zh-CN" w:bidi="ar"/>
              </w:rPr>
              <w:t>1,110,033,037.57</w:t>
            </w:r>
          </w:p>
        </w:tc>
      </w:tr>
    </w:tbl>
    <w:p>
      <w:pPr>
        <w:pStyle w:val="3"/>
        <w:keepNext w:val="0"/>
        <w:keepLines w:val="0"/>
        <w:widowControl/>
        <w:suppressLineNumbers w:val="0"/>
        <w:rPr>
          <w:rFonts w:hint="eastAsia" w:ascii="宋体" w:hAnsi="宋体" w:eastAsia="宋体" w:cs="宋体"/>
          <w:sz w:val="18"/>
          <w:szCs w:val="18"/>
        </w:rPr>
      </w:pPr>
      <w:r>
        <w:rPr>
          <w:rFonts w:hint="eastAsia" w:ascii="宋体" w:hAnsi="宋体" w:eastAsia="宋体" w:cs="宋体"/>
          <w:sz w:val="18"/>
          <w:szCs w:val="18"/>
        </w:rPr>
        <w:t> </w:t>
      </w:r>
      <w:r>
        <w:rPr>
          <w:rFonts w:hint="eastAsia" w:ascii="宋体" w:hAnsi="宋体" w:eastAsia="宋体" w:cs="宋体"/>
          <w:sz w:val="21"/>
          <w:szCs w:val="21"/>
        </w:rPr>
        <w:t>（2）资产负债表日的各类金融负债的账面价值</w:t>
      </w:r>
    </w:p>
    <w:tbl>
      <w:tblPr>
        <w:tblStyle w:val="4"/>
        <w:tblW w:w="8996" w:type="dxa"/>
        <w:tblInd w:w="0" w:type="dxa"/>
        <w:shd w:val="clear" w:color="auto" w:fill="auto"/>
        <w:tblLayout w:type="fixed"/>
        <w:tblCellMar>
          <w:top w:w="0" w:type="dxa"/>
          <w:left w:w="0" w:type="dxa"/>
          <w:bottom w:w="0" w:type="dxa"/>
          <w:right w:w="0" w:type="dxa"/>
        </w:tblCellMar>
      </w:tblPr>
      <w:tblGrid>
        <w:gridCol w:w="2366"/>
        <w:gridCol w:w="2505"/>
        <w:gridCol w:w="2055"/>
        <w:gridCol w:w="2070"/>
      </w:tblGrid>
      <w:tr>
        <w:tblPrEx>
          <w:shd w:val="clear" w:color="auto" w:fill="auto"/>
          <w:tblCellMar>
            <w:top w:w="0" w:type="dxa"/>
            <w:left w:w="0" w:type="dxa"/>
            <w:bottom w:w="0" w:type="dxa"/>
            <w:right w:w="0" w:type="dxa"/>
          </w:tblCellMar>
        </w:tblPrEx>
        <w:trPr>
          <w:trHeight w:val="285" w:hRule="atLeast"/>
        </w:trPr>
        <w:tc>
          <w:tcPr>
            <w:tcW w:w="2366"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top"/>
          </w:tcPr>
          <w:p>
            <w:pPr>
              <w:pStyle w:val="3"/>
              <w:keepNext w:val="0"/>
              <w:keepLines w:val="0"/>
              <w:widowControl/>
              <w:suppressLineNumbers w:val="0"/>
              <w:rPr>
                <w:rFonts w:hint="eastAsia" w:ascii="宋体" w:hAnsi="宋体" w:eastAsia="宋体" w:cs="宋体"/>
                <w:b/>
                <w:i w:val="0"/>
                <w:color w:val="000000"/>
                <w:sz w:val="18"/>
                <w:szCs w:val="18"/>
                <w:u w:val="none"/>
              </w:rPr>
            </w:pPr>
            <w:r>
              <w:rPr>
                <w:rFonts w:hint="eastAsia" w:ascii="宋体" w:hAnsi="宋体" w:eastAsia="宋体" w:cs="宋体"/>
                <w:sz w:val="18"/>
                <w:szCs w:val="18"/>
              </w:rPr>
              <w:t> </w:t>
            </w:r>
            <w:r>
              <w:rPr>
                <w:rFonts w:hint="eastAsia" w:ascii="宋体" w:hAnsi="宋体" w:eastAsia="宋体" w:cs="宋体"/>
                <w:b/>
                <w:i w:val="0"/>
                <w:color w:val="000000"/>
                <w:kern w:val="0"/>
                <w:sz w:val="18"/>
                <w:szCs w:val="18"/>
                <w:u w:val="none"/>
                <w:lang w:val="en-US" w:eastAsia="zh-CN" w:bidi="ar"/>
              </w:rPr>
              <w:t>金融负债项目</w:t>
            </w:r>
          </w:p>
        </w:tc>
        <w:tc>
          <w:tcPr>
            <w:tcW w:w="6630" w:type="dxa"/>
            <w:gridSpan w:val="3"/>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期末金额</w:t>
            </w:r>
          </w:p>
        </w:tc>
      </w:tr>
      <w:tr>
        <w:tblPrEx>
          <w:tblCellMar>
            <w:top w:w="0" w:type="dxa"/>
            <w:left w:w="0" w:type="dxa"/>
            <w:bottom w:w="0" w:type="dxa"/>
            <w:right w:w="0" w:type="dxa"/>
          </w:tblCellMar>
        </w:tblPrEx>
        <w:trPr>
          <w:trHeight w:val="450" w:hRule="atLeast"/>
        </w:trPr>
        <w:tc>
          <w:tcPr>
            <w:tcW w:w="2366"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000000"/>
                <w:sz w:val="18"/>
                <w:szCs w:val="18"/>
                <w:u w:val="none"/>
              </w:rPr>
            </w:pPr>
          </w:p>
        </w:tc>
        <w:tc>
          <w:tcPr>
            <w:tcW w:w="2505"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以公允价值计量且其变动</w:t>
            </w:r>
          </w:p>
        </w:tc>
        <w:tc>
          <w:tcPr>
            <w:tcW w:w="2055" w:type="dxa"/>
            <w:vMerge w:val="restart"/>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以摊余成本计量的金融负债</w:t>
            </w:r>
          </w:p>
        </w:tc>
        <w:tc>
          <w:tcPr>
            <w:tcW w:w="2070" w:type="dxa"/>
            <w:vMerge w:val="restart"/>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w:t>
            </w:r>
            <w:r>
              <w:rPr>
                <w:rFonts w:hint="default" w:ascii="Times New Roman" w:hAnsi="Times New Roman" w:eastAsia="宋体" w:cs="Times New Roman"/>
                <w:b/>
                <w:i w:val="0"/>
                <w:color w:val="000000"/>
                <w:kern w:val="0"/>
                <w:sz w:val="18"/>
                <w:szCs w:val="18"/>
                <w:u w:val="none"/>
                <w:lang w:val="en-US" w:eastAsia="zh-CN" w:bidi="ar"/>
              </w:rPr>
              <w:t>  </w:t>
            </w:r>
            <w:r>
              <w:rPr>
                <w:rFonts w:hint="eastAsia" w:ascii="宋体" w:hAnsi="宋体" w:eastAsia="宋体" w:cs="宋体"/>
                <w:b/>
                <w:i w:val="0"/>
                <w:color w:val="000000"/>
                <w:kern w:val="0"/>
                <w:sz w:val="18"/>
                <w:szCs w:val="18"/>
                <w:u w:val="none"/>
                <w:lang w:val="en-US" w:eastAsia="zh-CN" w:bidi="ar"/>
              </w:rPr>
              <w:t>计</w:t>
            </w:r>
          </w:p>
        </w:tc>
      </w:tr>
      <w:tr>
        <w:tblPrEx>
          <w:tblCellMar>
            <w:top w:w="0" w:type="dxa"/>
            <w:left w:w="0" w:type="dxa"/>
            <w:bottom w:w="0" w:type="dxa"/>
            <w:right w:w="0" w:type="dxa"/>
          </w:tblCellMar>
        </w:tblPrEx>
        <w:trPr>
          <w:trHeight w:val="465" w:hRule="atLeast"/>
        </w:trPr>
        <w:tc>
          <w:tcPr>
            <w:tcW w:w="2366"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000000"/>
                <w:sz w:val="18"/>
                <w:szCs w:val="18"/>
                <w:u w:val="none"/>
              </w:rPr>
            </w:pPr>
          </w:p>
        </w:tc>
        <w:tc>
          <w:tcPr>
            <w:tcW w:w="2505"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计入当期损益的金融负债</w:t>
            </w:r>
          </w:p>
        </w:tc>
        <w:tc>
          <w:tcPr>
            <w:tcW w:w="2055" w:type="dxa"/>
            <w:vMerge w:val="continue"/>
            <w:tcBorders>
              <w:top w:val="nil"/>
              <w:left w:val="nil"/>
              <w:bottom w:val="single" w:color="auto" w:sz="8" w:space="0"/>
              <w:right w:val="single" w:color="auto"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000000"/>
                <w:sz w:val="18"/>
                <w:szCs w:val="18"/>
                <w:u w:val="none"/>
              </w:rPr>
            </w:pPr>
          </w:p>
        </w:tc>
        <w:tc>
          <w:tcPr>
            <w:tcW w:w="2070" w:type="dxa"/>
            <w:vMerge w:val="continue"/>
            <w:tcBorders>
              <w:top w:val="nil"/>
              <w:left w:val="nil"/>
              <w:bottom w:val="single" w:color="auto" w:sz="8" w:space="0"/>
              <w:right w:val="single" w:color="auto"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000000"/>
                <w:sz w:val="18"/>
                <w:szCs w:val="18"/>
                <w:u w:val="none"/>
              </w:rPr>
            </w:pPr>
          </w:p>
        </w:tc>
      </w:tr>
      <w:tr>
        <w:tblPrEx>
          <w:tblCellMar>
            <w:top w:w="0" w:type="dxa"/>
            <w:left w:w="0" w:type="dxa"/>
            <w:bottom w:w="0" w:type="dxa"/>
            <w:right w:w="0" w:type="dxa"/>
          </w:tblCellMar>
        </w:tblPrEx>
        <w:trPr>
          <w:trHeight w:val="271" w:hRule="atLeast"/>
        </w:trPr>
        <w:tc>
          <w:tcPr>
            <w:tcW w:w="236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短期借款</w:t>
            </w:r>
          </w:p>
        </w:tc>
        <w:tc>
          <w:tcPr>
            <w:tcW w:w="25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w:t>
            </w:r>
          </w:p>
        </w:tc>
        <w:tc>
          <w:tcPr>
            <w:tcW w:w="205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w:t>
            </w:r>
          </w:p>
        </w:tc>
        <w:tc>
          <w:tcPr>
            <w:tcW w:w="2070"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w:t>
            </w:r>
          </w:p>
        </w:tc>
      </w:tr>
      <w:tr>
        <w:tblPrEx>
          <w:tblCellMar>
            <w:top w:w="0" w:type="dxa"/>
            <w:left w:w="0" w:type="dxa"/>
            <w:bottom w:w="0" w:type="dxa"/>
            <w:right w:w="0" w:type="dxa"/>
          </w:tblCellMar>
        </w:tblPrEx>
        <w:trPr>
          <w:trHeight w:val="271" w:hRule="atLeast"/>
        </w:trPr>
        <w:tc>
          <w:tcPr>
            <w:tcW w:w="236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应付票据</w:t>
            </w:r>
          </w:p>
        </w:tc>
        <w:tc>
          <w:tcPr>
            <w:tcW w:w="25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w:t>
            </w:r>
          </w:p>
        </w:tc>
        <w:tc>
          <w:tcPr>
            <w:tcW w:w="205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70,641,598.31 </w:t>
            </w:r>
          </w:p>
        </w:tc>
        <w:tc>
          <w:tcPr>
            <w:tcW w:w="2070"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70,641,598.31 </w:t>
            </w:r>
          </w:p>
        </w:tc>
      </w:tr>
      <w:tr>
        <w:tblPrEx>
          <w:tblCellMar>
            <w:top w:w="0" w:type="dxa"/>
            <w:left w:w="0" w:type="dxa"/>
            <w:bottom w:w="0" w:type="dxa"/>
            <w:right w:w="0" w:type="dxa"/>
          </w:tblCellMar>
        </w:tblPrEx>
        <w:trPr>
          <w:trHeight w:val="271" w:hRule="atLeast"/>
        </w:trPr>
        <w:tc>
          <w:tcPr>
            <w:tcW w:w="236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应付账款</w:t>
            </w:r>
          </w:p>
        </w:tc>
        <w:tc>
          <w:tcPr>
            <w:tcW w:w="25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w:t>
            </w:r>
          </w:p>
        </w:tc>
        <w:tc>
          <w:tcPr>
            <w:tcW w:w="205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139,924,661.50 </w:t>
            </w:r>
          </w:p>
        </w:tc>
        <w:tc>
          <w:tcPr>
            <w:tcW w:w="2070"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139,924,661.50 </w:t>
            </w:r>
          </w:p>
        </w:tc>
      </w:tr>
      <w:tr>
        <w:tblPrEx>
          <w:tblCellMar>
            <w:top w:w="0" w:type="dxa"/>
            <w:left w:w="0" w:type="dxa"/>
            <w:bottom w:w="0" w:type="dxa"/>
            <w:right w:w="0" w:type="dxa"/>
          </w:tblCellMar>
        </w:tblPrEx>
        <w:trPr>
          <w:trHeight w:val="271" w:hRule="atLeast"/>
        </w:trPr>
        <w:tc>
          <w:tcPr>
            <w:tcW w:w="236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其他应付款</w:t>
            </w:r>
          </w:p>
        </w:tc>
        <w:tc>
          <w:tcPr>
            <w:tcW w:w="25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w:t>
            </w:r>
          </w:p>
        </w:tc>
        <w:tc>
          <w:tcPr>
            <w:tcW w:w="205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37,286,086.33 </w:t>
            </w:r>
          </w:p>
        </w:tc>
        <w:tc>
          <w:tcPr>
            <w:tcW w:w="2070"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37,286,086.33 </w:t>
            </w:r>
          </w:p>
        </w:tc>
      </w:tr>
      <w:tr>
        <w:tblPrEx>
          <w:tblCellMar>
            <w:top w:w="0" w:type="dxa"/>
            <w:left w:w="0" w:type="dxa"/>
            <w:bottom w:w="0" w:type="dxa"/>
            <w:right w:w="0" w:type="dxa"/>
          </w:tblCellMar>
        </w:tblPrEx>
        <w:trPr>
          <w:trHeight w:val="271" w:hRule="atLeast"/>
        </w:trPr>
        <w:tc>
          <w:tcPr>
            <w:tcW w:w="236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其他流动负债</w:t>
            </w:r>
          </w:p>
        </w:tc>
        <w:tc>
          <w:tcPr>
            <w:tcW w:w="25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w:t>
            </w:r>
          </w:p>
        </w:tc>
        <w:tc>
          <w:tcPr>
            <w:tcW w:w="205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87,949,573.88 </w:t>
            </w:r>
          </w:p>
        </w:tc>
        <w:tc>
          <w:tcPr>
            <w:tcW w:w="2070"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87,949,573.88 </w:t>
            </w:r>
          </w:p>
        </w:tc>
      </w:tr>
      <w:tr>
        <w:tblPrEx>
          <w:tblCellMar>
            <w:top w:w="0" w:type="dxa"/>
            <w:left w:w="0" w:type="dxa"/>
            <w:bottom w:w="0" w:type="dxa"/>
            <w:right w:w="0" w:type="dxa"/>
          </w:tblCellMar>
        </w:tblPrEx>
        <w:trPr>
          <w:trHeight w:val="271" w:hRule="atLeast"/>
        </w:trPr>
        <w:tc>
          <w:tcPr>
            <w:tcW w:w="2366" w:type="dxa"/>
            <w:tcBorders>
              <w:top w:val="nil"/>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一年内到期的非流动负债</w:t>
            </w:r>
          </w:p>
        </w:tc>
        <w:tc>
          <w:tcPr>
            <w:tcW w:w="25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w:t>
            </w:r>
          </w:p>
        </w:tc>
        <w:tc>
          <w:tcPr>
            <w:tcW w:w="205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41,601,700.00 </w:t>
            </w:r>
          </w:p>
        </w:tc>
        <w:tc>
          <w:tcPr>
            <w:tcW w:w="2070"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41,601,700.00 </w:t>
            </w:r>
          </w:p>
        </w:tc>
      </w:tr>
      <w:tr>
        <w:tblPrEx>
          <w:tblCellMar>
            <w:top w:w="0" w:type="dxa"/>
            <w:left w:w="0" w:type="dxa"/>
            <w:bottom w:w="0" w:type="dxa"/>
            <w:right w:w="0" w:type="dxa"/>
          </w:tblCellMar>
        </w:tblPrEx>
        <w:trPr>
          <w:trHeight w:val="271" w:hRule="atLeast"/>
        </w:trPr>
        <w:tc>
          <w:tcPr>
            <w:tcW w:w="236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长期借款</w:t>
            </w:r>
          </w:p>
        </w:tc>
        <w:tc>
          <w:tcPr>
            <w:tcW w:w="25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w:t>
            </w:r>
          </w:p>
        </w:tc>
        <w:tc>
          <w:tcPr>
            <w:tcW w:w="205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77,065,450.00 </w:t>
            </w:r>
          </w:p>
        </w:tc>
        <w:tc>
          <w:tcPr>
            <w:tcW w:w="2070"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77,065,450.00 </w:t>
            </w:r>
          </w:p>
        </w:tc>
      </w:tr>
      <w:tr>
        <w:tblPrEx>
          <w:tblCellMar>
            <w:top w:w="0" w:type="dxa"/>
            <w:left w:w="0" w:type="dxa"/>
            <w:bottom w:w="0" w:type="dxa"/>
            <w:right w:w="0" w:type="dxa"/>
          </w:tblCellMar>
        </w:tblPrEx>
        <w:trPr>
          <w:trHeight w:val="286" w:hRule="atLeast"/>
        </w:trPr>
        <w:tc>
          <w:tcPr>
            <w:tcW w:w="236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w:t>
            </w:r>
            <w:r>
              <w:rPr>
                <w:rFonts w:hint="default" w:ascii="Times New Roman" w:hAnsi="Times New Roman" w:eastAsia="宋体" w:cs="Times New Roman"/>
                <w:i w:val="0"/>
                <w:color w:val="000000"/>
                <w:kern w:val="0"/>
                <w:sz w:val="18"/>
                <w:szCs w:val="18"/>
                <w:u w:val="none"/>
                <w:lang w:val="en-US" w:eastAsia="zh-CN" w:bidi="ar"/>
              </w:rPr>
              <w:t>  </w:t>
            </w:r>
            <w:r>
              <w:rPr>
                <w:rFonts w:hint="eastAsia" w:ascii="宋体" w:hAnsi="宋体" w:eastAsia="宋体" w:cs="宋体"/>
                <w:i w:val="0"/>
                <w:color w:val="000000"/>
                <w:kern w:val="0"/>
                <w:sz w:val="18"/>
                <w:szCs w:val="18"/>
                <w:u w:val="none"/>
                <w:lang w:val="en-US" w:eastAsia="zh-CN" w:bidi="ar"/>
              </w:rPr>
              <w:t>计</w:t>
            </w:r>
          </w:p>
        </w:tc>
        <w:tc>
          <w:tcPr>
            <w:tcW w:w="25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w:t>
            </w:r>
          </w:p>
        </w:tc>
        <w:tc>
          <w:tcPr>
            <w:tcW w:w="205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single"/>
              </w:rPr>
            </w:pPr>
            <w:r>
              <w:rPr>
                <w:rFonts w:hint="default" w:ascii="Times New Roman" w:hAnsi="Times New Roman" w:eastAsia="宋体" w:cs="Times New Roman"/>
                <w:i w:val="0"/>
                <w:color w:val="000000"/>
                <w:kern w:val="0"/>
                <w:sz w:val="18"/>
                <w:szCs w:val="18"/>
                <w:u w:val="single"/>
                <w:lang w:val="en-US" w:eastAsia="zh-CN" w:bidi="ar"/>
              </w:rPr>
              <w:t>454,469,070.02 </w:t>
            </w:r>
          </w:p>
        </w:tc>
        <w:tc>
          <w:tcPr>
            <w:tcW w:w="2070"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single"/>
              </w:rPr>
            </w:pPr>
            <w:r>
              <w:rPr>
                <w:rFonts w:hint="default" w:ascii="Times New Roman" w:hAnsi="Times New Roman" w:eastAsia="宋体" w:cs="Times New Roman"/>
                <w:i w:val="0"/>
                <w:color w:val="000000"/>
                <w:kern w:val="0"/>
                <w:sz w:val="18"/>
                <w:szCs w:val="18"/>
                <w:u w:val="single"/>
                <w:lang w:val="en-US" w:eastAsia="zh-CN" w:bidi="ar"/>
              </w:rPr>
              <w:t>454,469,070.02 </w:t>
            </w:r>
          </w:p>
        </w:tc>
      </w:tr>
      <w:tr>
        <w:tblPrEx>
          <w:tblCellMar>
            <w:top w:w="0" w:type="dxa"/>
            <w:left w:w="0" w:type="dxa"/>
            <w:bottom w:w="0" w:type="dxa"/>
            <w:right w:w="0" w:type="dxa"/>
          </w:tblCellMar>
        </w:tblPrEx>
        <w:trPr>
          <w:trHeight w:val="271" w:hRule="atLeast"/>
        </w:trPr>
        <w:tc>
          <w:tcPr>
            <w:tcW w:w="2366" w:type="dxa"/>
            <w:tcBorders>
              <w:top w:val="nil"/>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接上表：</w:t>
            </w:r>
          </w:p>
        </w:tc>
        <w:tc>
          <w:tcPr>
            <w:tcW w:w="2505" w:type="dxa"/>
            <w:tcBorders>
              <w:top w:val="nil"/>
              <w:left w:val="nil"/>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2055" w:type="dxa"/>
            <w:tcBorders>
              <w:top w:val="nil"/>
              <w:left w:val="nil"/>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2070" w:type="dxa"/>
            <w:tcBorders>
              <w:top w:val="nil"/>
              <w:left w:val="nil"/>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85" w:hRule="atLeast"/>
        </w:trPr>
        <w:tc>
          <w:tcPr>
            <w:tcW w:w="2366" w:type="dxa"/>
            <w:vMerge w:val="restart"/>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金融负债项目</w:t>
            </w:r>
          </w:p>
        </w:tc>
        <w:tc>
          <w:tcPr>
            <w:tcW w:w="6630" w:type="dxa"/>
            <w:gridSpan w:val="3"/>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期初金额</w:t>
            </w:r>
          </w:p>
        </w:tc>
      </w:tr>
      <w:tr>
        <w:tblPrEx>
          <w:tblCellMar>
            <w:top w:w="0" w:type="dxa"/>
            <w:left w:w="0" w:type="dxa"/>
            <w:bottom w:w="0" w:type="dxa"/>
            <w:right w:w="0" w:type="dxa"/>
          </w:tblCellMar>
        </w:tblPrEx>
        <w:trPr>
          <w:trHeight w:val="450" w:hRule="atLeast"/>
        </w:trPr>
        <w:tc>
          <w:tcPr>
            <w:tcW w:w="2366" w:type="dxa"/>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000000"/>
                <w:sz w:val="18"/>
                <w:szCs w:val="18"/>
                <w:u w:val="none"/>
              </w:rPr>
            </w:pPr>
          </w:p>
        </w:tc>
        <w:tc>
          <w:tcPr>
            <w:tcW w:w="2505"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以公允价值计量且其变动</w:t>
            </w:r>
          </w:p>
        </w:tc>
        <w:tc>
          <w:tcPr>
            <w:tcW w:w="2055" w:type="dxa"/>
            <w:vMerge w:val="restart"/>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以摊余成本计量的金融负债</w:t>
            </w:r>
          </w:p>
        </w:tc>
        <w:tc>
          <w:tcPr>
            <w:tcW w:w="2070" w:type="dxa"/>
            <w:vMerge w:val="restart"/>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w:t>
            </w:r>
            <w:r>
              <w:rPr>
                <w:rFonts w:hint="default" w:ascii="Times New Roman" w:hAnsi="Times New Roman" w:eastAsia="宋体" w:cs="Times New Roman"/>
                <w:b/>
                <w:i w:val="0"/>
                <w:color w:val="000000"/>
                <w:kern w:val="0"/>
                <w:sz w:val="18"/>
                <w:szCs w:val="18"/>
                <w:u w:val="none"/>
                <w:lang w:val="en-US" w:eastAsia="zh-CN" w:bidi="ar"/>
              </w:rPr>
              <w:t>  </w:t>
            </w:r>
            <w:r>
              <w:rPr>
                <w:rFonts w:hint="eastAsia" w:ascii="宋体" w:hAnsi="宋体" w:eastAsia="宋体" w:cs="宋体"/>
                <w:b/>
                <w:i w:val="0"/>
                <w:color w:val="000000"/>
                <w:kern w:val="0"/>
                <w:sz w:val="18"/>
                <w:szCs w:val="18"/>
                <w:u w:val="none"/>
                <w:lang w:val="en-US" w:eastAsia="zh-CN" w:bidi="ar"/>
              </w:rPr>
              <w:t>计</w:t>
            </w:r>
          </w:p>
        </w:tc>
      </w:tr>
      <w:tr>
        <w:tblPrEx>
          <w:tblCellMar>
            <w:top w:w="0" w:type="dxa"/>
            <w:left w:w="0" w:type="dxa"/>
            <w:bottom w:w="0" w:type="dxa"/>
            <w:right w:w="0" w:type="dxa"/>
          </w:tblCellMar>
        </w:tblPrEx>
        <w:trPr>
          <w:trHeight w:val="465" w:hRule="atLeast"/>
        </w:trPr>
        <w:tc>
          <w:tcPr>
            <w:tcW w:w="2366" w:type="dxa"/>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000000"/>
                <w:sz w:val="18"/>
                <w:szCs w:val="18"/>
                <w:u w:val="none"/>
              </w:rPr>
            </w:pPr>
          </w:p>
        </w:tc>
        <w:tc>
          <w:tcPr>
            <w:tcW w:w="2505"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计入当期损益的金融负债</w:t>
            </w:r>
          </w:p>
        </w:tc>
        <w:tc>
          <w:tcPr>
            <w:tcW w:w="2055" w:type="dxa"/>
            <w:vMerge w:val="continue"/>
            <w:tcBorders>
              <w:top w:val="nil"/>
              <w:left w:val="nil"/>
              <w:bottom w:val="single" w:color="auto" w:sz="8" w:space="0"/>
              <w:right w:val="single" w:color="auto"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000000"/>
                <w:sz w:val="18"/>
                <w:szCs w:val="18"/>
                <w:u w:val="none"/>
              </w:rPr>
            </w:pPr>
          </w:p>
        </w:tc>
        <w:tc>
          <w:tcPr>
            <w:tcW w:w="2070" w:type="dxa"/>
            <w:vMerge w:val="continue"/>
            <w:tcBorders>
              <w:top w:val="nil"/>
              <w:left w:val="nil"/>
              <w:bottom w:val="single" w:color="auto" w:sz="8" w:space="0"/>
              <w:right w:val="single" w:color="auto"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000000"/>
                <w:sz w:val="18"/>
                <w:szCs w:val="18"/>
                <w:u w:val="none"/>
              </w:rPr>
            </w:pPr>
          </w:p>
        </w:tc>
      </w:tr>
      <w:tr>
        <w:tblPrEx>
          <w:tblCellMar>
            <w:top w:w="0" w:type="dxa"/>
            <w:left w:w="0" w:type="dxa"/>
            <w:bottom w:w="0" w:type="dxa"/>
            <w:right w:w="0" w:type="dxa"/>
          </w:tblCellMar>
        </w:tblPrEx>
        <w:trPr>
          <w:trHeight w:val="286" w:hRule="atLeast"/>
        </w:trPr>
        <w:tc>
          <w:tcPr>
            <w:tcW w:w="236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短期借款</w:t>
            </w:r>
          </w:p>
        </w:tc>
        <w:tc>
          <w:tcPr>
            <w:tcW w:w="25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w:t>
            </w:r>
          </w:p>
        </w:tc>
        <w:tc>
          <w:tcPr>
            <w:tcW w:w="205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w:t>
            </w:r>
          </w:p>
        </w:tc>
        <w:tc>
          <w:tcPr>
            <w:tcW w:w="2070"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w:t>
            </w:r>
          </w:p>
        </w:tc>
      </w:tr>
      <w:tr>
        <w:tblPrEx>
          <w:tblCellMar>
            <w:top w:w="0" w:type="dxa"/>
            <w:left w:w="0" w:type="dxa"/>
            <w:bottom w:w="0" w:type="dxa"/>
            <w:right w:w="0" w:type="dxa"/>
          </w:tblCellMar>
        </w:tblPrEx>
        <w:trPr>
          <w:trHeight w:val="286" w:hRule="atLeast"/>
        </w:trPr>
        <w:tc>
          <w:tcPr>
            <w:tcW w:w="236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应付票据</w:t>
            </w:r>
          </w:p>
        </w:tc>
        <w:tc>
          <w:tcPr>
            <w:tcW w:w="25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w:t>
            </w:r>
          </w:p>
        </w:tc>
        <w:tc>
          <w:tcPr>
            <w:tcW w:w="205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77,606,432.06</w:t>
            </w:r>
          </w:p>
        </w:tc>
        <w:tc>
          <w:tcPr>
            <w:tcW w:w="2070"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single"/>
              </w:rPr>
            </w:pPr>
            <w:r>
              <w:rPr>
                <w:rFonts w:hint="default" w:ascii="Times New Roman" w:hAnsi="Times New Roman" w:eastAsia="宋体" w:cs="Times New Roman"/>
                <w:i w:val="0"/>
                <w:color w:val="000000"/>
                <w:kern w:val="0"/>
                <w:sz w:val="18"/>
                <w:szCs w:val="18"/>
                <w:u w:val="single"/>
                <w:lang w:val="en-US" w:eastAsia="zh-CN" w:bidi="ar"/>
              </w:rPr>
              <w:t>77,606,432.06</w:t>
            </w:r>
          </w:p>
        </w:tc>
      </w:tr>
      <w:tr>
        <w:tblPrEx>
          <w:tblCellMar>
            <w:top w:w="0" w:type="dxa"/>
            <w:left w:w="0" w:type="dxa"/>
            <w:bottom w:w="0" w:type="dxa"/>
            <w:right w:w="0" w:type="dxa"/>
          </w:tblCellMar>
        </w:tblPrEx>
        <w:trPr>
          <w:trHeight w:val="286" w:hRule="atLeast"/>
        </w:trPr>
        <w:tc>
          <w:tcPr>
            <w:tcW w:w="236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应付账款</w:t>
            </w:r>
          </w:p>
        </w:tc>
        <w:tc>
          <w:tcPr>
            <w:tcW w:w="25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w:t>
            </w:r>
          </w:p>
        </w:tc>
        <w:tc>
          <w:tcPr>
            <w:tcW w:w="205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113,179,928.89</w:t>
            </w:r>
          </w:p>
        </w:tc>
        <w:tc>
          <w:tcPr>
            <w:tcW w:w="2070"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single"/>
              </w:rPr>
            </w:pPr>
            <w:r>
              <w:rPr>
                <w:rFonts w:hint="default" w:ascii="Times New Roman" w:hAnsi="Times New Roman" w:eastAsia="宋体" w:cs="Times New Roman"/>
                <w:i w:val="0"/>
                <w:color w:val="000000"/>
                <w:kern w:val="0"/>
                <w:sz w:val="18"/>
                <w:szCs w:val="18"/>
                <w:u w:val="single"/>
                <w:lang w:val="en-US" w:eastAsia="zh-CN" w:bidi="ar"/>
              </w:rPr>
              <w:t>113,179,928.89</w:t>
            </w:r>
          </w:p>
        </w:tc>
      </w:tr>
      <w:tr>
        <w:tblPrEx>
          <w:tblCellMar>
            <w:top w:w="0" w:type="dxa"/>
            <w:left w:w="0" w:type="dxa"/>
            <w:bottom w:w="0" w:type="dxa"/>
            <w:right w:w="0" w:type="dxa"/>
          </w:tblCellMar>
        </w:tblPrEx>
        <w:trPr>
          <w:trHeight w:val="286" w:hRule="atLeast"/>
        </w:trPr>
        <w:tc>
          <w:tcPr>
            <w:tcW w:w="236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其他应付款</w:t>
            </w:r>
          </w:p>
        </w:tc>
        <w:tc>
          <w:tcPr>
            <w:tcW w:w="25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w:t>
            </w:r>
          </w:p>
        </w:tc>
        <w:tc>
          <w:tcPr>
            <w:tcW w:w="205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37,905,173.59</w:t>
            </w:r>
          </w:p>
        </w:tc>
        <w:tc>
          <w:tcPr>
            <w:tcW w:w="2070"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single"/>
              </w:rPr>
            </w:pPr>
            <w:r>
              <w:rPr>
                <w:rFonts w:hint="default" w:ascii="Times New Roman" w:hAnsi="Times New Roman" w:eastAsia="宋体" w:cs="Times New Roman"/>
                <w:i w:val="0"/>
                <w:color w:val="000000"/>
                <w:kern w:val="0"/>
                <w:sz w:val="18"/>
                <w:szCs w:val="18"/>
                <w:u w:val="single"/>
                <w:lang w:val="en-US" w:eastAsia="zh-CN" w:bidi="ar"/>
              </w:rPr>
              <w:t>37,905,173.59</w:t>
            </w:r>
          </w:p>
        </w:tc>
      </w:tr>
      <w:tr>
        <w:tblPrEx>
          <w:tblCellMar>
            <w:top w:w="0" w:type="dxa"/>
            <w:left w:w="0" w:type="dxa"/>
            <w:bottom w:w="0" w:type="dxa"/>
            <w:right w:w="0" w:type="dxa"/>
          </w:tblCellMar>
        </w:tblPrEx>
        <w:trPr>
          <w:trHeight w:val="286" w:hRule="atLeast"/>
        </w:trPr>
        <w:tc>
          <w:tcPr>
            <w:tcW w:w="236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其他流动负债</w:t>
            </w:r>
          </w:p>
        </w:tc>
        <w:tc>
          <w:tcPr>
            <w:tcW w:w="25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w:t>
            </w:r>
          </w:p>
        </w:tc>
        <w:tc>
          <w:tcPr>
            <w:tcW w:w="205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61,279,001.18</w:t>
            </w:r>
          </w:p>
        </w:tc>
        <w:tc>
          <w:tcPr>
            <w:tcW w:w="2070"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single"/>
              </w:rPr>
            </w:pPr>
            <w:r>
              <w:rPr>
                <w:rFonts w:hint="default" w:ascii="Times New Roman" w:hAnsi="Times New Roman" w:eastAsia="宋体" w:cs="Times New Roman"/>
                <w:i w:val="0"/>
                <w:color w:val="000000"/>
                <w:kern w:val="0"/>
                <w:sz w:val="18"/>
                <w:szCs w:val="18"/>
                <w:u w:val="single"/>
                <w:lang w:val="en-US" w:eastAsia="zh-CN" w:bidi="ar"/>
              </w:rPr>
              <w:t>61,279,001.18</w:t>
            </w:r>
          </w:p>
        </w:tc>
      </w:tr>
      <w:tr>
        <w:tblPrEx>
          <w:tblCellMar>
            <w:top w:w="0" w:type="dxa"/>
            <w:left w:w="0" w:type="dxa"/>
            <w:bottom w:w="0" w:type="dxa"/>
            <w:right w:w="0" w:type="dxa"/>
          </w:tblCellMar>
        </w:tblPrEx>
        <w:trPr>
          <w:trHeight w:val="465" w:hRule="atLeast"/>
        </w:trPr>
        <w:tc>
          <w:tcPr>
            <w:tcW w:w="236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一年内到期的非流动负债</w:t>
            </w:r>
          </w:p>
        </w:tc>
        <w:tc>
          <w:tcPr>
            <w:tcW w:w="25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w:t>
            </w:r>
          </w:p>
        </w:tc>
        <w:tc>
          <w:tcPr>
            <w:tcW w:w="205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41,841,863.89</w:t>
            </w:r>
          </w:p>
        </w:tc>
        <w:tc>
          <w:tcPr>
            <w:tcW w:w="2070"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single"/>
              </w:rPr>
            </w:pPr>
            <w:r>
              <w:rPr>
                <w:rFonts w:hint="default" w:ascii="Times New Roman" w:hAnsi="Times New Roman" w:eastAsia="宋体" w:cs="Times New Roman"/>
                <w:i w:val="0"/>
                <w:color w:val="000000"/>
                <w:kern w:val="0"/>
                <w:sz w:val="18"/>
                <w:szCs w:val="18"/>
                <w:u w:val="single"/>
                <w:lang w:val="en-US" w:eastAsia="zh-CN" w:bidi="ar"/>
              </w:rPr>
              <w:t>41,841,863.89</w:t>
            </w:r>
          </w:p>
        </w:tc>
      </w:tr>
      <w:tr>
        <w:tblPrEx>
          <w:tblCellMar>
            <w:top w:w="0" w:type="dxa"/>
            <w:left w:w="0" w:type="dxa"/>
            <w:bottom w:w="0" w:type="dxa"/>
            <w:right w:w="0" w:type="dxa"/>
          </w:tblCellMar>
        </w:tblPrEx>
        <w:trPr>
          <w:trHeight w:val="286" w:hRule="atLeast"/>
        </w:trPr>
        <w:tc>
          <w:tcPr>
            <w:tcW w:w="236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长期借款</w:t>
            </w:r>
          </w:p>
        </w:tc>
        <w:tc>
          <w:tcPr>
            <w:tcW w:w="25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w:t>
            </w:r>
          </w:p>
        </w:tc>
        <w:tc>
          <w:tcPr>
            <w:tcW w:w="205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78,058,933.33</w:t>
            </w:r>
          </w:p>
        </w:tc>
        <w:tc>
          <w:tcPr>
            <w:tcW w:w="2070"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single"/>
              </w:rPr>
            </w:pPr>
            <w:r>
              <w:rPr>
                <w:rFonts w:hint="default" w:ascii="Times New Roman" w:hAnsi="Times New Roman" w:eastAsia="宋体" w:cs="Times New Roman"/>
                <w:i w:val="0"/>
                <w:color w:val="000000"/>
                <w:kern w:val="0"/>
                <w:sz w:val="18"/>
                <w:szCs w:val="18"/>
                <w:u w:val="single"/>
                <w:lang w:val="en-US" w:eastAsia="zh-CN" w:bidi="ar"/>
              </w:rPr>
              <w:t>78,058,933.33</w:t>
            </w:r>
          </w:p>
        </w:tc>
      </w:tr>
      <w:tr>
        <w:tblPrEx>
          <w:tblCellMar>
            <w:top w:w="0" w:type="dxa"/>
            <w:left w:w="0" w:type="dxa"/>
            <w:bottom w:w="0" w:type="dxa"/>
            <w:right w:w="0" w:type="dxa"/>
          </w:tblCellMar>
        </w:tblPrEx>
        <w:trPr>
          <w:trHeight w:val="286" w:hRule="atLeast"/>
        </w:trPr>
        <w:tc>
          <w:tcPr>
            <w:tcW w:w="236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250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w:t>
            </w:r>
          </w:p>
        </w:tc>
        <w:tc>
          <w:tcPr>
            <w:tcW w:w="205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single"/>
              </w:rPr>
            </w:pPr>
            <w:r>
              <w:rPr>
                <w:rFonts w:hint="default" w:ascii="Times New Roman" w:hAnsi="Times New Roman" w:eastAsia="宋体" w:cs="Times New Roman"/>
                <w:i w:val="0"/>
                <w:color w:val="000000"/>
                <w:kern w:val="0"/>
                <w:sz w:val="18"/>
                <w:szCs w:val="18"/>
                <w:u w:val="single"/>
                <w:lang w:val="en-US" w:eastAsia="zh-CN" w:bidi="ar"/>
              </w:rPr>
              <w:t>409,871,332.94</w:t>
            </w:r>
          </w:p>
        </w:tc>
        <w:tc>
          <w:tcPr>
            <w:tcW w:w="2070"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single"/>
              </w:rPr>
            </w:pPr>
            <w:r>
              <w:rPr>
                <w:rFonts w:hint="default" w:ascii="Times New Roman" w:hAnsi="Times New Roman" w:eastAsia="宋体" w:cs="Times New Roman"/>
                <w:i w:val="0"/>
                <w:color w:val="000000"/>
                <w:kern w:val="0"/>
                <w:sz w:val="18"/>
                <w:szCs w:val="18"/>
                <w:u w:val="single"/>
                <w:lang w:val="en-US" w:eastAsia="zh-CN" w:bidi="ar"/>
              </w:rPr>
              <w:t>409,871,332.94</w:t>
            </w:r>
          </w:p>
        </w:tc>
      </w:tr>
    </w:tbl>
    <w:p>
      <w:pPr>
        <w:pStyle w:val="3"/>
        <w:keepNext w:val="0"/>
        <w:keepLines w:val="0"/>
        <w:widowControl/>
        <w:suppressLineNumbers w:val="0"/>
        <w:rPr>
          <w:rFonts w:hint="eastAsia" w:ascii="宋体" w:hAnsi="宋体" w:eastAsia="宋体" w:cs="宋体"/>
          <w:sz w:val="18"/>
          <w:szCs w:val="18"/>
        </w:rPr>
      </w:pPr>
      <w:r>
        <w:rPr>
          <w:rFonts w:hint="eastAsia" w:ascii="宋体" w:hAnsi="宋体" w:eastAsia="宋体" w:cs="宋体"/>
          <w:sz w:val="18"/>
          <w:szCs w:val="18"/>
        </w:rPr>
        <w:t> </w:t>
      </w:r>
      <w:r>
        <w:rPr>
          <w:rFonts w:hint="default" w:ascii="Times New Roman" w:hAnsi="Times New Roman" w:eastAsia="宋体" w:cs="Times New Roman"/>
          <w:sz w:val="21"/>
          <w:szCs w:val="21"/>
        </w:rPr>
        <w:t>2</w:t>
      </w:r>
      <w:r>
        <w:rPr>
          <w:rFonts w:hint="eastAsia" w:ascii="宋体" w:hAnsi="宋体" w:eastAsia="宋体" w:cs="宋体"/>
          <w:sz w:val="21"/>
          <w:szCs w:val="21"/>
        </w:rPr>
        <w:t>、与金融工具相关的主要风险</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（1）信用风险</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本公司的金融资产主要为货币资金、应收票据、应收账款、其他应收款、交易性金融资产。信用风险主要来源于客户等未能如期偿付的应收款项，最大的风险敞口等于这些金融工具的账面金额。</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default" w:ascii="Times New Roman" w:hAnsi="Times New Roman" w:eastAsia="宋体" w:cs="Times New Roman"/>
          <w:sz w:val="21"/>
          <w:szCs w:val="21"/>
        </w:rPr>
        <w:t>A</w:t>
      </w:r>
      <w:r>
        <w:rPr>
          <w:rFonts w:hint="eastAsia" w:ascii="宋体" w:hAnsi="宋体" w:eastAsia="宋体" w:cs="宋体"/>
          <w:sz w:val="21"/>
          <w:szCs w:val="21"/>
        </w:rPr>
        <w:t>、信用风险显著增加判断标准：</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eastAsia" w:ascii="宋体" w:hAnsi="宋体" w:eastAsia="宋体" w:cs="宋体"/>
          <w:sz w:val="21"/>
          <w:szCs w:val="21"/>
        </w:rPr>
        <w:t>本公司在每个资产负债表日评估相关金融工具的信用风险自初始确认后是否已显著增加。</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eastAsia" w:ascii="宋体" w:hAnsi="宋体" w:eastAsia="宋体" w:cs="宋体"/>
          <w:sz w:val="21"/>
          <w:szCs w:val="21"/>
        </w:rPr>
        <w:t>在确定信用风险自初始确认后是否显著增加时，本公司考虑在无须付出不必要的额外成本或努力即可获得合理且有依据的信息，包括基于本公司历史数据的定性和定量分析、外部信用风险评级以及前瞻性信息。本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eastAsia" w:ascii="宋体" w:hAnsi="宋体" w:eastAsia="宋体" w:cs="宋体"/>
          <w:sz w:val="21"/>
          <w:szCs w:val="21"/>
        </w:rPr>
        <w:t>当触发以下一个或多个定量、定性标准时，本公司认为金融工具的信用风险已发生显著增加：</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default" w:ascii="Times New Roman" w:hAnsi="Times New Roman" w:eastAsia="宋体" w:cs="Times New Roman"/>
          <w:sz w:val="21"/>
          <w:szCs w:val="21"/>
        </w:rPr>
        <w:t>a</w:t>
      </w:r>
      <w:r>
        <w:rPr>
          <w:rFonts w:hint="eastAsia" w:ascii="宋体" w:hAnsi="宋体" w:eastAsia="宋体" w:cs="宋体"/>
          <w:sz w:val="21"/>
          <w:szCs w:val="21"/>
        </w:rPr>
        <w:t>、定量标准主要为报告日剩余存续期违约概率较初始确认时上升超过100%。</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default" w:ascii="Times New Roman" w:hAnsi="Times New Roman" w:eastAsia="宋体" w:cs="Times New Roman"/>
          <w:sz w:val="21"/>
          <w:szCs w:val="21"/>
        </w:rPr>
        <w:t>b</w:t>
      </w:r>
      <w:r>
        <w:rPr>
          <w:rFonts w:hint="eastAsia" w:ascii="宋体" w:hAnsi="宋体" w:eastAsia="宋体" w:cs="宋体"/>
          <w:sz w:val="21"/>
          <w:szCs w:val="21"/>
        </w:rPr>
        <w:t>、定性标准主要债务人经营或财务情况出现重大不利变化、预警客户清单等。</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default" w:ascii="Times New Roman" w:hAnsi="Times New Roman" w:eastAsia="宋体" w:cs="Times New Roman"/>
          <w:sz w:val="21"/>
          <w:szCs w:val="21"/>
        </w:rPr>
        <w:t>B</w:t>
      </w:r>
      <w:r>
        <w:rPr>
          <w:rFonts w:hint="eastAsia" w:ascii="宋体" w:hAnsi="宋体" w:eastAsia="宋体" w:cs="宋体"/>
          <w:sz w:val="21"/>
          <w:szCs w:val="21"/>
        </w:rPr>
        <w:t>、已发生信用减值资产的定义：</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eastAsia" w:ascii="宋体" w:hAnsi="宋体" w:eastAsia="宋体" w:cs="宋体"/>
          <w:sz w:val="21"/>
          <w:szCs w:val="21"/>
        </w:rPr>
        <w:t>为确定是否发生信用减值，本公司所采用的界定标准，与内部针对相关金融工具的信用风险管理目标保持一致，同时考虑定量、定性指标。本公司评估债务人是否发生信用减值时，主要考虑以下因素：</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default" w:ascii="Times New Roman" w:hAnsi="Times New Roman" w:eastAsia="宋体" w:cs="Times New Roman"/>
          <w:sz w:val="21"/>
          <w:szCs w:val="21"/>
        </w:rPr>
        <w:t>a</w:t>
      </w:r>
      <w:r>
        <w:rPr>
          <w:rFonts w:hint="eastAsia" w:ascii="宋体" w:hAnsi="宋体" w:eastAsia="宋体" w:cs="宋体"/>
          <w:sz w:val="21"/>
          <w:szCs w:val="21"/>
        </w:rPr>
        <w:t>、发行方或债务人发生重大财务困难；</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default" w:ascii="Times New Roman" w:hAnsi="Times New Roman" w:eastAsia="宋体" w:cs="Times New Roman"/>
          <w:sz w:val="21"/>
          <w:szCs w:val="21"/>
        </w:rPr>
        <w:t>b</w:t>
      </w:r>
      <w:r>
        <w:rPr>
          <w:rFonts w:hint="eastAsia" w:ascii="宋体" w:hAnsi="宋体" w:eastAsia="宋体" w:cs="宋体"/>
          <w:sz w:val="21"/>
          <w:szCs w:val="21"/>
        </w:rPr>
        <w:t>、债务人违反合同，如偿付利息或本金违约或逾期等；</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default" w:ascii="Times New Roman" w:hAnsi="Times New Roman" w:eastAsia="宋体" w:cs="Times New Roman"/>
          <w:sz w:val="21"/>
          <w:szCs w:val="21"/>
        </w:rPr>
        <w:t>c</w:t>
      </w:r>
      <w:r>
        <w:rPr>
          <w:rFonts w:hint="eastAsia" w:ascii="宋体" w:hAnsi="宋体" w:eastAsia="宋体" w:cs="宋体"/>
          <w:sz w:val="21"/>
          <w:szCs w:val="21"/>
        </w:rPr>
        <w:t>、债权人出于与债务人财务困难有关的经济或合同考虑，给予债务人在任何其他情况下都不会做出的让步；</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default" w:ascii="Times New Roman" w:hAnsi="Times New Roman" w:eastAsia="宋体" w:cs="Times New Roman"/>
          <w:sz w:val="21"/>
          <w:szCs w:val="21"/>
        </w:rPr>
        <w:t>d</w:t>
      </w:r>
      <w:r>
        <w:rPr>
          <w:rFonts w:hint="eastAsia" w:ascii="宋体" w:hAnsi="宋体" w:eastAsia="宋体" w:cs="宋体"/>
          <w:sz w:val="21"/>
          <w:szCs w:val="21"/>
        </w:rPr>
        <w:t>、债务人很可能破产或进行其他财务重组；</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default" w:ascii="Times New Roman" w:hAnsi="Times New Roman" w:eastAsia="宋体" w:cs="Times New Roman"/>
          <w:sz w:val="21"/>
          <w:szCs w:val="21"/>
        </w:rPr>
        <w:t>e</w:t>
      </w:r>
      <w:r>
        <w:rPr>
          <w:rFonts w:hint="eastAsia" w:ascii="宋体" w:hAnsi="宋体" w:eastAsia="宋体" w:cs="宋体"/>
          <w:sz w:val="21"/>
          <w:szCs w:val="21"/>
        </w:rPr>
        <w:t>、发行方或债务人财务困难导致该金融资产的活跃市场消失；</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default" w:ascii="Times New Roman" w:hAnsi="Times New Roman" w:eastAsia="宋体" w:cs="Times New Roman"/>
          <w:sz w:val="21"/>
          <w:szCs w:val="21"/>
        </w:rPr>
        <w:t>f</w:t>
      </w:r>
      <w:r>
        <w:rPr>
          <w:rFonts w:hint="eastAsia" w:ascii="宋体" w:hAnsi="宋体" w:eastAsia="宋体" w:cs="宋体"/>
          <w:sz w:val="21"/>
          <w:szCs w:val="21"/>
        </w:rPr>
        <w:t>、以大幅折扣购买或源生一项金融资产，该折扣反映了发生信用损失的事实；</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eastAsia" w:ascii="宋体" w:hAnsi="宋体" w:eastAsia="宋体" w:cs="宋体"/>
          <w:sz w:val="21"/>
          <w:szCs w:val="21"/>
        </w:rPr>
        <w:t>金融资产发生信用减值，有可能是多个事件的共同作用所致，未必是可单独识别的事件所致。</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default" w:ascii="Times New Roman" w:hAnsi="Times New Roman" w:eastAsia="宋体" w:cs="Times New Roman"/>
          <w:sz w:val="21"/>
          <w:szCs w:val="21"/>
        </w:rPr>
        <w:t>C</w:t>
      </w:r>
      <w:r>
        <w:rPr>
          <w:rFonts w:hint="eastAsia" w:ascii="宋体" w:hAnsi="宋体" w:eastAsia="宋体" w:cs="宋体"/>
          <w:sz w:val="21"/>
          <w:szCs w:val="21"/>
        </w:rPr>
        <w:t>、预期信用损失计量的参数</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eastAsia" w:ascii="宋体" w:hAnsi="宋体" w:eastAsia="宋体" w:cs="宋体"/>
          <w:sz w:val="21"/>
          <w:szCs w:val="21"/>
        </w:rPr>
        <w:t>根据信用风险是否发生显著增加以及是否已发生信用减值，本公司对不同的资产分别以12 个月或整个存续期的预期信用损失计量减值准备。预期信用损失计量的关键参数包括违约损失率和违约风险敞口。本公司考虑历史统计数据(回款期限以及还款方式等)的定量分析及前瞻性信息，建立违约概率、违约损失率及违约风险敞口的违约损失率模型。</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eastAsia" w:ascii="宋体" w:hAnsi="宋体" w:eastAsia="宋体" w:cs="宋体"/>
          <w:sz w:val="21"/>
          <w:szCs w:val="21"/>
        </w:rPr>
        <w:t>相关定义如下：</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default" w:ascii="Times New Roman" w:hAnsi="Times New Roman" w:eastAsia="宋体" w:cs="Times New Roman"/>
          <w:sz w:val="21"/>
          <w:szCs w:val="21"/>
        </w:rPr>
        <w:t>a</w:t>
      </w:r>
      <w:r>
        <w:rPr>
          <w:rFonts w:hint="eastAsia" w:ascii="宋体" w:hAnsi="宋体" w:eastAsia="宋体" w:cs="宋体"/>
          <w:sz w:val="21"/>
          <w:szCs w:val="21"/>
        </w:rPr>
        <w:t>、违约概率是指债务人在未来12个月或在整个剩余存续期，无法履行其偿付义务的可能性。本公司的违约概率以应收款项历史迁移率模型为基础且考虑业绩增长因素进行调整，加入前瞻性信息，以反映当前宏观经济环境下债务人违约概率；</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default" w:ascii="Times New Roman" w:hAnsi="Times New Roman" w:eastAsia="宋体" w:cs="Times New Roman"/>
          <w:sz w:val="21"/>
          <w:szCs w:val="21"/>
        </w:rPr>
        <w:t>b</w:t>
      </w:r>
      <w:r>
        <w:rPr>
          <w:rFonts w:hint="eastAsia" w:ascii="宋体" w:hAnsi="宋体" w:eastAsia="宋体" w:cs="宋体"/>
          <w:sz w:val="21"/>
          <w:szCs w:val="21"/>
        </w:rPr>
        <w:t>、违约损失率是指本公司对违约风险暴露发生损失程度作出的预期。违约损失率为违约发生时风险敞口损失的百分比，以未来12个月内或整个存续期为基准进行计算；</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default" w:ascii="Times New Roman" w:hAnsi="Times New Roman" w:eastAsia="宋体" w:cs="Times New Roman"/>
          <w:sz w:val="21"/>
          <w:szCs w:val="21"/>
        </w:rPr>
        <w:t>c</w:t>
      </w:r>
      <w:r>
        <w:rPr>
          <w:rFonts w:hint="eastAsia" w:ascii="宋体" w:hAnsi="宋体" w:eastAsia="宋体" w:cs="宋体"/>
          <w:sz w:val="21"/>
          <w:szCs w:val="21"/>
        </w:rPr>
        <w:t>、违约风险敞口是指，在未来12个月或在整个剩余存续期中，在违约发生时，本公司应被偿付的金额。</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eastAsia" w:ascii="宋体" w:hAnsi="宋体" w:eastAsia="宋体" w:cs="宋体"/>
          <w:sz w:val="21"/>
          <w:szCs w:val="21"/>
        </w:rPr>
        <w:t>前瞻性信息</w:t>
      </w:r>
    </w:p>
    <w:p>
      <w:pPr>
        <w:pStyle w:val="3"/>
        <w:keepNext w:val="0"/>
        <w:keepLines w:val="0"/>
        <w:widowControl/>
        <w:suppressLineNumbers w:val="0"/>
        <w:spacing w:before="0" w:beforeAutospacing="0" w:after="156" w:afterAutospacing="0"/>
        <w:ind w:left="0" w:firstLine="420"/>
        <w:jc w:val="both"/>
        <w:rPr>
          <w:rFonts w:hint="eastAsia" w:ascii="宋体" w:hAnsi="宋体" w:eastAsia="宋体" w:cs="宋体"/>
          <w:sz w:val="18"/>
          <w:szCs w:val="18"/>
        </w:rPr>
      </w:pPr>
      <w:r>
        <w:rPr>
          <w:rFonts w:hint="eastAsia" w:ascii="宋体" w:hAnsi="宋体" w:eastAsia="宋体" w:cs="宋体"/>
          <w:sz w:val="21"/>
          <w:szCs w:val="21"/>
        </w:rPr>
        <w:t>信用风险显著增加的评估及预期信用损失的计算均涉及前瞻性信息。本公司通过进行历史数据分析，识别出影响各业务类型信用风险及预期信用损失的关键经济指标。</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本公司的货币资金主要为银行存款、保证金性质的其他货币资金，主要存放于在国内A股上市的部分商业银行；应收票据主要为银行承兑汇票；交易性金融资产为购买银行的理财产品。本公司管理层认为上述金融资产不存在重大的信用风险。</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 xml:space="preserve">本公司应收账款主要为飞机刹车材料、军用及民用CC复合材料和粉末冶金材料销售形成的应收账款，其中：飞机刹车材料和军用CC复合材料销售客户，主要为国内航空公司、部队等军方和军工产品配套企业等，相应主要客户较为稳定且优质，报告期末，本公司管理层根据公司坏账准备计提政策，合理的计提了坏账准备。本公司管理层认为，上述应收账款不存在重大信用风险。 </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本公司其他应收款，主要为企业往来款、备用金等，已根据公司相应坏账准备计提政策，合理的计提了减值准备，本公司管理层认为，其他应收款所产生的信用风险是可控的。</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（2）流动风险</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 xml:space="preserve">本公司采用循环流动性计划工具管理资金短缺风险。该工具既考虑其金融工具的到期日，也考虑本公司运营产生的预计现金流量。 </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18"/>
          <w:szCs w:val="18"/>
        </w:rPr>
        <w:t> </w:t>
      </w:r>
    </w:p>
    <w:p>
      <w:pPr>
        <w:pStyle w:val="3"/>
        <w:keepNext w:val="0"/>
        <w:keepLines w:val="0"/>
        <w:widowControl/>
        <w:suppressLineNumbers w:val="0"/>
        <w:spacing w:before="156"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（3）市场风险</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市场风险，是指金融工具的公允价值或未来现金流量因市场价格变动而发生波动的风险。市场风险主要包括利率风险、外汇风险等。</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default" w:ascii="Times New Roman" w:hAnsi="Times New Roman" w:eastAsia="宋体" w:cs="Times New Roman"/>
          <w:sz w:val="21"/>
          <w:szCs w:val="21"/>
        </w:rPr>
        <w:t>1</w:t>
      </w:r>
      <w:r>
        <w:rPr>
          <w:rFonts w:hint="eastAsia" w:ascii="宋体" w:hAnsi="宋体" w:eastAsia="宋体" w:cs="宋体"/>
          <w:sz w:val="21"/>
          <w:szCs w:val="21"/>
        </w:rPr>
        <w:t>）利率风险</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本公司借款均为银行借款，借款合同对借款利率均进行了明确约定，故本公司金融负债不存在市场利率变动的重大风险。</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default" w:ascii="Times New Roman" w:hAnsi="Times New Roman" w:eastAsia="宋体" w:cs="Times New Roman"/>
          <w:sz w:val="21"/>
          <w:szCs w:val="21"/>
        </w:rPr>
        <w:t>2</w:t>
      </w:r>
      <w:r>
        <w:rPr>
          <w:rFonts w:hint="eastAsia" w:ascii="宋体" w:hAnsi="宋体" w:eastAsia="宋体" w:cs="宋体"/>
          <w:sz w:val="21"/>
          <w:szCs w:val="21"/>
        </w:rPr>
        <w:t>）外汇风险</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外汇风险，是指金融工具的公允价值或未来现金流量因外汇汇率变动而发生波动的风险。本公司承受外汇风险主要与所持有的美元、港币或欧元现金、银行存款和部分客户货款与人民币之间的汇率变动。但本公司管理层认为，美元、港币或欧元的现金和银行存款、部分客户货款与本公司总资产所占比例较小，故本公司所面临的外汇风险并不重大。</w:t>
      </w:r>
    </w:p>
    <w:p>
      <w:pPr>
        <w:pStyle w:val="3"/>
        <w:keepNext w:val="0"/>
        <w:keepLines w:val="0"/>
        <w:widowControl/>
        <w:suppressLineNumbers w:val="0"/>
        <w:spacing w:before="312" w:beforeAutospacing="0" w:after="312" w:afterAutospacing="0"/>
        <w:ind w:left="0" w:firstLine="482"/>
        <w:jc w:val="both"/>
        <w:rPr>
          <w:rFonts w:hint="eastAsia" w:ascii="宋体" w:hAnsi="宋体" w:eastAsia="宋体" w:cs="宋体"/>
          <w:sz w:val="18"/>
          <w:szCs w:val="18"/>
        </w:rPr>
      </w:pPr>
      <w:r>
        <w:rPr>
          <w:rStyle w:val="6"/>
          <w:rFonts w:hint="eastAsia" w:ascii="宋体" w:hAnsi="宋体" w:eastAsia="宋体" w:cs="宋体"/>
          <w:b/>
          <w:sz w:val="24"/>
          <w:szCs w:val="24"/>
        </w:rPr>
        <w:t>十、资本管理</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本公司资本管理的主要目标是确保本公司持续经营的能力，并保持健康的资本比率，以支持业务发展并使股东价值最大化。</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本公司管理资本结构并根据经济形势以及相关资产的风险特征的变化对其进行调整。为维持或调整资本结构，本公司可以调整对股东的利润分配、向股东归还资本或发行新股。</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本公司不受外部强制性资本要求约束。与上期相比，公司资本管理目标、政策或程序未发生变化。</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本公司采用杠杆比率来管理资本，杠杆比率是指净负债和调整后资本加净负债的比率。净负债包括金融负债减去金融资产。资本包括所有者权益减去其他综合收益，公司于资产负债表日的杠杆比率如下：</w:t>
      </w:r>
    </w:p>
    <w:tbl>
      <w:tblPr>
        <w:tblStyle w:val="4"/>
        <w:tblW w:w="9221" w:type="dxa"/>
        <w:tblInd w:w="0" w:type="dxa"/>
        <w:shd w:val="clear" w:color="auto" w:fill="auto"/>
        <w:tblLayout w:type="autofit"/>
        <w:tblCellMar>
          <w:top w:w="0" w:type="dxa"/>
          <w:left w:w="0" w:type="dxa"/>
          <w:bottom w:w="0" w:type="dxa"/>
          <w:right w:w="0" w:type="dxa"/>
        </w:tblCellMar>
      </w:tblPr>
      <w:tblGrid>
        <w:gridCol w:w="3176"/>
        <w:gridCol w:w="2700"/>
        <w:gridCol w:w="3345"/>
      </w:tblGrid>
      <w:tr>
        <w:tblPrEx>
          <w:shd w:val="clear" w:color="auto" w:fill="auto"/>
          <w:tblCellMar>
            <w:top w:w="0" w:type="dxa"/>
            <w:left w:w="0" w:type="dxa"/>
            <w:bottom w:w="0" w:type="dxa"/>
            <w:right w:w="0" w:type="dxa"/>
          </w:tblCellMar>
        </w:tblPrEx>
        <w:trPr>
          <w:trHeight w:val="435" w:hRule="atLeast"/>
        </w:trPr>
        <w:tc>
          <w:tcPr>
            <w:tcW w:w="317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w:t>
            </w:r>
            <w:r>
              <w:rPr>
                <w:rFonts w:hint="default" w:ascii="Times New Roman" w:hAnsi="Times New Roman" w:eastAsia="宋体" w:cs="Times New Roman"/>
                <w:b/>
                <w:i w:val="0"/>
                <w:color w:val="000000"/>
                <w:kern w:val="0"/>
                <w:sz w:val="15"/>
                <w:szCs w:val="15"/>
                <w:u w:val="none"/>
                <w:lang w:val="en-US" w:eastAsia="zh-CN" w:bidi="ar"/>
              </w:rPr>
              <w:t>  </w:t>
            </w:r>
            <w:r>
              <w:rPr>
                <w:rFonts w:hint="eastAsia" w:ascii="宋体" w:hAnsi="宋体" w:eastAsia="宋体" w:cs="宋体"/>
                <w:b/>
                <w:i w:val="0"/>
                <w:color w:val="000000"/>
                <w:kern w:val="0"/>
                <w:sz w:val="15"/>
                <w:szCs w:val="15"/>
                <w:u w:val="none"/>
                <w:lang w:val="en-US" w:eastAsia="zh-CN" w:bidi="ar"/>
              </w:rPr>
              <w:t>目</w:t>
            </w:r>
          </w:p>
        </w:tc>
        <w:tc>
          <w:tcPr>
            <w:tcW w:w="2700" w:type="dxa"/>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期末余额或期末比率</w:t>
            </w:r>
          </w:p>
        </w:tc>
        <w:tc>
          <w:tcPr>
            <w:tcW w:w="3345" w:type="dxa"/>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期初余额或期初比率</w:t>
            </w:r>
          </w:p>
        </w:tc>
      </w:tr>
      <w:tr>
        <w:tblPrEx>
          <w:tblCellMar>
            <w:top w:w="0" w:type="dxa"/>
            <w:left w:w="0" w:type="dxa"/>
            <w:bottom w:w="0" w:type="dxa"/>
            <w:right w:w="0" w:type="dxa"/>
          </w:tblCellMar>
        </w:tblPrEx>
        <w:trPr>
          <w:trHeight w:val="286" w:hRule="atLeast"/>
        </w:trPr>
        <w:tc>
          <w:tcPr>
            <w:tcW w:w="317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金融负债</w:t>
            </w:r>
          </w:p>
        </w:tc>
        <w:tc>
          <w:tcPr>
            <w:tcW w:w="2700"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454,469,070.02</w:t>
            </w:r>
          </w:p>
        </w:tc>
        <w:tc>
          <w:tcPr>
            <w:tcW w:w="334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409,871,332.94</w:t>
            </w:r>
          </w:p>
        </w:tc>
      </w:tr>
      <w:tr>
        <w:tblPrEx>
          <w:tblCellMar>
            <w:top w:w="0" w:type="dxa"/>
            <w:left w:w="0" w:type="dxa"/>
            <w:bottom w:w="0" w:type="dxa"/>
            <w:right w:w="0" w:type="dxa"/>
          </w:tblCellMar>
        </w:tblPrEx>
        <w:trPr>
          <w:trHeight w:val="286" w:hRule="atLeast"/>
        </w:trPr>
        <w:tc>
          <w:tcPr>
            <w:tcW w:w="317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减：金融资产</w:t>
            </w:r>
          </w:p>
        </w:tc>
        <w:tc>
          <w:tcPr>
            <w:tcW w:w="2700"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941,990,632.32</w:t>
            </w:r>
          </w:p>
        </w:tc>
        <w:tc>
          <w:tcPr>
            <w:tcW w:w="334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1,110,033,037.57</w:t>
            </w:r>
          </w:p>
        </w:tc>
      </w:tr>
      <w:tr>
        <w:tblPrEx>
          <w:tblCellMar>
            <w:top w:w="0" w:type="dxa"/>
            <w:left w:w="0" w:type="dxa"/>
            <w:bottom w:w="0" w:type="dxa"/>
            <w:right w:w="0" w:type="dxa"/>
          </w:tblCellMar>
        </w:tblPrEx>
        <w:trPr>
          <w:trHeight w:val="286" w:hRule="atLeast"/>
        </w:trPr>
        <w:tc>
          <w:tcPr>
            <w:tcW w:w="317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净负债小计</w:t>
            </w:r>
          </w:p>
        </w:tc>
        <w:tc>
          <w:tcPr>
            <w:tcW w:w="2700"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single"/>
              </w:rPr>
            </w:pPr>
            <w:r>
              <w:rPr>
                <w:rFonts w:hint="default" w:ascii="Times New Roman" w:hAnsi="Times New Roman" w:eastAsia="宋体" w:cs="Times New Roman"/>
                <w:i w:val="0"/>
                <w:color w:val="000000"/>
                <w:kern w:val="0"/>
                <w:sz w:val="15"/>
                <w:szCs w:val="15"/>
                <w:u w:val="single"/>
                <w:lang w:val="en-US" w:eastAsia="zh-CN" w:bidi="ar"/>
              </w:rPr>
              <w:t>-487,521,562.30</w:t>
            </w:r>
          </w:p>
        </w:tc>
        <w:tc>
          <w:tcPr>
            <w:tcW w:w="334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-700,161,704.63</w:t>
            </w:r>
          </w:p>
        </w:tc>
      </w:tr>
      <w:tr>
        <w:tblPrEx>
          <w:tblCellMar>
            <w:top w:w="0" w:type="dxa"/>
            <w:left w:w="0" w:type="dxa"/>
            <w:bottom w:w="0" w:type="dxa"/>
            <w:right w:w="0" w:type="dxa"/>
          </w:tblCellMar>
        </w:tblPrEx>
        <w:trPr>
          <w:trHeight w:val="286" w:hRule="atLeast"/>
        </w:trPr>
        <w:tc>
          <w:tcPr>
            <w:tcW w:w="317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资本</w:t>
            </w:r>
          </w:p>
        </w:tc>
        <w:tc>
          <w:tcPr>
            <w:tcW w:w="2700"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2,093,973,018.13</w:t>
            </w:r>
          </w:p>
        </w:tc>
        <w:tc>
          <w:tcPr>
            <w:tcW w:w="334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2,076,757,130.78</w:t>
            </w:r>
          </w:p>
        </w:tc>
      </w:tr>
      <w:tr>
        <w:tblPrEx>
          <w:tblCellMar>
            <w:top w:w="0" w:type="dxa"/>
            <w:left w:w="0" w:type="dxa"/>
            <w:bottom w:w="0" w:type="dxa"/>
            <w:right w:w="0" w:type="dxa"/>
          </w:tblCellMar>
        </w:tblPrEx>
        <w:trPr>
          <w:trHeight w:val="286" w:hRule="atLeast"/>
        </w:trPr>
        <w:tc>
          <w:tcPr>
            <w:tcW w:w="317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净负债和资本合计</w:t>
            </w:r>
          </w:p>
        </w:tc>
        <w:tc>
          <w:tcPr>
            <w:tcW w:w="2700"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single"/>
              </w:rPr>
            </w:pPr>
            <w:r>
              <w:rPr>
                <w:rFonts w:hint="default" w:ascii="Times New Roman" w:hAnsi="Times New Roman" w:eastAsia="宋体" w:cs="Times New Roman"/>
                <w:i w:val="0"/>
                <w:color w:val="000000"/>
                <w:kern w:val="0"/>
                <w:sz w:val="15"/>
                <w:szCs w:val="15"/>
                <w:u w:val="single"/>
                <w:lang w:val="en-US" w:eastAsia="zh-CN" w:bidi="ar"/>
              </w:rPr>
              <w:t>1,606,451,455.83</w:t>
            </w:r>
          </w:p>
        </w:tc>
        <w:tc>
          <w:tcPr>
            <w:tcW w:w="334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1,376,595,426.15</w:t>
            </w:r>
          </w:p>
        </w:tc>
      </w:tr>
      <w:tr>
        <w:tblPrEx>
          <w:tblCellMar>
            <w:top w:w="0" w:type="dxa"/>
            <w:left w:w="0" w:type="dxa"/>
            <w:bottom w:w="0" w:type="dxa"/>
            <w:right w:w="0" w:type="dxa"/>
          </w:tblCellMar>
        </w:tblPrEx>
        <w:trPr>
          <w:trHeight w:val="286" w:hRule="atLeast"/>
        </w:trPr>
        <w:tc>
          <w:tcPr>
            <w:tcW w:w="317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杠杆比率</w:t>
            </w:r>
          </w:p>
        </w:tc>
        <w:tc>
          <w:tcPr>
            <w:tcW w:w="2700"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-30.35%</w:t>
            </w:r>
          </w:p>
        </w:tc>
        <w:tc>
          <w:tcPr>
            <w:tcW w:w="334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Times New Roman" w:hAnsi="Times New Roman"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-50.86%</w:t>
            </w:r>
          </w:p>
        </w:tc>
      </w:tr>
    </w:tbl>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18"/>
          <w:szCs w:val="18"/>
        </w:rPr>
        <w:t> </w:t>
      </w:r>
    </w:p>
    <w:p>
      <w:pPr>
        <w:keepNext/>
        <w:keepLines/>
        <w:spacing w:before="300" w:after="300" w:line="320" w:lineRule="exact"/>
        <w:jc w:val="left"/>
        <w:outlineLvl w:val="1"/>
        <w:rPr>
          <w:rFonts w:ascii="宋体" w:hAnsi="宋体" w:eastAsia="宋体" w:cs="宋体"/>
          <w:b/>
          <w:bCs/>
          <w:sz w:val="24"/>
          <w:szCs w:val="24"/>
        </w:rPr>
      </w:pPr>
      <w:bookmarkStart w:id="270" w:name="_Toc989215"/>
      <w:r>
        <w:rPr>
          <w:rFonts w:ascii="宋体" w:hAnsi="宋体" w:eastAsia="宋体" w:cs="宋体"/>
          <w:b/>
          <w:bCs/>
          <w:sz w:val="24"/>
          <w:szCs w:val="24"/>
        </w:rPr>
        <w:t>十一、公允价值的披露</w:t>
      </w:r>
      <w:bookmarkEnd w:id="270"/>
    </w:p>
    <w:p>
      <w:pPr>
        <w:keepNext/>
        <w:keepLines/>
        <w:spacing w:before="300" w:after="300" w:line="280" w:lineRule="exact"/>
        <w:jc w:val="left"/>
        <w:outlineLvl w:val="2"/>
        <w:rPr>
          <w:rFonts w:ascii="宋体" w:hAnsi="宋体" w:eastAsia="宋体" w:cs="宋体"/>
          <w:b/>
          <w:bCs/>
          <w:sz w:val="21"/>
          <w:szCs w:val="21"/>
        </w:rPr>
      </w:pPr>
      <w:bookmarkStart w:id="271" w:name="_Toc989216"/>
      <w:r>
        <w:rPr>
          <w:rFonts w:ascii="宋体" w:hAnsi="宋体" w:eastAsia="宋体" w:cs="宋体"/>
          <w:b/>
          <w:bCs/>
          <w:sz w:val="21"/>
          <w:szCs w:val="21"/>
        </w:rPr>
        <w:t>1、以公允价值计量的资产和负债的期末公允价值</w:t>
      </w:r>
      <w:bookmarkEnd w:id="27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期末公允价值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（三）其他权益工具投资</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77,311,904.94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77,311,904.94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（六）应收款项融资</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28,813,984.37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28,813,984.37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持续以公允价值计量的</w:t>
            </w:r>
            <w:r>
              <w:rPr>
                <w:rFonts w:hint="eastAsia" w:ascii="宋体" w:hAnsi="宋体" w:cs="宋体"/>
                <w:sz w:val="18"/>
                <w:szCs w:val="18"/>
                <w:lang w:eastAsia="zh-CN"/>
              </w:rPr>
              <w:t>资产</w:t>
            </w:r>
            <w:r>
              <w:rPr>
                <w:rFonts w:ascii="宋体" w:hAnsi="宋体" w:eastAsia="宋体" w:cs="宋体"/>
                <w:sz w:val="18"/>
                <w:szCs w:val="18"/>
              </w:rPr>
              <w:t>总额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106,125,889.31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106,125,889.31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二、非持续的公允价值计量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keepNext/>
        <w:keepLines/>
        <w:spacing w:before="300" w:after="300" w:line="280" w:lineRule="exact"/>
        <w:jc w:val="left"/>
        <w:outlineLvl w:val="2"/>
        <w:rPr>
          <w:rFonts w:ascii="宋体" w:hAnsi="宋体" w:eastAsia="宋体" w:cs="宋体"/>
          <w:b/>
          <w:bCs/>
          <w:sz w:val="21"/>
          <w:szCs w:val="21"/>
        </w:rPr>
      </w:pPr>
      <w:bookmarkStart w:id="272" w:name="_Toc989217"/>
      <w:r>
        <w:rPr>
          <w:rFonts w:ascii="宋体" w:hAnsi="宋体" w:eastAsia="宋体" w:cs="宋体"/>
          <w:b/>
          <w:bCs/>
          <w:sz w:val="21"/>
          <w:szCs w:val="21"/>
        </w:rPr>
        <w:t>2、持续和非持续第一层次公允价值计量项目市价的确定依据</w:t>
      </w:r>
      <w:bookmarkEnd w:id="272"/>
    </w:p>
    <w:p>
      <w:pPr>
        <w:pStyle w:val="3"/>
        <w:keepNext w:val="0"/>
        <w:keepLines w:val="0"/>
        <w:widowControl/>
        <w:suppressLineNumbers w:val="0"/>
        <w:spacing w:before="40" w:beforeAutospacing="0" w:after="40" w:afterAutospacing="0"/>
        <w:jc w:val="both"/>
        <w:rPr>
          <w:rFonts w:hint="eastAsia" w:ascii="宋体" w:hAnsi="宋体" w:eastAsia="宋体" w:cs="宋体"/>
          <w:sz w:val="18"/>
          <w:szCs w:val="18"/>
        </w:rPr>
      </w:pPr>
      <w:r>
        <w:rPr>
          <w:rFonts w:hint="eastAsia" w:ascii="宋体" w:hAnsi="宋体" w:eastAsia="宋体" w:cs="宋体"/>
          <w:sz w:val="21"/>
          <w:szCs w:val="21"/>
        </w:rPr>
        <w:t>理财产品以金融机构提供的预期收益率作为估值依据。</w:t>
      </w:r>
    </w:p>
    <w:p>
      <w:pPr>
        <w:keepNext/>
        <w:keepLines/>
        <w:spacing w:before="300" w:after="300" w:line="280" w:lineRule="exact"/>
        <w:jc w:val="left"/>
        <w:outlineLvl w:val="2"/>
        <w:rPr>
          <w:rFonts w:ascii="宋体" w:hAnsi="宋体" w:eastAsia="宋体" w:cs="宋体"/>
          <w:b/>
          <w:bCs/>
          <w:sz w:val="21"/>
          <w:szCs w:val="21"/>
        </w:rPr>
      </w:pPr>
      <w:bookmarkStart w:id="273" w:name="_Toc989218"/>
      <w:r>
        <w:rPr>
          <w:rFonts w:ascii="宋体" w:hAnsi="宋体" w:eastAsia="宋体" w:cs="宋体"/>
          <w:b/>
          <w:bCs/>
          <w:sz w:val="21"/>
          <w:szCs w:val="21"/>
        </w:rPr>
        <w:t>3、持续和非持续第二层次公允价值计量项目，采用的估值技术和重要参数的定性及定量信息</w:t>
      </w:r>
      <w:bookmarkEnd w:id="273"/>
    </w:p>
    <w:p>
      <w:pPr>
        <w:keepNext/>
        <w:keepLines/>
        <w:spacing w:before="300" w:after="300" w:line="280" w:lineRule="exact"/>
        <w:jc w:val="left"/>
        <w:outlineLvl w:val="2"/>
        <w:rPr>
          <w:rFonts w:ascii="宋体" w:hAnsi="宋体" w:eastAsia="宋体" w:cs="宋体"/>
          <w:b/>
          <w:bCs/>
          <w:sz w:val="21"/>
          <w:szCs w:val="21"/>
        </w:rPr>
      </w:pPr>
      <w:bookmarkStart w:id="274" w:name="_Toc989219"/>
      <w:r>
        <w:rPr>
          <w:rFonts w:ascii="宋体" w:hAnsi="宋体" w:eastAsia="宋体" w:cs="宋体"/>
          <w:b/>
          <w:bCs/>
          <w:sz w:val="21"/>
          <w:szCs w:val="21"/>
        </w:rPr>
        <w:t>4、持续和非持续第三层次公允价值计量项目，采用的估值技术和重要参数的定性及定量信息</w:t>
      </w:r>
      <w:bookmarkEnd w:id="274"/>
    </w:p>
    <w:p>
      <w:pPr>
        <w:pStyle w:val="3"/>
        <w:keepNext w:val="0"/>
        <w:keepLines w:val="0"/>
        <w:widowControl/>
        <w:suppressLineNumbers w:val="0"/>
        <w:spacing w:before="0" w:beforeAutospacing="0" w:after="120" w:afterAutospacing="0"/>
        <w:ind w:left="0" w:firstLine="420"/>
        <w:jc w:val="both"/>
        <w:rPr>
          <w:rFonts w:hint="eastAsia" w:ascii="宋体" w:hAnsi="宋体" w:eastAsia="宋体" w:cs="宋体"/>
          <w:sz w:val="18"/>
          <w:szCs w:val="18"/>
        </w:rPr>
      </w:pPr>
      <w:r>
        <w:rPr>
          <w:rFonts w:hint="eastAsia" w:ascii="宋体" w:hAnsi="宋体" w:eastAsia="宋体" w:cs="宋体"/>
          <w:sz w:val="21"/>
          <w:szCs w:val="21"/>
        </w:rPr>
        <w:t>（</w:t>
      </w:r>
      <w:r>
        <w:rPr>
          <w:rFonts w:hint="default" w:ascii="Times New Roman" w:hAnsi="Times New Roman" w:eastAsia="宋体" w:cs="Times New Roman"/>
          <w:sz w:val="21"/>
          <w:szCs w:val="21"/>
        </w:rPr>
        <w:t>1</w:t>
      </w:r>
      <w:r>
        <w:rPr>
          <w:rFonts w:hint="eastAsia" w:ascii="宋体" w:hAnsi="宋体" w:eastAsia="宋体" w:cs="宋体"/>
          <w:sz w:val="21"/>
          <w:szCs w:val="21"/>
        </w:rPr>
        <w:t>）本公司持有的在市场上无可用的观察输入值及估值技术的其他权益工具投资，以第三层级估值作为公允价值的计量依据。其中，湖南博云汽车制动材料有限公司以</w:t>
      </w:r>
      <w:r>
        <w:rPr>
          <w:rFonts w:hint="default" w:ascii="Times New Roman" w:hAnsi="Times New Roman" w:eastAsia="宋体" w:cs="Times New Roman"/>
          <w:sz w:val="21"/>
          <w:szCs w:val="21"/>
        </w:rPr>
        <w:t>2018</w:t>
      </w:r>
      <w:r>
        <w:rPr>
          <w:rFonts w:hint="eastAsia" w:ascii="宋体" w:hAnsi="宋体" w:eastAsia="宋体" w:cs="宋体"/>
          <w:sz w:val="21"/>
          <w:szCs w:val="21"/>
        </w:rPr>
        <w:t>年</w:t>
      </w:r>
      <w:r>
        <w:rPr>
          <w:rFonts w:hint="default" w:ascii="Times New Roman" w:hAnsi="Times New Roman" w:eastAsia="宋体" w:cs="Times New Roman"/>
          <w:sz w:val="21"/>
          <w:szCs w:val="21"/>
        </w:rPr>
        <w:t>12</w:t>
      </w:r>
      <w:r>
        <w:rPr>
          <w:rFonts w:hint="eastAsia" w:ascii="宋体" w:hAnsi="宋体" w:eastAsia="宋体" w:cs="宋体"/>
          <w:sz w:val="21"/>
          <w:szCs w:val="21"/>
        </w:rPr>
        <w:t>月</w:t>
      </w:r>
      <w:r>
        <w:rPr>
          <w:rFonts w:hint="default" w:ascii="Times New Roman" w:hAnsi="Times New Roman" w:eastAsia="宋体" w:cs="Times New Roman"/>
          <w:sz w:val="21"/>
          <w:szCs w:val="21"/>
        </w:rPr>
        <w:t>31</w:t>
      </w:r>
      <w:r>
        <w:rPr>
          <w:rFonts w:hint="eastAsia" w:ascii="宋体" w:hAnsi="宋体" w:eastAsia="宋体" w:cs="宋体"/>
          <w:sz w:val="21"/>
          <w:szCs w:val="21"/>
        </w:rPr>
        <w:t>日评估值为基础持续计量的净资产份额确定公允价值；上海钨夫投资管理有限公司和上海海通创新锦程投资管理中心</w:t>
      </w:r>
      <w:r>
        <w:rPr>
          <w:rFonts w:hint="default" w:ascii="Times New Roman" w:hAnsi="Times New Roman" w:eastAsia="宋体" w:cs="Times New Roman"/>
          <w:sz w:val="21"/>
          <w:szCs w:val="21"/>
        </w:rPr>
        <w:t>(</w:t>
      </w:r>
      <w:r>
        <w:rPr>
          <w:rFonts w:hint="eastAsia" w:ascii="宋体" w:hAnsi="宋体" w:eastAsia="宋体" w:cs="宋体"/>
          <w:sz w:val="21"/>
          <w:szCs w:val="21"/>
        </w:rPr>
        <w:t>有限合伙</w:t>
      </w:r>
      <w:r>
        <w:rPr>
          <w:rFonts w:hint="default" w:ascii="Times New Roman" w:hAnsi="Times New Roman" w:eastAsia="宋体" w:cs="Times New Roman"/>
          <w:sz w:val="21"/>
          <w:szCs w:val="21"/>
        </w:rPr>
        <w:t>)</w:t>
      </w:r>
      <w:r>
        <w:rPr>
          <w:rFonts w:hint="eastAsia" w:ascii="宋体" w:hAnsi="宋体" w:eastAsia="宋体" w:cs="宋体"/>
          <w:sz w:val="21"/>
          <w:szCs w:val="21"/>
        </w:rPr>
        <w:t>采用上市公司比较法对其估值。</w:t>
      </w:r>
      <w:r>
        <w:rPr>
          <w:rFonts w:hint="default" w:ascii="Times New Roman" w:hAnsi="Times New Roman" w:eastAsia="宋体" w:cs="Times New Roman"/>
          <w:sz w:val="21"/>
          <w:szCs w:val="21"/>
        </w:rPr>
        <w:t> </w:t>
      </w:r>
    </w:p>
    <w:p>
      <w:pPr>
        <w:pStyle w:val="3"/>
        <w:keepNext w:val="0"/>
        <w:keepLines w:val="0"/>
        <w:widowControl/>
        <w:suppressLineNumbers w:val="0"/>
        <w:spacing w:before="240" w:beforeAutospacing="0" w:after="240" w:afterAutospacing="0"/>
        <w:ind w:left="0" w:firstLine="420"/>
        <w:jc w:val="both"/>
        <w:rPr>
          <w:rFonts w:hint="eastAsia" w:ascii="宋体" w:hAnsi="宋体" w:eastAsia="宋体" w:cs="宋体"/>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2</w:t>
      </w:r>
      <w:r>
        <w:rPr>
          <w:rFonts w:hint="eastAsia" w:ascii="宋体" w:hAnsi="宋体" w:eastAsia="宋体" w:cs="宋体"/>
          <w:sz w:val="21"/>
          <w:szCs w:val="21"/>
        </w:rPr>
        <w:t>）应收款项融资为应收银行承兑汇票，其管理模式实质为既收取合同现金流量又背书转让或贴现，故公司将银行承兑汇票根据票面金额作为公允价值进行计量。</w:t>
      </w:r>
      <w:bookmarkStart w:id="275" w:name="_Toc989220"/>
    </w:p>
    <w:p>
      <w:pPr>
        <w:pStyle w:val="3"/>
        <w:keepNext w:val="0"/>
        <w:keepLines w:val="0"/>
        <w:widowControl/>
        <w:suppressLineNumbers w:val="0"/>
        <w:spacing w:before="240" w:beforeAutospacing="0" w:after="240" w:afterAutospacing="0"/>
        <w:ind w:left="0" w:leftChars="0" w:firstLine="0" w:firstLineChars="0"/>
        <w:jc w:val="both"/>
        <w:rPr>
          <w:rFonts w:ascii="宋体" w:hAnsi="宋体" w:eastAsia="宋体" w:cs="宋体"/>
          <w:b/>
          <w:bCs/>
          <w:sz w:val="21"/>
          <w:szCs w:val="21"/>
        </w:rPr>
      </w:pPr>
      <w:r>
        <w:rPr>
          <w:rFonts w:ascii="宋体" w:hAnsi="宋体" w:eastAsia="宋体" w:cs="宋体"/>
          <w:b/>
          <w:bCs/>
          <w:sz w:val="21"/>
          <w:szCs w:val="21"/>
        </w:rPr>
        <w:t>5、持续的第三层次公允价值计量项目，期初与期末账面价值间的调节信息及不可观察参数敏感性分析</w:t>
      </w:r>
      <w:bookmarkEnd w:id="275"/>
      <w:bookmarkStart w:id="276" w:name="_Toc989221"/>
    </w:p>
    <w:p>
      <w:pPr>
        <w:pStyle w:val="3"/>
        <w:keepNext w:val="0"/>
        <w:keepLines w:val="0"/>
        <w:widowControl/>
        <w:suppressLineNumbers w:val="0"/>
        <w:spacing w:before="240" w:beforeAutospacing="0" w:after="240" w:afterAutospacing="0"/>
        <w:ind w:left="0" w:leftChars="0" w:firstLine="0" w:firstLineChars="0"/>
        <w:jc w:val="both"/>
        <w:rPr>
          <w:rFonts w:ascii="宋体" w:hAnsi="宋体" w:eastAsia="宋体" w:cs="宋体"/>
          <w:b/>
          <w:bCs/>
          <w:sz w:val="21"/>
          <w:szCs w:val="21"/>
        </w:rPr>
      </w:pPr>
      <w:r>
        <w:rPr>
          <w:rFonts w:ascii="宋体" w:hAnsi="宋体" w:eastAsia="宋体" w:cs="宋体"/>
          <w:b/>
          <w:bCs/>
          <w:sz w:val="21"/>
          <w:szCs w:val="21"/>
        </w:rPr>
        <w:t>6、持续的公允价值计量项目，本期内发生各层级之间转换的，转换的原因及确定转换时点的政策</w:t>
      </w:r>
      <w:bookmarkEnd w:id="276"/>
      <w:bookmarkStart w:id="277" w:name="_Toc989222"/>
    </w:p>
    <w:p>
      <w:pPr>
        <w:pStyle w:val="3"/>
        <w:keepNext w:val="0"/>
        <w:keepLines w:val="0"/>
        <w:widowControl/>
        <w:suppressLineNumbers w:val="0"/>
        <w:spacing w:before="240" w:beforeAutospacing="0" w:after="240" w:afterAutospacing="0"/>
        <w:ind w:left="0" w:leftChars="0" w:firstLine="0" w:firstLineChars="0"/>
        <w:jc w:val="both"/>
        <w:rPr>
          <w:rFonts w:ascii="宋体" w:hAnsi="宋体" w:eastAsia="宋体" w:cs="宋体"/>
          <w:b/>
          <w:bCs/>
          <w:sz w:val="21"/>
          <w:szCs w:val="21"/>
        </w:rPr>
      </w:pPr>
      <w:r>
        <w:rPr>
          <w:rFonts w:ascii="宋体" w:hAnsi="宋体" w:eastAsia="宋体" w:cs="宋体"/>
          <w:b/>
          <w:bCs/>
          <w:sz w:val="21"/>
          <w:szCs w:val="21"/>
        </w:rPr>
        <w:t>7、本期内发生的估值技术变更及变更原因</w:t>
      </w:r>
      <w:bookmarkEnd w:id="277"/>
    </w:p>
    <w:p>
      <w:pPr>
        <w:keepNext/>
        <w:keepLines/>
        <w:spacing w:before="300" w:after="300" w:line="280" w:lineRule="exact"/>
        <w:jc w:val="left"/>
        <w:outlineLvl w:val="2"/>
        <w:rPr>
          <w:rFonts w:ascii="宋体" w:hAnsi="宋体" w:eastAsia="宋体" w:cs="宋体"/>
          <w:b/>
          <w:bCs/>
          <w:sz w:val="21"/>
          <w:szCs w:val="21"/>
        </w:rPr>
      </w:pPr>
      <w:bookmarkStart w:id="278" w:name="_Toc989223"/>
      <w:r>
        <w:rPr>
          <w:rFonts w:ascii="宋体" w:hAnsi="宋体" w:eastAsia="宋体" w:cs="宋体"/>
          <w:b/>
          <w:bCs/>
          <w:sz w:val="21"/>
          <w:szCs w:val="21"/>
        </w:rPr>
        <w:t>8、不以公允价值计量的金融资产和金融负债的公允价值情况</w:t>
      </w:r>
      <w:bookmarkEnd w:id="278"/>
    </w:p>
    <w:p>
      <w:pPr>
        <w:keepNext/>
        <w:keepLines/>
        <w:spacing w:before="300" w:after="300" w:line="280" w:lineRule="exact"/>
        <w:jc w:val="left"/>
        <w:outlineLvl w:val="2"/>
        <w:rPr>
          <w:rFonts w:ascii="宋体" w:hAnsi="宋体" w:eastAsia="宋体" w:cs="宋体"/>
          <w:b/>
          <w:bCs/>
          <w:sz w:val="21"/>
          <w:szCs w:val="21"/>
        </w:rPr>
      </w:pPr>
      <w:bookmarkStart w:id="279" w:name="_Toc989224"/>
      <w:r>
        <w:rPr>
          <w:rFonts w:ascii="宋体" w:hAnsi="宋体" w:eastAsia="宋体" w:cs="宋体"/>
          <w:b/>
          <w:bCs/>
          <w:sz w:val="21"/>
          <w:szCs w:val="21"/>
        </w:rPr>
        <w:t>9、其他</w:t>
      </w:r>
      <w:bookmarkEnd w:id="279"/>
    </w:p>
    <w:p>
      <w:pPr>
        <w:keepNext/>
        <w:keepLines/>
        <w:spacing w:before="300" w:after="300" w:line="320" w:lineRule="exact"/>
        <w:jc w:val="left"/>
        <w:outlineLvl w:val="1"/>
        <w:rPr>
          <w:rFonts w:ascii="宋体" w:hAnsi="宋体" w:eastAsia="宋体" w:cs="宋体"/>
          <w:b/>
          <w:bCs/>
          <w:sz w:val="24"/>
          <w:szCs w:val="24"/>
        </w:rPr>
      </w:pPr>
      <w:bookmarkStart w:id="280" w:name="_Toc989225"/>
      <w:r>
        <w:rPr>
          <w:rFonts w:ascii="宋体" w:hAnsi="宋体" w:eastAsia="宋体" w:cs="宋体"/>
          <w:b/>
          <w:bCs/>
          <w:sz w:val="24"/>
          <w:szCs w:val="24"/>
        </w:rPr>
        <w:t>十二、关联方及关联交易</w:t>
      </w:r>
      <w:bookmarkEnd w:id="280"/>
    </w:p>
    <w:p>
      <w:pPr>
        <w:keepNext/>
        <w:keepLines/>
        <w:spacing w:before="300" w:after="300" w:line="280" w:lineRule="exact"/>
        <w:jc w:val="left"/>
        <w:outlineLvl w:val="2"/>
        <w:rPr>
          <w:rFonts w:ascii="宋体" w:hAnsi="宋体" w:eastAsia="宋体" w:cs="宋体"/>
          <w:b/>
          <w:bCs/>
          <w:sz w:val="21"/>
          <w:szCs w:val="21"/>
        </w:rPr>
      </w:pPr>
      <w:bookmarkStart w:id="281" w:name="_Toc989226"/>
      <w:r>
        <w:rPr>
          <w:rFonts w:ascii="宋体" w:hAnsi="宋体" w:eastAsia="宋体" w:cs="宋体"/>
          <w:b/>
          <w:bCs/>
          <w:sz w:val="21"/>
          <w:szCs w:val="21"/>
        </w:rPr>
        <w:t>1、本企业的母公司情况</w:t>
      </w:r>
      <w:bookmarkEnd w:id="281"/>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母公司对本企业的持股比例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母公司对本企业的表决权比例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湖南省长沙市</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研究、开发、生产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16,326.53万元</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本企业的母公司情况的说明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本企业最终控制方是湖南省人民政府国有资产监督管理委员会。。</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82" w:name="_Toc989227"/>
      <w:r>
        <w:rPr>
          <w:rFonts w:ascii="宋体" w:hAnsi="宋体" w:eastAsia="宋体" w:cs="宋体"/>
          <w:b/>
          <w:bCs/>
          <w:sz w:val="21"/>
          <w:szCs w:val="21"/>
        </w:rPr>
        <w:t>2、本企业的子公司情况</w:t>
      </w:r>
      <w:bookmarkEnd w:id="282"/>
    </w:p>
    <w:p>
      <w:pPr>
        <w:spacing w:before="40" w:after="40" w:line="240" w:lineRule="exact"/>
        <w:jc w:val="left"/>
        <w:rPr>
          <w:rFonts w:ascii="宋体" w:hAnsi="宋体" w:eastAsia="宋体" w:cs="宋体"/>
          <w:sz w:val="18"/>
          <w:szCs w:val="18"/>
        </w:rPr>
      </w:pPr>
      <w:r>
        <w:rPr>
          <w:rFonts w:ascii="宋体" w:hAnsi="宋体" w:eastAsia="宋体" w:cs="宋体"/>
          <w:sz w:val="18"/>
          <w:szCs w:val="18"/>
        </w:rPr>
        <w:t>本企业子公司的情况详见附注“九、在其他主体中的权益”。</w:t>
      </w:r>
    </w:p>
    <w:p>
      <w:pPr>
        <w:keepNext/>
        <w:keepLines/>
        <w:spacing w:before="300" w:after="300" w:line="280" w:lineRule="exact"/>
        <w:jc w:val="left"/>
        <w:outlineLvl w:val="2"/>
        <w:rPr>
          <w:rFonts w:ascii="宋体" w:hAnsi="宋体" w:eastAsia="宋体" w:cs="宋体"/>
          <w:b/>
          <w:bCs/>
          <w:sz w:val="21"/>
          <w:szCs w:val="21"/>
        </w:rPr>
      </w:pPr>
      <w:bookmarkStart w:id="283" w:name="_Toc989228"/>
      <w:r>
        <w:rPr>
          <w:rFonts w:ascii="宋体" w:hAnsi="宋体" w:eastAsia="宋体" w:cs="宋体"/>
          <w:b/>
          <w:bCs/>
          <w:sz w:val="21"/>
          <w:szCs w:val="21"/>
        </w:rPr>
        <w:t>3、本企业合营和联营企业情况</w:t>
      </w:r>
      <w:bookmarkEnd w:id="283"/>
    </w:p>
    <w:p>
      <w:pPr>
        <w:spacing w:before="40" w:after="40" w:line="240" w:lineRule="exact"/>
        <w:jc w:val="left"/>
        <w:rPr>
          <w:rFonts w:ascii="宋体" w:hAnsi="宋体" w:eastAsia="宋体" w:cs="宋体"/>
          <w:sz w:val="18"/>
          <w:szCs w:val="18"/>
        </w:rPr>
      </w:pPr>
      <w:r>
        <w:rPr>
          <w:rFonts w:ascii="宋体" w:hAnsi="宋体" w:eastAsia="宋体" w:cs="宋体"/>
          <w:sz w:val="18"/>
          <w:szCs w:val="18"/>
        </w:rPr>
        <w:t>本企业重要的合营或联营企业详见附注“九、在其他主体中的权益”。</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本期与本公司发生关联方交易，或前期与本公司发生关联方交易形成余额的其他合营或联营企业情况如下：</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合营或联营企业名称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与本企业关系</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84" w:name="_Toc989229"/>
      <w:r>
        <w:rPr>
          <w:rFonts w:ascii="宋体" w:hAnsi="宋体" w:eastAsia="宋体" w:cs="宋体"/>
          <w:b/>
          <w:bCs/>
          <w:sz w:val="21"/>
          <w:szCs w:val="21"/>
        </w:rPr>
        <w:t>4、其他关联方情况</w:t>
      </w:r>
      <w:bookmarkEnd w:id="284"/>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其他关联方名称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其他关联方与本企业关系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湖南第一工业设计研究院有限公司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85" w:name="_Toc989230"/>
      <w:r>
        <w:rPr>
          <w:rFonts w:ascii="宋体" w:hAnsi="宋体" w:eastAsia="宋体" w:cs="宋体"/>
          <w:b/>
          <w:bCs/>
          <w:sz w:val="21"/>
          <w:szCs w:val="21"/>
        </w:rPr>
        <w:t>5、关联交易情况</w:t>
      </w:r>
      <w:bookmarkEnd w:id="285"/>
    </w:p>
    <w:p>
      <w:pPr>
        <w:keepNext/>
        <w:keepLines/>
        <w:spacing w:before="300" w:after="300" w:line="280" w:lineRule="exact"/>
        <w:jc w:val="left"/>
        <w:outlineLvl w:val="3"/>
        <w:rPr>
          <w:rFonts w:ascii="宋体" w:hAnsi="宋体" w:eastAsia="宋体" w:cs="宋体"/>
          <w:b/>
          <w:bCs/>
          <w:sz w:val="21"/>
          <w:szCs w:val="21"/>
        </w:rPr>
      </w:pPr>
      <w:bookmarkStart w:id="286" w:name="_Toc989231"/>
      <w:r>
        <w:rPr>
          <w:rFonts w:ascii="宋体" w:hAnsi="宋体" w:eastAsia="宋体" w:cs="宋体"/>
          <w:b/>
          <w:bCs/>
          <w:sz w:val="21"/>
          <w:szCs w:val="21"/>
        </w:rPr>
        <w:t>（1） 购销商品、提供和接受劳务的关联交易</w:t>
      </w:r>
      <w:bookmarkEnd w:id="286"/>
    </w:p>
    <w:p>
      <w:pPr>
        <w:spacing w:before="40" w:after="40" w:line="240" w:lineRule="exact"/>
        <w:jc w:val="left"/>
        <w:rPr>
          <w:rFonts w:ascii="宋体" w:hAnsi="宋体" w:eastAsia="宋体" w:cs="宋体"/>
          <w:sz w:val="18"/>
          <w:szCs w:val="18"/>
        </w:rPr>
      </w:pPr>
      <w:r>
        <w:rPr>
          <w:rFonts w:ascii="宋体" w:hAnsi="宋体" w:eastAsia="宋体" w:cs="宋体"/>
          <w:sz w:val="18"/>
          <w:szCs w:val="18"/>
        </w:rPr>
        <w:t>采购商品/接受劳务情况表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获批的交易额度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是否超过交易额度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522,715.00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487,862.77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房屋租赁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21,480.00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55,440.00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湖南第一工业设计研究院有限公司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监理费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864,195.00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703,302.77</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出售商品/提供劳务情况表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设备销售/技术开发等劳务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972,302.40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1,006,514.75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房屋租赁、水电费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4,173.08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5,258.73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房屋租赁、水电费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10,904.50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8,357.75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房屋租赁、水电费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137,227.15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7,021.24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房屋租赁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72,972.38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1,124,607.13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1,100,124.85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购销商品、提供和接受劳务的关联交易说明</w:t>
      </w:r>
    </w:p>
    <w:p>
      <w:pPr>
        <w:keepNext/>
        <w:keepLines/>
        <w:spacing w:before="300" w:after="300" w:line="280" w:lineRule="exact"/>
        <w:jc w:val="left"/>
        <w:outlineLvl w:val="3"/>
        <w:rPr>
          <w:rFonts w:ascii="宋体" w:hAnsi="宋体" w:eastAsia="宋体" w:cs="宋体"/>
          <w:b/>
          <w:bCs/>
          <w:sz w:val="21"/>
          <w:szCs w:val="21"/>
        </w:rPr>
      </w:pPr>
      <w:bookmarkStart w:id="287" w:name="_Toc989237"/>
      <w:r>
        <w:rPr>
          <w:rFonts w:ascii="宋体" w:hAnsi="宋体" w:eastAsia="宋体" w:cs="宋体"/>
          <w:b/>
          <w:bCs/>
          <w:sz w:val="21"/>
          <w:szCs w:val="21"/>
        </w:rPr>
        <w:t>（</w:t>
      </w:r>
      <w:r>
        <w:rPr>
          <w:rFonts w:hint="eastAsia" w:ascii="宋体" w:hAnsi="宋体" w:cs="宋体"/>
          <w:b/>
          <w:bCs/>
          <w:sz w:val="21"/>
          <w:szCs w:val="21"/>
          <w:lang w:val="en-US" w:eastAsia="zh-CN"/>
        </w:rPr>
        <w:t>2</w:t>
      </w:r>
      <w:r>
        <w:rPr>
          <w:rFonts w:ascii="宋体" w:hAnsi="宋体" w:eastAsia="宋体" w:cs="宋体"/>
          <w:b/>
          <w:bCs/>
          <w:sz w:val="21"/>
          <w:szCs w:val="21"/>
        </w:rPr>
        <w:t>） 关键管理人员报酬</w:t>
      </w:r>
      <w:bookmarkEnd w:id="28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关键管理人员报酬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1,110,437.00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1,246,361.00</w:t>
            </w:r>
          </w:p>
        </w:tc>
      </w:tr>
    </w:tbl>
    <w:p>
      <w:pPr>
        <w:keepNext/>
        <w:keepLines/>
        <w:spacing w:before="300" w:after="300" w:line="280" w:lineRule="exact"/>
        <w:jc w:val="left"/>
        <w:outlineLvl w:val="2"/>
        <w:rPr>
          <w:rFonts w:ascii="宋体" w:hAnsi="宋体" w:eastAsia="宋体" w:cs="宋体"/>
          <w:b/>
          <w:bCs/>
          <w:sz w:val="21"/>
          <w:szCs w:val="21"/>
        </w:rPr>
      </w:pPr>
      <w:bookmarkStart w:id="288" w:name="_Toc989238"/>
      <w:r>
        <w:rPr>
          <w:rFonts w:ascii="宋体" w:hAnsi="宋体" w:eastAsia="宋体" w:cs="宋体"/>
          <w:b/>
          <w:bCs/>
          <w:sz w:val="21"/>
          <w:szCs w:val="21"/>
        </w:rPr>
        <w:t>6、关联方应收应付款项</w:t>
      </w:r>
      <w:bookmarkEnd w:id="288"/>
    </w:p>
    <w:p>
      <w:pPr>
        <w:keepNext/>
        <w:keepLines/>
        <w:spacing w:before="300" w:after="300" w:line="280" w:lineRule="exact"/>
        <w:jc w:val="left"/>
        <w:outlineLvl w:val="3"/>
        <w:rPr>
          <w:rFonts w:ascii="宋体" w:hAnsi="宋体" w:eastAsia="宋体" w:cs="宋体"/>
          <w:b/>
          <w:bCs/>
          <w:sz w:val="21"/>
          <w:szCs w:val="21"/>
        </w:rPr>
      </w:pPr>
      <w:bookmarkStart w:id="289" w:name="_Toc989239"/>
      <w:r>
        <w:rPr>
          <w:rFonts w:ascii="宋体" w:hAnsi="宋体" w:eastAsia="宋体" w:cs="宋体"/>
          <w:b/>
          <w:bCs/>
          <w:sz w:val="21"/>
          <w:szCs w:val="21"/>
        </w:rPr>
        <w:t>（1） 应收项目</w:t>
      </w:r>
      <w:bookmarkEnd w:id="28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888"/>
        <w:gridCol w:w="1560"/>
        <w:gridCol w:w="1370"/>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188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93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88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8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17,541,882.25</w:t>
            </w:r>
          </w:p>
        </w:tc>
        <w:tc>
          <w:tcPr>
            <w:tcW w:w="13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5,440,391.60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17,543,512.25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6,789,872.15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8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115.07</w:t>
            </w:r>
          </w:p>
        </w:tc>
        <w:tc>
          <w:tcPr>
            <w:tcW w:w="13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应收账款小计</w:t>
            </w:r>
          </w:p>
        </w:tc>
        <w:tc>
          <w:tcPr>
            <w:tcW w:w="18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17,541,997.32</w:t>
            </w:r>
          </w:p>
        </w:tc>
        <w:tc>
          <w:tcPr>
            <w:tcW w:w="13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5,440,397.35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17,543,512.25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6,789,872.15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18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中南大学粉冶冶金工程中心有限公司</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21,189.76</w:t>
            </w:r>
          </w:p>
        </w:tc>
        <w:tc>
          <w:tcPr>
            <w:tcW w:w="13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1,059.49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18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8,572.00</w:t>
            </w:r>
          </w:p>
        </w:tc>
        <w:tc>
          <w:tcPr>
            <w:tcW w:w="13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其他应收款小计</w:t>
            </w:r>
          </w:p>
        </w:tc>
        <w:tc>
          <w:tcPr>
            <w:tcW w:w="18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29,761.76</w:t>
            </w:r>
          </w:p>
        </w:tc>
        <w:tc>
          <w:tcPr>
            <w:tcW w:w="13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1,059.49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应收关联方款项合计</w:t>
            </w:r>
          </w:p>
        </w:tc>
        <w:tc>
          <w:tcPr>
            <w:tcW w:w="18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17,571,759.08</w:t>
            </w:r>
          </w:p>
        </w:tc>
        <w:tc>
          <w:tcPr>
            <w:tcW w:w="13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5,441,456.84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17,543,512.25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6,789,872.15</w:t>
            </w:r>
          </w:p>
        </w:tc>
      </w:tr>
    </w:tbl>
    <w:p>
      <w:pPr>
        <w:keepNext/>
        <w:keepLines/>
        <w:spacing w:before="300" w:after="300" w:line="280" w:lineRule="exact"/>
        <w:jc w:val="left"/>
        <w:outlineLvl w:val="3"/>
        <w:rPr>
          <w:rFonts w:ascii="宋体" w:hAnsi="宋体" w:eastAsia="宋体" w:cs="宋体"/>
          <w:b/>
          <w:bCs/>
          <w:sz w:val="21"/>
          <w:szCs w:val="21"/>
        </w:rPr>
      </w:pPr>
      <w:bookmarkStart w:id="290" w:name="_Toc989240"/>
      <w:r>
        <w:rPr>
          <w:rFonts w:ascii="宋体" w:hAnsi="宋体" w:eastAsia="宋体" w:cs="宋体"/>
          <w:b/>
          <w:bCs/>
          <w:sz w:val="21"/>
          <w:szCs w:val="21"/>
        </w:rPr>
        <w:t>（2） 应付项目</w:t>
      </w:r>
      <w:bookmarkEnd w:id="29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bookmarkStart w:id="291" w:name="_Toc989241"/>
            <w:r>
              <w:rPr>
                <w:rFonts w:ascii="宋体" w:hAnsi="宋体" w:eastAsia="宋体" w:cs="宋体"/>
                <w:sz w:val="18"/>
                <w:szCs w:val="18"/>
              </w:rPr>
              <w:t>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合同负债</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517,770.69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517,770.69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合同负债小计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517,770.69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517,770.69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277,027.27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58,013.53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湖南第一工业设计研究院有限公司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471,698.11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471,698.11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应付账款小计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748,725.38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529,712.64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其他应付款小计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34,862,200.00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34,863,300.00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应付关联方款项合计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36,133,096.07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35,914,083.33</w:t>
            </w:r>
          </w:p>
        </w:tc>
      </w:tr>
    </w:tbl>
    <w:p>
      <w:pPr>
        <w:keepNext/>
        <w:keepLines/>
        <w:spacing w:before="300" w:after="300" w:line="320" w:lineRule="exact"/>
        <w:jc w:val="left"/>
        <w:outlineLvl w:val="1"/>
        <w:rPr>
          <w:rFonts w:ascii="宋体" w:hAnsi="宋体" w:eastAsia="宋体" w:cs="宋体"/>
          <w:b/>
          <w:bCs/>
          <w:sz w:val="24"/>
          <w:szCs w:val="24"/>
        </w:rPr>
      </w:pPr>
      <w:r>
        <w:rPr>
          <w:rFonts w:ascii="宋体" w:hAnsi="宋体" w:eastAsia="宋体" w:cs="宋体"/>
          <w:b/>
          <w:bCs/>
          <w:sz w:val="24"/>
          <w:szCs w:val="24"/>
        </w:rPr>
        <w:t>十三、承诺及或有事项</w:t>
      </w:r>
      <w:bookmarkEnd w:id="291"/>
    </w:p>
    <w:p>
      <w:pPr>
        <w:keepNext/>
        <w:keepLines/>
        <w:spacing w:before="300" w:after="300" w:line="280" w:lineRule="exact"/>
        <w:jc w:val="left"/>
        <w:outlineLvl w:val="2"/>
        <w:rPr>
          <w:rFonts w:ascii="宋体" w:hAnsi="宋体" w:eastAsia="宋体" w:cs="宋体"/>
          <w:b/>
          <w:bCs/>
          <w:sz w:val="21"/>
          <w:szCs w:val="21"/>
        </w:rPr>
      </w:pPr>
      <w:bookmarkStart w:id="292" w:name="_Toc989242"/>
      <w:r>
        <w:rPr>
          <w:rFonts w:ascii="宋体" w:hAnsi="宋体" w:eastAsia="宋体" w:cs="宋体"/>
          <w:b/>
          <w:bCs/>
          <w:sz w:val="21"/>
          <w:szCs w:val="21"/>
        </w:rPr>
        <w:t>1、重要承诺事项</w:t>
      </w:r>
      <w:bookmarkEnd w:id="292"/>
    </w:p>
    <w:p>
      <w:pPr>
        <w:spacing w:before="100" w:after="100" w:line="240" w:lineRule="exact"/>
        <w:jc w:val="left"/>
        <w:rPr>
          <w:rFonts w:ascii="宋体" w:hAnsi="宋体" w:eastAsia="宋体" w:cs="宋体"/>
          <w:sz w:val="18"/>
          <w:szCs w:val="18"/>
        </w:rPr>
      </w:pPr>
      <w:r>
        <w:rPr>
          <w:rFonts w:ascii="宋体" w:hAnsi="宋体" w:eastAsia="宋体" w:cs="宋体"/>
          <w:sz w:val="18"/>
          <w:szCs w:val="18"/>
        </w:rPr>
        <w:t>资产负债表日存在的重要承诺</w:t>
      </w:r>
    </w:p>
    <w:p>
      <w:pPr>
        <w:pStyle w:val="3"/>
        <w:keepNext w:val="0"/>
        <w:keepLines w:val="0"/>
        <w:widowControl/>
        <w:suppressLineNumbers w:val="0"/>
        <w:spacing w:before="0" w:beforeAutospacing="0" w:after="120"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截至资产负债表日，本公司无需要披露的承诺及或有事项。</w:t>
      </w:r>
    </w:p>
    <w:p>
      <w:pPr>
        <w:keepNext/>
        <w:keepLines/>
        <w:spacing w:before="300" w:after="300" w:line="280" w:lineRule="exact"/>
        <w:jc w:val="left"/>
        <w:outlineLvl w:val="2"/>
        <w:rPr>
          <w:rFonts w:ascii="宋体" w:hAnsi="宋体" w:eastAsia="宋体" w:cs="宋体"/>
          <w:b/>
          <w:bCs/>
          <w:sz w:val="21"/>
          <w:szCs w:val="21"/>
        </w:rPr>
      </w:pPr>
      <w:bookmarkStart w:id="293" w:name="_Toc989243"/>
      <w:r>
        <w:rPr>
          <w:rFonts w:ascii="宋体" w:hAnsi="宋体" w:eastAsia="宋体" w:cs="宋体"/>
          <w:b/>
          <w:bCs/>
          <w:sz w:val="21"/>
          <w:szCs w:val="21"/>
        </w:rPr>
        <w:t>2、或有事项</w:t>
      </w:r>
      <w:bookmarkEnd w:id="293"/>
    </w:p>
    <w:p>
      <w:pPr>
        <w:keepNext/>
        <w:keepLines/>
        <w:spacing w:before="300" w:after="300" w:line="280" w:lineRule="exact"/>
        <w:jc w:val="left"/>
        <w:outlineLvl w:val="3"/>
        <w:rPr>
          <w:rFonts w:ascii="宋体" w:hAnsi="宋体" w:eastAsia="宋体" w:cs="宋体"/>
          <w:b/>
          <w:bCs/>
          <w:sz w:val="21"/>
          <w:szCs w:val="21"/>
        </w:rPr>
      </w:pPr>
      <w:bookmarkStart w:id="294" w:name="_Toc989244"/>
      <w:r>
        <w:rPr>
          <w:rFonts w:ascii="宋体" w:hAnsi="宋体" w:eastAsia="宋体" w:cs="宋体"/>
          <w:b/>
          <w:bCs/>
          <w:sz w:val="21"/>
          <w:szCs w:val="21"/>
        </w:rPr>
        <w:t>（1） 资产负债表日存在的重要或有事项</w:t>
      </w:r>
      <w:bookmarkEnd w:id="294"/>
    </w:p>
    <w:p>
      <w:pPr>
        <w:keepNext/>
        <w:keepLines/>
        <w:spacing w:before="300" w:after="300" w:line="280" w:lineRule="exact"/>
        <w:jc w:val="left"/>
        <w:outlineLvl w:val="3"/>
        <w:rPr>
          <w:rFonts w:ascii="宋体" w:hAnsi="宋体" w:eastAsia="宋体" w:cs="宋体"/>
          <w:b/>
          <w:bCs/>
          <w:sz w:val="21"/>
          <w:szCs w:val="21"/>
        </w:rPr>
      </w:pPr>
      <w:bookmarkStart w:id="295" w:name="_Toc989245"/>
      <w:r>
        <w:rPr>
          <w:rFonts w:ascii="宋体" w:hAnsi="宋体" w:eastAsia="宋体" w:cs="宋体"/>
          <w:b/>
          <w:bCs/>
          <w:sz w:val="21"/>
          <w:szCs w:val="21"/>
        </w:rPr>
        <w:t>（2） 公司没有需要披露的重要或有事项，也应予以说明</w:t>
      </w:r>
      <w:bookmarkEnd w:id="295"/>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公司不存在需要披露的重要或有事项。</w:t>
      </w:r>
    </w:p>
    <w:p>
      <w:pPr>
        <w:keepNext/>
        <w:keepLines/>
        <w:spacing w:before="300" w:after="300" w:line="320" w:lineRule="exact"/>
        <w:jc w:val="left"/>
        <w:outlineLvl w:val="1"/>
        <w:rPr>
          <w:rFonts w:ascii="宋体" w:hAnsi="宋体" w:eastAsia="宋体" w:cs="宋体"/>
          <w:b/>
          <w:bCs/>
          <w:sz w:val="24"/>
          <w:szCs w:val="24"/>
        </w:rPr>
      </w:pPr>
      <w:bookmarkStart w:id="296" w:name="_Toc989246"/>
      <w:r>
        <w:rPr>
          <w:rFonts w:ascii="宋体" w:hAnsi="宋体" w:eastAsia="宋体" w:cs="宋体"/>
          <w:b/>
          <w:bCs/>
          <w:sz w:val="24"/>
          <w:szCs w:val="24"/>
        </w:rPr>
        <w:t>十四、资产负债表日后事项</w:t>
      </w:r>
      <w:bookmarkEnd w:id="296"/>
    </w:p>
    <w:p>
      <w:pPr>
        <w:keepNext/>
        <w:keepLines/>
        <w:spacing w:before="300" w:after="300" w:line="280" w:lineRule="exact"/>
        <w:jc w:val="left"/>
        <w:outlineLvl w:val="2"/>
        <w:rPr>
          <w:rFonts w:ascii="宋体" w:hAnsi="宋体" w:eastAsia="宋体" w:cs="宋体"/>
          <w:b/>
          <w:bCs/>
          <w:sz w:val="21"/>
          <w:szCs w:val="21"/>
        </w:rPr>
      </w:pPr>
      <w:bookmarkStart w:id="297" w:name="_Toc989247"/>
      <w:r>
        <w:rPr>
          <w:rFonts w:ascii="宋体" w:hAnsi="宋体" w:eastAsia="宋体" w:cs="宋体"/>
          <w:b/>
          <w:bCs/>
          <w:sz w:val="21"/>
          <w:szCs w:val="21"/>
        </w:rPr>
        <w:t>1、其他资产负债表日后事项说明</w:t>
      </w:r>
      <w:bookmarkEnd w:id="297"/>
    </w:p>
    <w:p>
      <w:pPr>
        <w:pStyle w:val="3"/>
        <w:keepNext w:val="0"/>
        <w:keepLines w:val="0"/>
        <w:widowControl/>
        <w:suppressLineNumbers w:val="0"/>
        <w:spacing w:before="0" w:beforeAutospacing="0" w:after="120"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截至资产负债表日，本公司无需要披露的承诺及或有事项。</w:t>
      </w:r>
    </w:p>
    <w:p>
      <w:pPr>
        <w:keepNext/>
        <w:keepLines/>
        <w:spacing w:before="300" w:after="300" w:line="320" w:lineRule="exact"/>
        <w:jc w:val="left"/>
        <w:outlineLvl w:val="1"/>
        <w:rPr>
          <w:rFonts w:ascii="宋体" w:hAnsi="宋体" w:eastAsia="宋体" w:cs="宋体"/>
          <w:b/>
          <w:bCs/>
          <w:sz w:val="24"/>
          <w:szCs w:val="24"/>
        </w:rPr>
      </w:pPr>
      <w:bookmarkStart w:id="298" w:name="_Toc989248"/>
      <w:r>
        <w:rPr>
          <w:rFonts w:ascii="宋体" w:hAnsi="宋体" w:eastAsia="宋体" w:cs="宋体"/>
          <w:b/>
          <w:bCs/>
          <w:sz w:val="24"/>
          <w:szCs w:val="24"/>
        </w:rPr>
        <w:t>十五、其他重要事项</w:t>
      </w:r>
      <w:bookmarkEnd w:id="298"/>
    </w:p>
    <w:p>
      <w:pPr>
        <w:keepNext/>
        <w:keepLines/>
        <w:spacing w:before="300" w:after="300" w:line="280" w:lineRule="exact"/>
        <w:jc w:val="left"/>
        <w:outlineLvl w:val="2"/>
        <w:rPr>
          <w:rFonts w:ascii="宋体" w:hAnsi="宋体" w:eastAsia="宋体" w:cs="宋体"/>
          <w:b/>
          <w:bCs/>
          <w:sz w:val="21"/>
          <w:szCs w:val="21"/>
        </w:rPr>
      </w:pPr>
      <w:bookmarkStart w:id="299" w:name="_Toc989249"/>
      <w:r>
        <w:rPr>
          <w:rFonts w:ascii="宋体" w:hAnsi="宋体" w:eastAsia="宋体" w:cs="宋体"/>
          <w:b/>
          <w:bCs/>
          <w:sz w:val="21"/>
          <w:szCs w:val="21"/>
        </w:rPr>
        <w:t>1、分部信息</w:t>
      </w:r>
      <w:bookmarkEnd w:id="299"/>
    </w:p>
    <w:p>
      <w:pPr>
        <w:keepNext/>
        <w:keepLines/>
        <w:spacing w:before="300" w:after="300" w:line="280" w:lineRule="exact"/>
        <w:jc w:val="left"/>
        <w:outlineLvl w:val="3"/>
        <w:rPr>
          <w:rFonts w:ascii="宋体" w:hAnsi="宋体" w:eastAsia="宋体" w:cs="宋体"/>
          <w:b/>
          <w:bCs/>
          <w:sz w:val="21"/>
          <w:szCs w:val="21"/>
        </w:rPr>
      </w:pPr>
      <w:bookmarkStart w:id="300" w:name="_Toc989250"/>
      <w:r>
        <w:rPr>
          <w:rFonts w:ascii="宋体" w:hAnsi="宋体" w:eastAsia="宋体" w:cs="宋体"/>
          <w:b/>
          <w:bCs/>
          <w:sz w:val="21"/>
          <w:szCs w:val="21"/>
        </w:rPr>
        <w:t>（1） 报告分部的确定依据与会计政策</w:t>
      </w:r>
      <w:bookmarkEnd w:id="300"/>
    </w:p>
    <w:p>
      <w:pPr>
        <w:pStyle w:val="3"/>
        <w:keepNext w:val="0"/>
        <w:keepLines w:val="0"/>
        <w:widowControl/>
        <w:suppressLineNumbers w:val="0"/>
        <w:spacing w:before="40" w:beforeAutospacing="0" w:after="120" w:afterAutospacing="0"/>
        <w:ind w:left="0" w:firstLine="360"/>
        <w:jc w:val="left"/>
        <w:rPr>
          <w:rFonts w:hint="eastAsia" w:ascii="宋体" w:hAnsi="宋体" w:eastAsia="宋体" w:cs="宋体"/>
          <w:sz w:val="18"/>
          <w:szCs w:val="18"/>
        </w:rPr>
      </w:pPr>
      <w:r>
        <w:rPr>
          <w:rFonts w:hint="eastAsia" w:ascii="宋体" w:hAnsi="宋体" w:eastAsia="宋体" w:cs="宋体"/>
          <w:sz w:val="18"/>
          <w:szCs w:val="18"/>
        </w:rPr>
        <w:t>本公司业务分航空航天产品及碳</w:t>
      </w:r>
      <w:r>
        <w:rPr>
          <w:rFonts w:hint="default" w:ascii="Times New Roman" w:hAnsi="Times New Roman" w:eastAsia="宋体" w:cs="Times New Roman"/>
          <w:sz w:val="18"/>
          <w:szCs w:val="18"/>
        </w:rPr>
        <w:t>/</w:t>
      </w:r>
      <w:r>
        <w:rPr>
          <w:rFonts w:hint="eastAsia" w:ascii="宋体" w:hAnsi="宋体" w:eastAsia="宋体" w:cs="宋体"/>
          <w:sz w:val="18"/>
          <w:szCs w:val="18"/>
        </w:rPr>
        <w:t>碳复合材料业务粉末冶金业务，因这两种业务具有不同的风险及报酬，故本公司将上述两种业务分成两个分部。</w:t>
      </w:r>
    </w:p>
    <w:p>
      <w:pPr>
        <w:keepNext/>
        <w:keepLines/>
        <w:spacing w:before="300" w:after="300" w:line="280" w:lineRule="exact"/>
        <w:jc w:val="left"/>
        <w:outlineLvl w:val="3"/>
        <w:rPr>
          <w:rFonts w:ascii="宋体" w:hAnsi="宋体" w:eastAsia="宋体" w:cs="宋体"/>
          <w:b/>
          <w:bCs/>
          <w:sz w:val="21"/>
          <w:szCs w:val="21"/>
        </w:rPr>
      </w:pPr>
      <w:bookmarkStart w:id="301" w:name="_Toc989251"/>
      <w:r>
        <w:rPr>
          <w:rFonts w:ascii="宋体" w:hAnsi="宋体" w:eastAsia="宋体" w:cs="宋体"/>
          <w:b/>
          <w:bCs/>
          <w:sz w:val="21"/>
          <w:szCs w:val="21"/>
        </w:rPr>
        <w:t>（2） 报告分部的财务信息</w:t>
      </w:r>
      <w:bookmarkEnd w:id="30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94"/>
        <w:gridCol w:w="1665"/>
        <w:gridCol w:w="1635"/>
        <w:gridCol w:w="1130"/>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航空航天及碳/碳复合材料业务</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粉末冶金业务</w:t>
            </w:r>
          </w:p>
        </w:tc>
        <w:tc>
          <w:tcPr>
            <w:tcW w:w="11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未分配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分部间抵销</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一、对外交易收入</w:t>
            </w:r>
          </w:p>
        </w:tc>
        <w:tc>
          <w:tcPr>
            <w:tcW w:w="16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118,821,720.76</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185,915,229.80</w:t>
            </w:r>
          </w:p>
        </w:tc>
        <w:tc>
          <w:tcPr>
            <w:tcW w:w="11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-11,455,945.09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293,281,005.47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二、分部间交易收入</w:t>
            </w:r>
          </w:p>
        </w:tc>
        <w:tc>
          <w:tcPr>
            <w:tcW w:w="16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三、对联营企业及合营企业的投资收益</w:t>
            </w:r>
          </w:p>
        </w:tc>
        <w:tc>
          <w:tcPr>
            <w:tcW w:w="16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-11,856,775.01</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-11,856,775.01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四、资产减值损失</w:t>
            </w:r>
          </w:p>
        </w:tc>
        <w:tc>
          <w:tcPr>
            <w:tcW w:w="16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-1,450,188.83</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28,480.34</w:t>
            </w:r>
          </w:p>
        </w:tc>
        <w:tc>
          <w:tcPr>
            <w:tcW w:w="11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-1,421,708.49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四、信用减值损失</w:t>
            </w:r>
          </w:p>
        </w:tc>
        <w:tc>
          <w:tcPr>
            <w:tcW w:w="16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-1,575,342.53</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-3,156,603.72</w:t>
            </w:r>
          </w:p>
        </w:tc>
        <w:tc>
          <w:tcPr>
            <w:tcW w:w="11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1,927,008.33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-2,804,937.92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五、折旧费及摊销费</w:t>
            </w:r>
          </w:p>
        </w:tc>
        <w:tc>
          <w:tcPr>
            <w:tcW w:w="16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18,691,158.51</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13,465,271.10</w:t>
            </w:r>
          </w:p>
        </w:tc>
        <w:tc>
          <w:tcPr>
            <w:tcW w:w="11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1,398,356.45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33,554,786.06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六、利润总额（亏损总额）</w:t>
            </w:r>
          </w:p>
        </w:tc>
        <w:tc>
          <w:tcPr>
            <w:tcW w:w="16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2,181,823.74</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17,460,976.34</w:t>
            </w:r>
          </w:p>
        </w:tc>
        <w:tc>
          <w:tcPr>
            <w:tcW w:w="11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1,825,197.01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21,467,997.09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七、所得税费用</w:t>
            </w:r>
          </w:p>
        </w:tc>
        <w:tc>
          <w:tcPr>
            <w:tcW w:w="16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1,561,552.70</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2,401,505.79</w:t>
            </w:r>
          </w:p>
        </w:tc>
        <w:tc>
          <w:tcPr>
            <w:tcW w:w="11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289,051.25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4,252,109.74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八、净利润（净亏损）</w:t>
            </w:r>
          </w:p>
        </w:tc>
        <w:tc>
          <w:tcPr>
            <w:tcW w:w="16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620,271.04</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15,059,470.55</w:t>
            </w:r>
          </w:p>
        </w:tc>
        <w:tc>
          <w:tcPr>
            <w:tcW w:w="11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1,536,145.76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17,215,887.35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九、资产总额</w:t>
            </w:r>
          </w:p>
        </w:tc>
        <w:tc>
          <w:tcPr>
            <w:tcW w:w="16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2,960,804,264.29</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1,204,499,297.79</w:t>
            </w:r>
          </w:p>
        </w:tc>
        <w:tc>
          <w:tcPr>
            <w:tcW w:w="11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-1,494,807,191.57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2,670,496,370.51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十、负债总额</w:t>
            </w:r>
          </w:p>
        </w:tc>
        <w:tc>
          <w:tcPr>
            <w:tcW w:w="16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664,710,383.66</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199,551,398.74</w:t>
            </w:r>
          </w:p>
        </w:tc>
        <w:tc>
          <w:tcPr>
            <w:tcW w:w="11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-288,668,274.04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575,593,508.36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十一、其他重要的非现金项目</w:t>
            </w:r>
          </w:p>
        </w:tc>
        <w:tc>
          <w:tcPr>
            <w:tcW w:w="16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1、折旧费和摊销费以外的其他非现金费用</w:t>
            </w:r>
          </w:p>
        </w:tc>
        <w:tc>
          <w:tcPr>
            <w:tcW w:w="16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-3,025,531.36</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-3,128,123.38</w:t>
            </w:r>
          </w:p>
        </w:tc>
        <w:tc>
          <w:tcPr>
            <w:tcW w:w="11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1,927,008.33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-4,226,646.41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2、对联营企业和合营企业的长期股权投资</w:t>
            </w:r>
          </w:p>
        </w:tc>
        <w:tc>
          <w:tcPr>
            <w:tcW w:w="16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43,979,096.79</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43,979,096.79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3、长期股权投资以外的其他非流动资产增加额</w:t>
            </w:r>
          </w:p>
        </w:tc>
        <w:tc>
          <w:tcPr>
            <w:tcW w:w="16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-4,938,144.38</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108,283,797.43</w:t>
            </w:r>
          </w:p>
        </w:tc>
        <w:tc>
          <w:tcPr>
            <w:tcW w:w="11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-48,921,130.54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54,424,522.51</w:t>
            </w:r>
          </w:p>
        </w:tc>
      </w:tr>
    </w:tbl>
    <w:p>
      <w:pPr>
        <w:keepNext/>
        <w:keepLines/>
        <w:spacing w:before="300" w:after="300" w:line="280" w:lineRule="exact"/>
        <w:jc w:val="left"/>
        <w:outlineLvl w:val="3"/>
        <w:rPr>
          <w:rFonts w:ascii="宋体" w:hAnsi="宋体" w:eastAsia="宋体" w:cs="宋体"/>
          <w:b/>
          <w:bCs/>
          <w:sz w:val="21"/>
          <w:szCs w:val="21"/>
        </w:rPr>
      </w:pPr>
      <w:bookmarkStart w:id="302" w:name="_Toc989252"/>
      <w:r>
        <w:rPr>
          <w:rFonts w:ascii="宋体" w:hAnsi="宋体" w:eastAsia="宋体" w:cs="宋体"/>
          <w:b/>
          <w:bCs/>
          <w:sz w:val="21"/>
          <w:szCs w:val="21"/>
        </w:rPr>
        <w:t>（3） 公司无报告分部的，或者不能披露各报告分部的资产总额和负债总额的，应说明原因</w:t>
      </w:r>
      <w:bookmarkEnd w:id="302"/>
    </w:p>
    <w:p>
      <w:pPr>
        <w:keepNext/>
        <w:keepLines/>
        <w:spacing w:before="300" w:after="300" w:line="280" w:lineRule="exact"/>
        <w:jc w:val="left"/>
        <w:outlineLvl w:val="3"/>
        <w:rPr>
          <w:rFonts w:ascii="宋体" w:hAnsi="宋体" w:eastAsia="宋体" w:cs="宋体"/>
          <w:b/>
          <w:bCs/>
          <w:sz w:val="21"/>
          <w:szCs w:val="21"/>
        </w:rPr>
      </w:pPr>
      <w:bookmarkStart w:id="303" w:name="_Toc989253"/>
      <w:r>
        <w:rPr>
          <w:rFonts w:ascii="宋体" w:hAnsi="宋体" w:eastAsia="宋体" w:cs="宋体"/>
          <w:b/>
          <w:bCs/>
          <w:sz w:val="21"/>
          <w:szCs w:val="21"/>
        </w:rPr>
        <w:t>（4） 其他说明</w:t>
      </w:r>
      <w:bookmarkEnd w:id="303"/>
    </w:p>
    <w:p>
      <w:pPr>
        <w:keepNext/>
        <w:keepLines/>
        <w:spacing w:before="300" w:after="300" w:line="280" w:lineRule="exact"/>
        <w:jc w:val="left"/>
        <w:outlineLvl w:val="2"/>
        <w:rPr>
          <w:rFonts w:ascii="宋体" w:hAnsi="宋体" w:eastAsia="宋体" w:cs="宋体"/>
          <w:b/>
          <w:bCs/>
          <w:sz w:val="21"/>
          <w:szCs w:val="21"/>
        </w:rPr>
      </w:pPr>
      <w:bookmarkStart w:id="304" w:name="_Toc989254"/>
      <w:r>
        <w:rPr>
          <w:rFonts w:ascii="宋体" w:hAnsi="宋体" w:eastAsia="宋体" w:cs="宋体"/>
          <w:b/>
          <w:bCs/>
          <w:sz w:val="21"/>
          <w:szCs w:val="21"/>
        </w:rPr>
        <w:t>2、担保、抵押情况</w:t>
      </w:r>
      <w:bookmarkEnd w:id="304"/>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1、为子公司湖南博云东方粉末冶金有限公司提供的担保</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w:t>
      </w:r>
      <w:r>
        <w:rPr>
          <w:rFonts w:hint="default" w:ascii="Times New Roman" w:hAnsi="Times New Roman" w:eastAsia="宋体" w:cs="Times New Roman"/>
          <w:sz w:val="21"/>
          <w:szCs w:val="21"/>
        </w:rPr>
        <w:t>1</w:t>
      </w:r>
      <w:r>
        <w:rPr>
          <w:rFonts w:hint="eastAsia" w:ascii="宋体" w:hAnsi="宋体" w:eastAsia="宋体" w:cs="宋体"/>
          <w:sz w:val="21"/>
          <w:szCs w:val="21"/>
        </w:rPr>
        <w:t>）</w:t>
      </w:r>
      <w:r>
        <w:rPr>
          <w:rFonts w:hint="default" w:ascii="Times New Roman" w:hAnsi="Times New Roman" w:eastAsia="宋体" w:cs="Times New Roman"/>
          <w:sz w:val="21"/>
          <w:szCs w:val="21"/>
        </w:rPr>
        <w:t>2020</w:t>
      </w:r>
      <w:r>
        <w:rPr>
          <w:rFonts w:hint="eastAsia" w:ascii="宋体" w:hAnsi="宋体" w:eastAsia="宋体" w:cs="宋体"/>
          <w:sz w:val="21"/>
          <w:szCs w:val="21"/>
        </w:rPr>
        <w:t>年</w:t>
      </w:r>
      <w:r>
        <w:rPr>
          <w:rFonts w:hint="default" w:ascii="Times New Roman" w:hAnsi="Times New Roman" w:eastAsia="宋体" w:cs="Times New Roman"/>
          <w:sz w:val="21"/>
          <w:szCs w:val="21"/>
        </w:rPr>
        <w:t>8</w:t>
      </w:r>
      <w:r>
        <w:rPr>
          <w:rFonts w:hint="eastAsia" w:ascii="宋体" w:hAnsi="宋体" w:eastAsia="宋体" w:cs="宋体"/>
          <w:sz w:val="21"/>
          <w:szCs w:val="21"/>
        </w:rPr>
        <w:t>月</w:t>
      </w:r>
      <w:r>
        <w:rPr>
          <w:rFonts w:hint="default" w:ascii="Times New Roman" w:hAnsi="Times New Roman" w:eastAsia="宋体" w:cs="Times New Roman"/>
          <w:sz w:val="21"/>
          <w:szCs w:val="21"/>
        </w:rPr>
        <w:t>21</w:t>
      </w:r>
      <w:r>
        <w:rPr>
          <w:rFonts w:hint="eastAsia" w:ascii="宋体" w:hAnsi="宋体" w:eastAsia="宋体" w:cs="宋体"/>
          <w:sz w:val="21"/>
          <w:szCs w:val="21"/>
        </w:rPr>
        <w:t>日，本公司与中国建设银行股份有限公司长沙河西支行签订了编号为</w:t>
      </w:r>
      <w:r>
        <w:rPr>
          <w:rFonts w:hint="default" w:ascii="Times New Roman" w:hAnsi="Times New Roman" w:eastAsia="宋体" w:cs="Times New Roman"/>
          <w:sz w:val="21"/>
          <w:szCs w:val="21"/>
        </w:rPr>
        <w:t>"HTC430783700ZGDB202000003"</w:t>
      </w:r>
      <w:r>
        <w:rPr>
          <w:rFonts w:hint="eastAsia" w:ascii="宋体" w:hAnsi="宋体" w:eastAsia="宋体" w:cs="宋体"/>
          <w:sz w:val="21"/>
          <w:szCs w:val="21"/>
        </w:rPr>
        <w:t>最高额保证合同，为中国建设银行股份有限公司长沙河西支行向本公司子公司湖南博云东方粉末冶金有限公司提供的最高额度为</w:t>
      </w:r>
      <w:r>
        <w:rPr>
          <w:rFonts w:hint="default" w:ascii="Times New Roman" w:hAnsi="Times New Roman" w:eastAsia="宋体" w:cs="Times New Roman"/>
          <w:sz w:val="21"/>
          <w:szCs w:val="21"/>
        </w:rPr>
        <w:t>4,000</w:t>
      </w:r>
      <w:r>
        <w:rPr>
          <w:rFonts w:hint="eastAsia" w:ascii="宋体" w:hAnsi="宋体" w:eastAsia="宋体" w:cs="宋体"/>
          <w:sz w:val="21"/>
          <w:szCs w:val="21"/>
        </w:rPr>
        <w:t>万元人民币的授信提供连带责任保证，授信期间为</w:t>
      </w:r>
      <w:r>
        <w:rPr>
          <w:rFonts w:hint="default" w:ascii="Times New Roman" w:hAnsi="Times New Roman" w:eastAsia="宋体" w:cs="Times New Roman"/>
          <w:sz w:val="21"/>
          <w:szCs w:val="21"/>
        </w:rPr>
        <w:t>2020</w:t>
      </w:r>
      <w:r>
        <w:rPr>
          <w:rFonts w:hint="eastAsia" w:ascii="宋体" w:hAnsi="宋体" w:eastAsia="宋体" w:cs="宋体"/>
          <w:sz w:val="21"/>
          <w:szCs w:val="21"/>
        </w:rPr>
        <w:t>年</w:t>
      </w:r>
      <w:r>
        <w:rPr>
          <w:rFonts w:hint="default" w:ascii="Times New Roman" w:hAnsi="Times New Roman" w:eastAsia="宋体" w:cs="Times New Roman"/>
          <w:sz w:val="21"/>
          <w:szCs w:val="21"/>
        </w:rPr>
        <w:t>8</w:t>
      </w:r>
      <w:r>
        <w:rPr>
          <w:rFonts w:hint="eastAsia" w:ascii="宋体" w:hAnsi="宋体" w:eastAsia="宋体" w:cs="宋体"/>
          <w:sz w:val="21"/>
          <w:szCs w:val="21"/>
        </w:rPr>
        <w:t>月</w:t>
      </w:r>
      <w:r>
        <w:rPr>
          <w:rFonts w:hint="default" w:ascii="Times New Roman" w:hAnsi="Times New Roman" w:eastAsia="宋体" w:cs="Times New Roman"/>
          <w:sz w:val="21"/>
          <w:szCs w:val="21"/>
        </w:rPr>
        <w:t>21</w:t>
      </w:r>
      <w:r>
        <w:rPr>
          <w:rFonts w:hint="eastAsia" w:ascii="宋体" w:hAnsi="宋体" w:eastAsia="宋体" w:cs="宋体"/>
          <w:sz w:val="21"/>
          <w:szCs w:val="21"/>
        </w:rPr>
        <w:t>日至</w:t>
      </w:r>
      <w:r>
        <w:rPr>
          <w:rFonts w:hint="default" w:ascii="Times New Roman" w:hAnsi="Times New Roman" w:eastAsia="宋体" w:cs="Times New Roman"/>
          <w:sz w:val="21"/>
          <w:szCs w:val="21"/>
        </w:rPr>
        <w:t>2025</w:t>
      </w:r>
      <w:r>
        <w:rPr>
          <w:rFonts w:hint="eastAsia" w:ascii="宋体" w:hAnsi="宋体" w:eastAsia="宋体" w:cs="宋体"/>
          <w:sz w:val="21"/>
          <w:szCs w:val="21"/>
        </w:rPr>
        <w:t>年</w:t>
      </w:r>
      <w:r>
        <w:rPr>
          <w:rFonts w:hint="default" w:ascii="Times New Roman" w:hAnsi="Times New Roman" w:eastAsia="宋体" w:cs="Times New Roman"/>
          <w:sz w:val="21"/>
          <w:szCs w:val="21"/>
        </w:rPr>
        <w:t>8</w:t>
      </w:r>
      <w:r>
        <w:rPr>
          <w:rFonts w:hint="eastAsia" w:ascii="宋体" w:hAnsi="宋体" w:eastAsia="宋体" w:cs="宋体"/>
          <w:sz w:val="21"/>
          <w:szCs w:val="21"/>
        </w:rPr>
        <w:t>月</w:t>
      </w:r>
      <w:r>
        <w:rPr>
          <w:rFonts w:hint="default" w:ascii="Times New Roman" w:hAnsi="Times New Roman" w:eastAsia="宋体" w:cs="Times New Roman"/>
          <w:sz w:val="21"/>
          <w:szCs w:val="21"/>
        </w:rPr>
        <w:t>21</w:t>
      </w:r>
      <w:r>
        <w:rPr>
          <w:rFonts w:hint="eastAsia" w:ascii="宋体" w:hAnsi="宋体" w:eastAsia="宋体" w:cs="宋体"/>
          <w:sz w:val="21"/>
          <w:szCs w:val="21"/>
        </w:rPr>
        <w:t>日。</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截至</w:t>
      </w:r>
      <w:r>
        <w:rPr>
          <w:rFonts w:hint="default" w:ascii="Times New Roman" w:hAnsi="Times New Roman" w:eastAsia="宋体" w:cs="Times New Roman"/>
          <w:sz w:val="21"/>
          <w:szCs w:val="21"/>
        </w:rPr>
        <w:t>202</w:t>
      </w:r>
      <w:r>
        <w:rPr>
          <w:rFonts w:hint="eastAsia" w:ascii="宋体" w:hAnsi="宋体" w:eastAsia="宋体" w:cs="宋体"/>
          <w:sz w:val="21"/>
          <w:szCs w:val="21"/>
        </w:rPr>
        <w:t>2年6月</w:t>
      </w:r>
      <w:r>
        <w:rPr>
          <w:rFonts w:hint="default" w:ascii="Times New Roman" w:hAnsi="Times New Roman" w:eastAsia="宋体" w:cs="Times New Roman"/>
          <w:sz w:val="21"/>
          <w:szCs w:val="21"/>
        </w:rPr>
        <w:t>3</w:t>
      </w:r>
      <w:r>
        <w:rPr>
          <w:rFonts w:hint="eastAsia" w:ascii="宋体" w:hAnsi="宋体" w:eastAsia="宋体" w:cs="宋体"/>
          <w:sz w:val="21"/>
          <w:szCs w:val="21"/>
        </w:rPr>
        <w:t>0日，本公司子公司湖南博云东方粉末冶金有限公司在该行借款余额为</w:t>
      </w:r>
      <w:r>
        <w:rPr>
          <w:rFonts w:hint="default" w:ascii="Times New Roman" w:hAnsi="Times New Roman" w:eastAsia="宋体" w:cs="Times New Roman"/>
          <w:sz w:val="21"/>
          <w:szCs w:val="21"/>
        </w:rPr>
        <w:t>3,9</w:t>
      </w:r>
      <w:r>
        <w:rPr>
          <w:rFonts w:hint="eastAsia" w:ascii="宋体" w:hAnsi="宋体" w:eastAsia="宋体" w:cs="宋体"/>
          <w:sz w:val="21"/>
          <w:szCs w:val="21"/>
        </w:rPr>
        <w:t>6</w:t>
      </w:r>
      <w:r>
        <w:rPr>
          <w:rFonts w:hint="default" w:ascii="Times New Roman" w:hAnsi="Times New Roman" w:eastAsia="宋体" w:cs="Times New Roman"/>
          <w:sz w:val="21"/>
          <w:szCs w:val="21"/>
        </w:rPr>
        <w:t>0</w:t>
      </w:r>
      <w:r>
        <w:rPr>
          <w:rFonts w:hint="eastAsia" w:ascii="宋体" w:hAnsi="宋体" w:eastAsia="宋体" w:cs="宋体"/>
          <w:sz w:val="21"/>
          <w:szCs w:val="21"/>
        </w:rPr>
        <w:t>万元。</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w:t>
      </w:r>
      <w:r>
        <w:rPr>
          <w:rFonts w:hint="default" w:ascii="Times New Roman" w:hAnsi="Times New Roman" w:eastAsia="宋体" w:cs="Times New Roman"/>
          <w:sz w:val="21"/>
          <w:szCs w:val="21"/>
        </w:rPr>
        <w:t>2</w:t>
      </w:r>
      <w:r>
        <w:rPr>
          <w:rFonts w:hint="eastAsia" w:ascii="宋体" w:hAnsi="宋体" w:eastAsia="宋体" w:cs="宋体"/>
          <w:sz w:val="21"/>
          <w:szCs w:val="21"/>
        </w:rPr>
        <w:t>）</w:t>
      </w:r>
      <w:r>
        <w:rPr>
          <w:rFonts w:hint="default" w:ascii="Times New Roman" w:hAnsi="Times New Roman" w:eastAsia="宋体" w:cs="Times New Roman"/>
          <w:sz w:val="21"/>
          <w:szCs w:val="21"/>
        </w:rPr>
        <w:t>202</w:t>
      </w:r>
      <w:r>
        <w:rPr>
          <w:rFonts w:hint="eastAsia" w:ascii="宋体" w:hAnsi="宋体" w:eastAsia="宋体" w:cs="宋体"/>
          <w:sz w:val="21"/>
          <w:szCs w:val="21"/>
        </w:rPr>
        <w:t>2年4月</w:t>
      </w:r>
      <w:r>
        <w:rPr>
          <w:rFonts w:hint="default" w:ascii="Times New Roman" w:hAnsi="Times New Roman" w:eastAsia="宋体" w:cs="Times New Roman"/>
          <w:sz w:val="21"/>
          <w:szCs w:val="21"/>
        </w:rPr>
        <w:t>26</w:t>
      </w:r>
      <w:r>
        <w:rPr>
          <w:rFonts w:hint="eastAsia" w:ascii="宋体" w:hAnsi="宋体" w:eastAsia="宋体" w:cs="宋体"/>
          <w:sz w:val="21"/>
          <w:szCs w:val="21"/>
        </w:rPr>
        <w:t>日，本公司与上海浦东发展银行股份有限公司长沙分行签订了编号为</w:t>
      </w:r>
      <w:r>
        <w:rPr>
          <w:rFonts w:hint="default" w:ascii="Times New Roman" w:hAnsi="Times New Roman" w:eastAsia="宋体" w:cs="Times New Roman"/>
          <w:sz w:val="21"/>
          <w:szCs w:val="21"/>
        </w:rPr>
        <w:t>"</w:t>
      </w:r>
      <w:r>
        <w:rPr>
          <w:rFonts w:hint="eastAsia" w:ascii="宋体" w:hAnsi="宋体" w:eastAsia="宋体" w:cs="宋体"/>
          <w:sz w:val="21"/>
          <w:szCs w:val="21"/>
        </w:rPr>
        <w:t>ZB6622202200000004</w:t>
      </w:r>
      <w:r>
        <w:rPr>
          <w:rFonts w:hint="default" w:ascii="Times New Roman" w:hAnsi="Times New Roman" w:eastAsia="宋体" w:cs="Times New Roman"/>
          <w:sz w:val="21"/>
          <w:szCs w:val="21"/>
        </w:rPr>
        <w:t>"</w:t>
      </w:r>
      <w:r>
        <w:rPr>
          <w:rFonts w:hint="eastAsia" w:ascii="宋体" w:hAnsi="宋体" w:eastAsia="宋体" w:cs="宋体"/>
          <w:sz w:val="21"/>
          <w:szCs w:val="21"/>
        </w:rPr>
        <w:t>的最高额保证合同，为上海浦东发展银行股份有限公司长沙分行向本公司子公司湖南博云东方粉末冶金有限公司提供的最高额度为5,</w:t>
      </w:r>
      <w:r>
        <w:rPr>
          <w:rFonts w:hint="default" w:ascii="Times New Roman" w:hAnsi="Times New Roman" w:eastAsia="宋体" w:cs="Times New Roman"/>
          <w:sz w:val="21"/>
          <w:szCs w:val="21"/>
        </w:rPr>
        <w:t>000</w:t>
      </w:r>
      <w:r>
        <w:rPr>
          <w:rFonts w:hint="eastAsia" w:ascii="宋体" w:hAnsi="宋体" w:eastAsia="宋体" w:cs="宋体"/>
          <w:sz w:val="21"/>
          <w:szCs w:val="21"/>
        </w:rPr>
        <w:t>万元人民币的授信提供连带责任保证，授信期间为</w:t>
      </w:r>
      <w:r>
        <w:rPr>
          <w:rFonts w:hint="default" w:ascii="Times New Roman" w:hAnsi="Times New Roman" w:eastAsia="宋体" w:cs="Times New Roman"/>
          <w:sz w:val="21"/>
          <w:szCs w:val="21"/>
        </w:rPr>
        <w:t>202</w:t>
      </w:r>
      <w:r>
        <w:rPr>
          <w:rFonts w:hint="eastAsia" w:ascii="宋体" w:hAnsi="宋体" w:eastAsia="宋体" w:cs="宋体"/>
          <w:sz w:val="21"/>
          <w:szCs w:val="21"/>
        </w:rPr>
        <w:t>2年4月</w:t>
      </w:r>
      <w:r>
        <w:rPr>
          <w:rFonts w:hint="default" w:ascii="Times New Roman" w:hAnsi="Times New Roman" w:eastAsia="宋体" w:cs="Times New Roman"/>
          <w:sz w:val="21"/>
          <w:szCs w:val="21"/>
        </w:rPr>
        <w:t>26</w:t>
      </w:r>
      <w:r>
        <w:rPr>
          <w:rFonts w:hint="eastAsia" w:ascii="宋体" w:hAnsi="宋体" w:eastAsia="宋体" w:cs="宋体"/>
          <w:sz w:val="21"/>
          <w:szCs w:val="21"/>
        </w:rPr>
        <w:t>日至</w:t>
      </w:r>
      <w:r>
        <w:rPr>
          <w:rFonts w:hint="default" w:ascii="Times New Roman" w:hAnsi="Times New Roman" w:eastAsia="宋体" w:cs="Times New Roman"/>
          <w:sz w:val="21"/>
          <w:szCs w:val="21"/>
        </w:rPr>
        <w:t>202</w:t>
      </w:r>
      <w:r>
        <w:rPr>
          <w:rFonts w:hint="eastAsia" w:ascii="宋体" w:hAnsi="宋体" w:eastAsia="宋体" w:cs="宋体"/>
          <w:sz w:val="21"/>
          <w:szCs w:val="21"/>
        </w:rPr>
        <w:t>3年4月</w:t>
      </w:r>
      <w:r>
        <w:rPr>
          <w:rFonts w:hint="default" w:ascii="Times New Roman" w:hAnsi="Times New Roman" w:eastAsia="宋体" w:cs="Times New Roman"/>
          <w:sz w:val="21"/>
          <w:szCs w:val="21"/>
        </w:rPr>
        <w:t>2</w:t>
      </w:r>
      <w:r>
        <w:rPr>
          <w:rFonts w:hint="eastAsia" w:ascii="宋体" w:hAnsi="宋体" w:eastAsia="宋体" w:cs="宋体"/>
          <w:sz w:val="21"/>
          <w:szCs w:val="21"/>
        </w:rPr>
        <w:t>6日。</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截至</w:t>
      </w:r>
      <w:r>
        <w:rPr>
          <w:rFonts w:hint="default" w:ascii="Times New Roman" w:hAnsi="Times New Roman" w:eastAsia="宋体" w:cs="Times New Roman"/>
          <w:sz w:val="21"/>
          <w:szCs w:val="21"/>
        </w:rPr>
        <w:t>202</w:t>
      </w:r>
      <w:r>
        <w:rPr>
          <w:rFonts w:hint="eastAsia" w:ascii="宋体" w:hAnsi="宋体" w:eastAsia="宋体" w:cs="宋体"/>
          <w:sz w:val="21"/>
          <w:szCs w:val="21"/>
        </w:rPr>
        <w:t>2年6月</w:t>
      </w:r>
      <w:r>
        <w:rPr>
          <w:rFonts w:hint="default" w:ascii="Times New Roman" w:hAnsi="Times New Roman" w:eastAsia="宋体" w:cs="Times New Roman"/>
          <w:sz w:val="21"/>
          <w:szCs w:val="21"/>
        </w:rPr>
        <w:t>3</w:t>
      </w:r>
      <w:r>
        <w:rPr>
          <w:rFonts w:hint="eastAsia" w:ascii="宋体" w:hAnsi="宋体" w:eastAsia="宋体" w:cs="宋体"/>
          <w:sz w:val="21"/>
          <w:szCs w:val="21"/>
        </w:rPr>
        <w:t>0日，本公司子公司湖南博云东方粉末冶金有限公司在该行借款短期借款余额为</w:t>
      </w:r>
      <w:r>
        <w:rPr>
          <w:rFonts w:hint="default" w:ascii="Times New Roman" w:hAnsi="Times New Roman" w:eastAsia="宋体" w:cs="Times New Roman"/>
          <w:sz w:val="21"/>
          <w:szCs w:val="21"/>
        </w:rPr>
        <w:t>0</w:t>
      </w:r>
      <w:r>
        <w:rPr>
          <w:rFonts w:hint="eastAsia" w:ascii="宋体" w:hAnsi="宋体" w:eastAsia="宋体" w:cs="宋体"/>
          <w:sz w:val="21"/>
          <w:szCs w:val="21"/>
        </w:rPr>
        <w:t>元。</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w:t>
      </w:r>
      <w:r>
        <w:rPr>
          <w:rFonts w:hint="default" w:ascii="Times New Roman" w:hAnsi="Times New Roman" w:eastAsia="宋体" w:cs="Times New Roman"/>
          <w:sz w:val="21"/>
          <w:szCs w:val="21"/>
        </w:rPr>
        <w:t>3</w:t>
      </w:r>
      <w:r>
        <w:rPr>
          <w:rFonts w:hint="eastAsia" w:ascii="宋体" w:hAnsi="宋体" w:eastAsia="宋体" w:cs="宋体"/>
          <w:sz w:val="21"/>
          <w:szCs w:val="21"/>
        </w:rPr>
        <w:t>）</w:t>
      </w:r>
      <w:r>
        <w:rPr>
          <w:rFonts w:hint="default" w:ascii="Times New Roman" w:hAnsi="Times New Roman" w:eastAsia="宋体" w:cs="Times New Roman"/>
          <w:sz w:val="21"/>
          <w:szCs w:val="21"/>
        </w:rPr>
        <w:t>2021</w:t>
      </w:r>
      <w:r>
        <w:rPr>
          <w:rFonts w:hint="eastAsia" w:ascii="宋体" w:hAnsi="宋体" w:eastAsia="宋体" w:cs="宋体"/>
          <w:sz w:val="21"/>
          <w:szCs w:val="21"/>
        </w:rPr>
        <w:t>年</w:t>
      </w:r>
      <w:r>
        <w:rPr>
          <w:rFonts w:hint="default" w:ascii="Times New Roman" w:hAnsi="Times New Roman" w:eastAsia="宋体" w:cs="Times New Roman"/>
          <w:sz w:val="21"/>
          <w:szCs w:val="21"/>
        </w:rPr>
        <w:t>6</w:t>
      </w:r>
      <w:r>
        <w:rPr>
          <w:rFonts w:hint="eastAsia" w:ascii="宋体" w:hAnsi="宋体" w:eastAsia="宋体" w:cs="宋体"/>
          <w:sz w:val="21"/>
          <w:szCs w:val="21"/>
        </w:rPr>
        <w:t>月</w:t>
      </w:r>
      <w:r>
        <w:rPr>
          <w:rFonts w:hint="default" w:ascii="Times New Roman" w:hAnsi="Times New Roman" w:eastAsia="宋体" w:cs="Times New Roman"/>
          <w:sz w:val="21"/>
          <w:szCs w:val="21"/>
        </w:rPr>
        <w:t>30</w:t>
      </w:r>
      <w:r>
        <w:rPr>
          <w:rFonts w:hint="eastAsia" w:ascii="宋体" w:hAnsi="宋体" w:eastAsia="宋体" w:cs="宋体"/>
          <w:sz w:val="21"/>
          <w:szCs w:val="21"/>
        </w:rPr>
        <w:t>日，本公司与兴业银行股份有限公司长沙分行签订了编号为“</w:t>
      </w:r>
      <w:r>
        <w:rPr>
          <w:rFonts w:hint="default" w:ascii="Times New Roman" w:hAnsi="Times New Roman" w:eastAsia="宋体" w:cs="Times New Roman"/>
          <w:sz w:val="21"/>
          <w:szCs w:val="21"/>
        </w:rPr>
        <w:t>362021100082</w:t>
      </w:r>
      <w:r>
        <w:rPr>
          <w:rFonts w:hint="eastAsia" w:ascii="宋体" w:hAnsi="宋体" w:eastAsia="宋体" w:cs="宋体"/>
          <w:sz w:val="21"/>
          <w:szCs w:val="21"/>
        </w:rPr>
        <w:t>”的最高额保证合同，为兴业银行股份有限公司长沙分行向公司子公司湖南博云东方粉末冶金有限公司提供的额度为</w:t>
      </w:r>
      <w:r>
        <w:rPr>
          <w:rFonts w:hint="default" w:ascii="Times New Roman" w:hAnsi="Times New Roman" w:eastAsia="宋体" w:cs="Times New Roman"/>
          <w:sz w:val="21"/>
          <w:szCs w:val="21"/>
        </w:rPr>
        <w:t>6</w:t>
      </w:r>
      <w:r>
        <w:rPr>
          <w:rFonts w:hint="eastAsia" w:ascii="宋体" w:hAnsi="宋体" w:eastAsia="宋体" w:cs="宋体"/>
          <w:sz w:val="21"/>
          <w:szCs w:val="21"/>
        </w:rPr>
        <w:t>,</w:t>
      </w:r>
      <w:r>
        <w:rPr>
          <w:rFonts w:hint="default" w:ascii="Times New Roman" w:hAnsi="Times New Roman" w:eastAsia="宋体" w:cs="Times New Roman"/>
          <w:sz w:val="21"/>
          <w:szCs w:val="21"/>
        </w:rPr>
        <w:t>000</w:t>
      </w:r>
      <w:r>
        <w:rPr>
          <w:rFonts w:hint="eastAsia" w:ascii="宋体" w:hAnsi="宋体" w:eastAsia="宋体" w:cs="宋体"/>
          <w:sz w:val="21"/>
          <w:szCs w:val="21"/>
        </w:rPr>
        <w:t>万元的授信提供连带责任保证，授信期间为</w:t>
      </w:r>
      <w:r>
        <w:rPr>
          <w:rFonts w:hint="default" w:ascii="Times New Roman" w:hAnsi="Times New Roman" w:eastAsia="宋体" w:cs="Times New Roman"/>
          <w:sz w:val="21"/>
          <w:szCs w:val="21"/>
        </w:rPr>
        <w:t>2021</w:t>
      </w:r>
      <w:r>
        <w:rPr>
          <w:rFonts w:hint="eastAsia" w:ascii="宋体" w:hAnsi="宋体" w:eastAsia="宋体" w:cs="宋体"/>
          <w:sz w:val="21"/>
          <w:szCs w:val="21"/>
        </w:rPr>
        <w:t>年</w:t>
      </w:r>
      <w:r>
        <w:rPr>
          <w:rFonts w:hint="default" w:ascii="Times New Roman" w:hAnsi="Times New Roman" w:eastAsia="宋体" w:cs="Times New Roman"/>
          <w:sz w:val="21"/>
          <w:szCs w:val="21"/>
        </w:rPr>
        <w:t>6</w:t>
      </w:r>
      <w:r>
        <w:rPr>
          <w:rFonts w:hint="eastAsia" w:ascii="宋体" w:hAnsi="宋体" w:eastAsia="宋体" w:cs="宋体"/>
          <w:sz w:val="21"/>
          <w:szCs w:val="21"/>
        </w:rPr>
        <w:t>月</w:t>
      </w:r>
      <w:r>
        <w:rPr>
          <w:rFonts w:hint="default" w:ascii="Times New Roman" w:hAnsi="Times New Roman" w:eastAsia="宋体" w:cs="Times New Roman"/>
          <w:sz w:val="21"/>
          <w:szCs w:val="21"/>
        </w:rPr>
        <w:t>7</w:t>
      </w:r>
      <w:r>
        <w:rPr>
          <w:rFonts w:hint="eastAsia" w:ascii="宋体" w:hAnsi="宋体" w:eastAsia="宋体" w:cs="宋体"/>
          <w:sz w:val="21"/>
          <w:szCs w:val="21"/>
        </w:rPr>
        <w:t>日到</w:t>
      </w:r>
      <w:r>
        <w:rPr>
          <w:rFonts w:hint="default" w:ascii="Times New Roman" w:hAnsi="Times New Roman" w:eastAsia="宋体" w:cs="Times New Roman"/>
          <w:sz w:val="21"/>
          <w:szCs w:val="21"/>
        </w:rPr>
        <w:t>2022</w:t>
      </w:r>
      <w:r>
        <w:rPr>
          <w:rFonts w:hint="eastAsia" w:ascii="宋体" w:hAnsi="宋体" w:eastAsia="宋体" w:cs="宋体"/>
          <w:sz w:val="21"/>
          <w:szCs w:val="21"/>
        </w:rPr>
        <w:t>年</w:t>
      </w:r>
      <w:r>
        <w:rPr>
          <w:rFonts w:hint="default" w:ascii="Times New Roman" w:hAnsi="Times New Roman" w:eastAsia="宋体" w:cs="Times New Roman"/>
          <w:sz w:val="21"/>
          <w:szCs w:val="21"/>
        </w:rPr>
        <w:t>12</w:t>
      </w:r>
      <w:r>
        <w:rPr>
          <w:rFonts w:hint="eastAsia" w:ascii="宋体" w:hAnsi="宋体" w:eastAsia="宋体" w:cs="宋体"/>
          <w:sz w:val="21"/>
          <w:szCs w:val="21"/>
        </w:rPr>
        <w:t>月</w:t>
      </w:r>
      <w:r>
        <w:rPr>
          <w:rFonts w:hint="default" w:ascii="Times New Roman" w:hAnsi="Times New Roman" w:eastAsia="宋体" w:cs="Times New Roman"/>
          <w:sz w:val="21"/>
          <w:szCs w:val="21"/>
        </w:rPr>
        <w:t>31</w:t>
      </w:r>
      <w:r>
        <w:rPr>
          <w:rFonts w:hint="eastAsia" w:ascii="宋体" w:hAnsi="宋体" w:eastAsia="宋体" w:cs="宋体"/>
          <w:sz w:val="21"/>
          <w:szCs w:val="21"/>
        </w:rPr>
        <w:t>日。</w:t>
      </w:r>
    </w:p>
    <w:p>
      <w:pPr>
        <w:pStyle w:val="3"/>
        <w:keepNext w:val="0"/>
        <w:keepLines w:val="0"/>
        <w:widowControl/>
        <w:suppressLineNumbers w:val="0"/>
        <w:spacing w:before="0" w:beforeAutospacing="0" w:after="156" w:afterAutospacing="0"/>
        <w:ind w:left="0" w:firstLine="630"/>
        <w:jc w:val="left"/>
        <w:rPr>
          <w:rFonts w:hint="eastAsia" w:ascii="宋体" w:hAnsi="宋体" w:eastAsia="宋体" w:cs="宋体"/>
          <w:sz w:val="18"/>
          <w:szCs w:val="18"/>
        </w:rPr>
      </w:pPr>
      <w:r>
        <w:rPr>
          <w:rFonts w:hint="eastAsia" w:ascii="宋体" w:hAnsi="宋体" w:eastAsia="宋体" w:cs="宋体"/>
          <w:sz w:val="21"/>
          <w:szCs w:val="21"/>
        </w:rPr>
        <w:t>截至</w:t>
      </w:r>
      <w:r>
        <w:rPr>
          <w:rFonts w:hint="default" w:ascii="Times New Roman" w:hAnsi="Times New Roman" w:eastAsia="宋体" w:cs="Times New Roman"/>
          <w:sz w:val="21"/>
          <w:szCs w:val="21"/>
        </w:rPr>
        <w:t>202</w:t>
      </w:r>
      <w:r>
        <w:rPr>
          <w:rFonts w:hint="eastAsia" w:ascii="宋体" w:hAnsi="宋体" w:eastAsia="宋体" w:cs="宋体"/>
          <w:sz w:val="21"/>
          <w:szCs w:val="21"/>
        </w:rPr>
        <w:t>2年6月</w:t>
      </w:r>
      <w:r>
        <w:rPr>
          <w:rFonts w:hint="default" w:ascii="Times New Roman" w:hAnsi="Times New Roman" w:eastAsia="宋体" w:cs="Times New Roman"/>
          <w:sz w:val="21"/>
          <w:szCs w:val="21"/>
        </w:rPr>
        <w:t>3</w:t>
      </w:r>
      <w:r>
        <w:rPr>
          <w:rFonts w:hint="eastAsia" w:ascii="宋体" w:hAnsi="宋体" w:eastAsia="宋体" w:cs="宋体"/>
          <w:sz w:val="21"/>
          <w:szCs w:val="21"/>
        </w:rPr>
        <w:t>0日，本公司子公司湖南博云东方粉末冶金有限公司在该行应付票据余额为1</w:t>
      </w:r>
      <w:r>
        <w:rPr>
          <w:rFonts w:hint="default" w:ascii="Times New Roman" w:hAnsi="Times New Roman" w:eastAsia="宋体" w:cs="Times New Roman"/>
          <w:sz w:val="21"/>
          <w:szCs w:val="21"/>
        </w:rPr>
        <w:t>,</w:t>
      </w:r>
      <w:r>
        <w:rPr>
          <w:rFonts w:hint="eastAsia" w:ascii="宋体" w:hAnsi="宋体" w:eastAsia="宋体" w:cs="宋体"/>
          <w:sz w:val="21"/>
          <w:szCs w:val="21"/>
        </w:rPr>
        <w:t>573.3万元（公司存入票据保证金471.98万元）。</w:t>
      </w:r>
      <w:r>
        <w:rPr>
          <w:rFonts w:hint="default" w:ascii="Times New Roman" w:hAnsi="Times New Roman" w:eastAsia="宋体" w:cs="Times New Roman"/>
          <w:sz w:val="21"/>
          <w:szCs w:val="21"/>
        </w:rPr>
        <w:t xml:space="preserve"> </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w:t>
      </w:r>
      <w:r>
        <w:rPr>
          <w:rFonts w:hint="default" w:ascii="Times New Roman" w:hAnsi="Times New Roman" w:eastAsia="宋体" w:cs="Times New Roman"/>
          <w:sz w:val="21"/>
          <w:szCs w:val="21"/>
        </w:rPr>
        <w:t>4</w:t>
      </w:r>
      <w:r>
        <w:rPr>
          <w:rFonts w:hint="eastAsia" w:ascii="宋体" w:hAnsi="宋体" w:eastAsia="宋体" w:cs="宋体"/>
          <w:sz w:val="21"/>
          <w:szCs w:val="21"/>
        </w:rPr>
        <w:t>）</w:t>
      </w:r>
      <w:r>
        <w:rPr>
          <w:rFonts w:hint="default" w:ascii="Times New Roman" w:hAnsi="Times New Roman" w:eastAsia="宋体" w:cs="Times New Roman"/>
          <w:sz w:val="21"/>
          <w:szCs w:val="21"/>
        </w:rPr>
        <w:t>202</w:t>
      </w:r>
      <w:r>
        <w:rPr>
          <w:rFonts w:hint="eastAsia" w:ascii="宋体" w:hAnsi="宋体" w:eastAsia="宋体" w:cs="宋体"/>
          <w:sz w:val="21"/>
          <w:szCs w:val="21"/>
        </w:rPr>
        <w:t>2年1月19日，本公司与长沙银行股份有限公司华龙支行签订了编号为“DB22220120211011038140”的最高额保证合同，为长沙银行股份有限公司华龙支行向公司子公司湖南博云东方粉末冶金有限公司提供的额度为4,</w:t>
      </w:r>
      <w:r>
        <w:rPr>
          <w:rFonts w:hint="default" w:ascii="Times New Roman" w:hAnsi="Times New Roman" w:eastAsia="宋体" w:cs="Times New Roman"/>
          <w:sz w:val="21"/>
          <w:szCs w:val="21"/>
        </w:rPr>
        <w:t>000</w:t>
      </w:r>
      <w:r>
        <w:rPr>
          <w:rFonts w:hint="eastAsia" w:ascii="宋体" w:hAnsi="宋体" w:eastAsia="宋体" w:cs="宋体"/>
          <w:sz w:val="21"/>
          <w:szCs w:val="21"/>
        </w:rPr>
        <w:t>万元的授信提供连带责任保证，授信期间为</w:t>
      </w:r>
      <w:r>
        <w:rPr>
          <w:rFonts w:hint="default" w:ascii="Times New Roman" w:hAnsi="Times New Roman" w:eastAsia="宋体" w:cs="Times New Roman"/>
          <w:sz w:val="21"/>
          <w:szCs w:val="21"/>
        </w:rPr>
        <w:t>2021</w:t>
      </w:r>
      <w:r>
        <w:rPr>
          <w:rFonts w:hint="eastAsia" w:ascii="宋体" w:hAnsi="宋体" w:eastAsia="宋体" w:cs="宋体"/>
          <w:sz w:val="21"/>
          <w:szCs w:val="21"/>
        </w:rPr>
        <w:t>年8月6日到</w:t>
      </w:r>
      <w:r>
        <w:rPr>
          <w:rFonts w:hint="default" w:ascii="Times New Roman" w:hAnsi="Times New Roman" w:eastAsia="宋体" w:cs="Times New Roman"/>
          <w:sz w:val="21"/>
          <w:szCs w:val="21"/>
        </w:rPr>
        <w:t>2022</w:t>
      </w:r>
      <w:r>
        <w:rPr>
          <w:rFonts w:hint="eastAsia" w:ascii="宋体" w:hAnsi="宋体" w:eastAsia="宋体" w:cs="宋体"/>
          <w:sz w:val="21"/>
          <w:szCs w:val="21"/>
        </w:rPr>
        <w:t>年9月6日。</w:t>
      </w:r>
    </w:p>
    <w:p>
      <w:pPr>
        <w:pStyle w:val="3"/>
        <w:keepNext w:val="0"/>
        <w:keepLines w:val="0"/>
        <w:widowControl/>
        <w:suppressLineNumbers w:val="0"/>
        <w:spacing w:before="0" w:beforeAutospacing="0" w:after="156" w:afterAutospacing="0"/>
        <w:ind w:left="0" w:firstLine="630"/>
        <w:jc w:val="left"/>
        <w:rPr>
          <w:rFonts w:hint="eastAsia" w:ascii="宋体" w:hAnsi="宋体" w:eastAsia="宋体" w:cs="宋体"/>
          <w:sz w:val="18"/>
          <w:szCs w:val="18"/>
        </w:rPr>
      </w:pPr>
      <w:r>
        <w:rPr>
          <w:rFonts w:hint="eastAsia" w:ascii="宋体" w:hAnsi="宋体" w:eastAsia="宋体" w:cs="宋体"/>
          <w:sz w:val="21"/>
          <w:szCs w:val="21"/>
        </w:rPr>
        <w:t>截至</w:t>
      </w:r>
      <w:r>
        <w:rPr>
          <w:rFonts w:hint="default" w:ascii="Times New Roman" w:hAnsi="Times New Roman" w:eastAsia="宋体" w:cs="Times New Roman"/>
          <w:sz w:val="21"/>
          <w:szCs w:val="21"/>
        </w:rPr>
        <w:t>202</w:t>
      </w:r>
      <w:r>
        <w:rPr>
          <w:rFonts w:hint="eastAsia" w:ascii="宋体" w:hAnsi="宋体" w:eastAsia="宋体" w:cs="宋体"/>
          <w:sz w:val="21"/>
          <w:szCs w:val="21"/>
        </w:rPr>
        <w:t>2年6月</w:t>
      </w:r>
      <w:r>
        <w:rPr>
          <w:rFonts w:hint="default" w:ascii="Times New Roman" w:hAnsi="Times New Roman" w:eastAsia="宋体" w:cs="Times New Roman"/>
          <w:sz w:val="21"/>
          <w:szCs w:val="21"/>
        </w:rPr>
        <w:t>3</w:t>
      </w:r>
      <w:r>
        <w:rPr>
          <w:rFonts w:hint="eastAsia" w:ascii="宋体" w:hAnsi="宋体" w:eastAsia="宋体" w:cs="宋体"/>
          <w:sz w:val="21"/>
          <w:szCs w:val="21"/>
        </w:rPr>
        <w:t>0日，本公司子公司湖南博云东方粉末冶金有限公司在该行应付票据余额为2</w:t>
      </w:r>
      <w:r>
        <w:rPr>
          <w:rFonts w:hint="default" w:ascii="Times New Roman" w:hAnsi="Times New Roman" w:eastAsia="宋体" w:cs="Times New Roman"/>
          <w:sz w:val="21"/>
          <w:szCs w:val="21"/>
        </w:rPr>
        <w:t>,</w:t>
      </w:r>
      <w:r>
        <w:rPr>
          <w:rFonts w:hint="eastAsia" w:ascii="宋体" w:hAnsi="宋体" w:eastAsia="宋体" w:cs="宋体"/>
          <w:sz w:val="21"/>
          <w:szCs w:val="21"/>
        </w:rPr>
        <w:t>635万元（公司存入票据保证金790.5万元）。</w:t>
      </w:r>
      <w:r>
        <w:rPr>
          <w:rFonts w:hint="default" w:ascii="Times New Roman" w:hAnsi="Times New Roman" w:eastAsia="宋体" w:cs="Times New Roman"/>
          <w:sz w:val="21"/>
          <w:szCs w:val="21"/>
        </w:rPr>
        <w:t xml:space="preserve"> </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（5）</w:t>
      </w:r>
      <w:r>
        <w:rPr>
          <w:rFonts w:hint="default" w:ascii="Times New Roman" w:hAnsi="Times New Roman" w:eastAsia="宋体" w:cs="Times New Roman"/>
          <w:sz w:val="21"/>
          <w:szCs w:val="21"/>
        </w:rPr>
        <w:t>2021</w:t>
      </w:r>
      <w:r>
        <w:rPr>
          <w:rFonts w:hint="eastAsia" w:ascii="宋体" w:hAnsi="宋体" w:eastAsia="宋体" w:cs="宋体"/>
          <w:sz w:val="21"/>
          <w:szCs w:val="21"/>
        </w:rPr>
        <w:t>年</w:t>
      </w:r>
      <w:r>
        <w:rPr>
          <w:rFonts w:hint="default" w:ascii="Times New Roman" w:hAnsi="Times New Roman" w:eastAsia="宋体" w:cs="Times New Roman"/>
          <w:sz w:val="21"/>
          <w:szCs w:val="21"/>
        </w:rPr>
        <w:t>7</w:t>
      </w:r>
      <w:r>
        <w:rPr>
          <w:rFonts w:hint="eastAsia" w:ascii="宋体" w:hAnsi="宋体" w:eastAsia="宋体" w:cs="宋体"/>
          <w:sz w:val="21"/>
          <w:szCs w:val="21"/>
        </w:rPr>
        <w:t>月</w:t>
      </w:r>
      <w:r>
        <w:rPr>
          <w:rFonts w:hint="default" w:ascii="Times New Roman" w:hAnsi="Times New Roman" w:eastAsia="宋体" w:cs="Times New Roman"/>
          <w:sz w:val="21"/>
          <w:szCs w:val="21"/>
        </w:rPr>
        <w:t>5</w:t>
      </w:r>
      <w:r>
        <w:rPr>
          <w:rFonts w:hint="eastAsia" w:ascii="宋体" w:hAnsi="宋体" w:eastAsia="宋体" w:cs="宋体"/>
          <w:sz w:val="21"/>
          <w:szCs w:val="21"/>
        </w:rPr>
        <w:t>日，本公司与中国光大银行股份有限公司长沙八一路支行签订了编号为</w:t>
      </w:r>
      <w:r>
        <w:rPr>
          <w:rFonts w:hint="default" w:ascii="Times New Roman" w:hAnsi="Times New Roman" w:eastAsia="宋体" w:cs="Times New Roman"/>
          <w:sz w:val="21"/>
          <w:szCs w:val="21"/>
        </w:rPr>
        <w:t>"79202106000038"</w:t>
      </w:r>
      <w:r>
        <w:rPr>
          <w:rFonts w:hint="eastAsia" w:ascii="宋体" w:hAnsi="宋体" w:eastAsia="宋体" w:cs="宋体"/>
          <w:sz w:val="21"/>
          <w:szCs w:val="21"/>
        </w:rPr>
        <w:t>最高额保证合同，为中国光大银行股份有限公司长沙八一路支行向本公司子公司湖南博云东方粉末冶金有限公司提供的最高额度为</w:t>
      </w:r>
      <w:r>
        <w:rPr>
          <w:rFonts w:hint="default" w:ascii="Times New Roman" w:hAnsi="Times New Roman" w:eastAsia="宋体" w:cs="Times New Roman"/>
          <w:sz w:val="21"/>
          <w:szCs w:val="21"/>
        </w:rPr>
        <w:t>6</w:t>
      </w:r>
      <w:r>
        <w:rPr>
          <w:rFonts w:hint="eastAsia" w:ascii="宋体" w:hAnsi="宋体" w:eastAsia="宋体" w:cs="宋体"/>
          <w:sz w:val="21"/>
          <w:szCs w:val="21"/>
        </w:rPr>
        <w:t>,</w:t>
      </w:r>
      <w:r>
        <w:rPr>
          <w:rFonts w:hint="default" w:ascii="Times New Roman" w:hAnsi="Times New Roman" w:eastAsia="宋体" w:cs="Times New Roman"/>
          <w:sz w:val="21"/>
          <w:szCs w:val="21"/>
        </w:rPr>
        <w:t>000</w:t>
      </w:r>
      <w:r>
        <w:rPr>
          <w:rFonts w:hint="eastAsia" w:ascii="宋体" w:hAnsi="宋体" w:eastAsia="宋体" w:cs="宋体"/>
          <w:sz w:val="21"/>
          <w:szCs w:val="21"/>
        </w:rPr>
        <w:t>万元人民币的授信提供连带责任保证，授信期间为</w:t>
      </w:r>
      <w:r>
        <w:rPr>
          <w:rFonts w:hint="default" w:ascii="Times New Roman" w:hAnsi="Times New Roman" w:eastAsia="宋体" w:cs="Times New Roman"/>
          <w:sz w:val="21"/>
          <w:szCs w:val="21"/>
        </w:rPr>
        <w:t>2021</w:t>
      </w:r>
      <w:r>
        <w:rPr>
          <w:rFonts w:hint="eastAsia" w:ascii="宋体" w:hAnsi="宋体" w:eastAsia="宋体" w:cs="宋体"/>
          <w:sz w:val="21"/>
          <w:szCs w:val="21"/>
        </w:rPr>
        <w:t>年</w:t>
      </w:r>
      <w:r>
        <w:rPr>
          <w:rFonts w:hint="default" w:ascii="Times New Roman" w:hAnsi="Times New Roman" w:eastAsia="宋体" w:cs="Times New Roman"/>
          <w:sz w:val="21"/>
          <w:szCs w:val="21"/>
        </w:rPr>
        <w:t>7</w:t>
      </w:r>
      <w:r>
        <w:rPr>
          <w:rFonts w:hint="eastAsia" w:ascii="宋体" w:hAnsi="宋体" w:eastAsia="宋体" w:cs="宋体"/>
          <w:sz w:val="21"/>
          <w:szCs w:val="21"/>
        </w:rPr>
        <w:t>月</w:t>
      </w:r>
      <w:r>
        <w:rPr>
          <w:rFonts w:hint="default" w:ascii="Times New Roman" w:hAnsi="Times New Roman" w:eastAsia="宋体" w:cs="Times New Roman"/>
          <w:sz w:val="21"/>
          <w:szCs w:val="21"/>
        </w:rPr>
        <w:t>5</w:t>
      </w:r>
      <w:r>
        <w:rPr>
          <w:rFonts w:hint="eastAsia" w:ascii="宋体" w:hAnsi="宋体" w:eastAsia="宋体" w:cs="宋体"/>
          <w:sz w:val="21"/>
          <w:szCs w:val="21"/>
        </w:rPr>
        <w:t>日至</w:t>
      </w:r>
      <w:r>
        <w:rPr>
          <w:rFonts w:hint="default" w:ascii="Times New Roman" w:hAnsi="Times New Roman" w:eastAsia="宋体" w:cs="Times New Roman"/>
          <w:sz w:val="21"/>
          <w:szCs w:val="21"/>
        </w:rPr>
        <w:t>2023</w:t>
      </w:r>
      <w:r>
        <w:rPr>
          <w:rFonts w:hint="eastAsia" w:ascii="宋体" w:hAnsi="宋体" w:eastAsia="宋体" w:cs="宋体"/>
          <w:sz w:val="21"/>
          <w:szCs w:val="21"/>
        </w:rPr>
        <w:t>年</w:t>
      </w:r>
      <w:r>
        <w:rPr>
          <w:rFonts w:hint="default" w:ascii="Times New Roman" w:hAnsi="Times New Roman" w:eastAsia="宋体" w:cs="Times New Roman"/>
          <w:sz w:val="21"/>
          <w:szCs w:val="21"/>
        </w:rPr>
        <w:t>7</w:t>
      </w:r>
      <w:r>
        <w:rPr>
          <w:rFonts w:hint="eastAsia" w:ascii="宋体" w:hAnsi="宋体" w:eastAsia="宋体" w:cs="宋体"/>
          <w:sz w:val="21"/>
          <w:szCs w:val="21"/>
        </w:rPr>
        <w:t>月</w:t>
      </w:r>
      <w:r>
        <w:rPr>
          <w:rFonts w:hint="default" w:ascii="Times New Roman" w:hAnsi="Times New Roman" w:eastAsia="宋体" w:cs="Times New Roman"/>
          <w:sz w:val="21"/>
          <w:szCs w:val="21"/>
        </w:rPr>
        <w:t>4</w:t>
      </w:r>
      <w:r>
        <w:rPr>
          <w:rFonts w:hint="eastAsia" w:ascii="宋体" w:hAnsi="宋体" w:eastAsia="宋体" w:cs="宋体"/>
          <w:sz w:val="21"/>
          <w:szCs w:val="21"/>
        </w:rPr>
        <w:t>日。</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截至</w:t>
      </w:r>
      <w:r>
        <w:rPr>
          <w:rFonts w:hint="default" w:ascii="Times New Roman" w:hAnsi="Times New Roman" w:eastAsia="宋体" w:cs="Times New Roman"/>
          <w:sz w:val="21"/>
          <w:szCs w:val="21"/>
        </w:rPr>
        <w:t>202</w:t>
      </w:r>
      <w:r>
        <w:rPr>
          <w:rFonts w:hint="eastAsia" w:ascii="宋体" w:hAnsi="宋体" w:eastAsia="宋体" w:cs="宋体"/>
          <w:sz w:val="21"/>
          <w:szCs w:val="21"/>
        </w:rPr>
        <w:t>2年6月</w:t>
      </w:r>
      <w:r>
        <w:rPr>
          <w:rFonts w:hint="default" w:ascii="Times New Roman" w:hAnsi="Times New Roman" w:eastAsia="宋体" w:cs="Times New Roman"/>
          <w:sz w:val="21"/>
          <w:szCs w:val="21"/>
        </w:rPr>
        <w:t>3</w:t>
      </w:r>
      <w:r>
        <w:rPr>
          <w:rFonts w:hint="eastAsia" w:ascii="宋体" w:hAnsi="宋体" w:eastAsia="宋体" w:cs="宋体"/>
          <w:sz w:val="21"/>
          <w:szCs w:val="21"/>
        </w:rPr>
        <w:t>0日，本公司子公司湖南博云东方粉末冶金有限公司在该行应付票据余额为</w:t>
      </w:r>
      <w:r>
        <w:rPr>
          <w:rFonts w:hint="default" w:ascii="Times New Roman" w:hAnsi="Times New Roman" w:eastAsia="宋体" w:cs="Times New Roman"/>
          <w:sz w:val="21"/>
          <w:szCs w:val="21"/>
        </w:rPr>
        <w:t>1</w:t>
      </w:r>
      <w:r>
        <w:rPr>
          <w:rFonts w:hint="eastAsia" w:ascii="宋体" w:hAnsi="宋体" w:eastAsia="宋体" w:cs="宋体"/>
          <w:sz w:val="21"/>
          <w:szCs w:val="21"/>
        </w:rPr>
        <w:t>,</w:t>
      </w:r>
      <w:r>
        <w:rPr>
          <w:rFonts w:hint="default" w:ascii="Times New Roman" w:hAnsi="Times New Roman" w:eastAsia="宋体" w:cs="Times New Roman"/>
          <w:sz w:val="21"/>
          <w:szCs w:val="21"/>
        </w:rPr>
        <w:t>6</w:t>
      </w:r>
      <w:r>
        <w:rPr>
          <w:rFonts w:hint="eastAsia" w:ascii="宋体" w:hAnsi="宋体" w:eastAsia="宋体" w:cs="宋体"/>
          <w:sz w:val="21"/>
          <w:szCs w:val="21"/>
        </w:rPr>
        <w:t>86.1万元（公司存入票据保证金505.83万元）。</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综上，截至</w:t>
      </w:r>
      <w:r>
        <w:rPr>
          <w:rFonts w:hint="default" w:ascii="Times New Roman" w:hAnsi="Times New Roman" w:eastAsia="宋体" w:cs="Times New Roman"/>
          <w:sz w:val="21"/>
          <w:szCs w:val="21"/>
        </w:rPr>
        <w:t>202</w:t>
      </w:r>
      <w:r>
        <w:rPr>
          <w:rFonts w:hint="eastAsia" w:ascii="宋体" w:hAnsi="宋体" w:eastAsia="宋体" w:cs="宋体"/>
          <w:sz w:val="21"/>
          <w:szCs w:val="21"/>
        </w:rPr>
        <w:t>2年6月</w:t>
      </w:r>
      <w:r>
        <w:rPr>
          <w:rFonts w:hint="default" w:ascii="Times New Roman" w:hAnsi="Times New Roman" w:eastAsia="宋体" w:cs="Times New Roman"/>
          <w:sz w:val="21"/>
          <w:szCs w:val="21"/>
        </w:rPr>
        <w:t>3</w:t>
      </w:r>
      <w:r>
        <w:rPr>
          <w:rFonts w:hint="eastAsia" w:ascii="宋体" w:hAnsi="宋体" w:eastAsia="宋体" w:cs="宋体"/>
          <w:sz w:val="21"/>
          <w:szCs w:val="21"/>
        </w:rPr>
        <w:t>0日，本公司子公司湖南博云东方粉末冶金有限公司一年内到期的非流动负债</w:t>
      </w:r>
      <w:r>
        <w:rPr>
          <w:rFonts w:hint="default" w:ascii="Times New Roman" w:hAnsi="Times New Roman" w:eastAsia="宋体" w:cs="Times New Roman"/>
          <w:sz w:val="21"/>
          <w:szCs w:val="21"/>
        </w:rPr>
        <w:t>3,9</w:t>
      </w:r>
      <w:r>
        <w:rPr>
          <w:rFonts w:hint="eastAsia" w:ascii="宋体" w:hAnsi="宋体" w:eastAsia="宋体" w:cs="宋体"/>
          <w:sz w:val="21"/>
          <w:szCs w:val="21"/>
        </w:rPr>
        <w:t>6</w:t>
      </w:r>
      <w:r>
        <w:rPr>
          <w:rFonts w:hint="default" w:ascii="Times New Roman" w:hAnsi="Times New Roman" w:eastAsia="宋体" w:cs="Times New Roman"/>
          <w:sz w:val="21"/>
          <w:szCs w:val="21"/>
        </w:rPr>
        <w:t>0.00</w:t>
      </w:r>
      <w:r>
        <w:rPr>
          <w:rFonts w:hint="eastAsia" w:ascii="宋体" w:hAnsi="宋体" w:eastAsia="宋体" w:cs="宋体"/>
          <w:sz w:val="21"/>
          <w:szCs w:val="21"/>
        </w:rPr>
        <w:t>万元、应付票据5,894.37万元（公司存入票据保证金</w:t>
      </w:r>
      <w:r>
        <w:rPr>
          <w:rFonts w:hint="default" w:ascii="Times New Roman" w:hAnsi="Times New Roman" w:eastAsia="宋体" w:cs="Times New Roman"/>
          <w:sz w:val="21"/>
          <w:szCs w:val="21"/>
        </w:rPr>
        <w:t>1</w:t>
      </w:r>
      <w:r>
        <w:rPr>
          <w:rFonts w:hint="eastAsia" w:ascii="宋体" w:hAnsi="宋体" w:eastAsia="宋体" w:cs="宋体"/>
          <w:sz w:val="21"/>
          <w:szCs w:val="21"/>
        </w:rPr>
        <w:t>,768.31万元），合计</w:t>
      </w:r>
      <w:r>
        <w:rPr>
          <w:rFonts w:hint="default" w:ascii="Times New Roman" w:hAnsi="Times New Roman" w:eastAsia="宋体" w:cs="Times New Roman"/>
          <w:sz w:val="21"/>
          <w:szCs w:val="21"/>
        </w:rPr>
        <w:t>8</w:t>
      </w:r>
      <w:r>
        <w:rPr>
          <w:rFonts w:hint="eastAsia" w:ascii="宋体" w:hAnsi="宋体" w:eastAsia="宋体" w:cs="宋体"/>
          <w:sz w:val="21"/>
          <w:szCs w:val="21"/>
        </w:rPr>
        <w:t>,086.06万元，均由本公司提供担保。</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2、为子公司长沙鑫航机轮刹车有限公司提供的担保</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（1）</w:t>
      </w:r>
      <w:r>
        <w:rPr>
          <w:rFonts w:hint="default" w:ascii="Times New Roman" w:hAnsi="Times New Roman" w:eastAsia="宋体" w:cs="Times New Roman"/>
          <w:sz w:val="21"/>
          <w:szCs w:val="21"/>
        </w:rPr>
        <w:t>202</w:t>
      </w:r>
      <w:r>
        <w:rPr>
          <w:rFonts w:hint="eastAsia" w:ascii="宋体" w:hAnsi="宋体" w:eastAsia="宋体" w:cs="宋体"/>
          <w:sz w:val="21"/>
          <w:szCs w:val="21"/>
        </w:rPr>
        <w:t>2年1月19日，本公司与长沙银行股份有限公司华龙支行签订了编号为“DB22220120211011038138”的最高额保证合同，为长沙银行股份有限公司华龙支行向公司子公司长沙鑫航机轮刹车有限公司提供的额度为3,</w:t>
      </w:r>
      <w:r>
        <w:rPr>
          <w:rFonts w:hint="default" w:ascii="Times New Roman" w:hAnsi="Times New Roman" w:eastAsia="宋体" w:cs="Times New Roman"/>
          <w:sz w:val="21"/>
          <w:szCs w:val="21"/>
        </w:rPr>
        <w:t>000</w:t>
      </w:r>
      <w:r>
        <w:rPr>
          <w:rFonts w:hint="eastAsia" w:ascii="宋体" w:hAnsi="宋体" w:eastAsia="宋体" w:cs="宋体"/>
          <w:sz w:val="21"/>
          <w:szCs w:val="21"/>
        </w:rPr>
        <w:t>万元的授信提供连带责任保证，授信期间为</w:t>
      </w:r>
      <w:r>
        <w:rPr>
          <w:rFonts w:hint="default" w:ascii="Times New Roman" w:hAnsi="Times New Roman" w:eastAsia="宋体" w:cs="Times New Roman"/>
          <w:sz w:val="21"/>
          <w:szCs w:val="21"/>
        </w:rPr>
        <w:t>2021</w:t>
      </w:r>
      <w:r>
        <w:rPr>
          <w:rFonts w:hint="eastAsia" w:ascii="宋体" w:hAnsi="宋体" w:eastAsia="宋体" w:cs="宋体"/>
          <w:sz w:val="21"/>
          <w:szCs w:val="21"/>
        </w:rPr>
        <w:t>年9月10日到</w:t>
      </w:r>
      <w:r>
        <w:rPr>
          <w:rFonts w:hint="default" w:ascii="Times New Roman" w:hAnsi="Times New Roman" w:eastAsia="宋体" w:cs="Times New Roman"/>
          <w:sz w:val="21"/>
          <w:szCs w:val="21"/>
        </w:rPr>
        <w:t>2022</w:t>
      </w:r>
      <w:r>
        <w:rPr>
          <w:rFonts w:hint="eastAsia" w:ascii="宋体" w:hAnsi="宋体" w:eastAsia="宋体" w:cs="宋体"/>
          <w:sz w:val="21"/>
          <w:szCs w:val="21"/>
        </w:rPr>
        <w:t>年9月10日。</w:t>
      </w:r>
    </w:p>
    <w:p>
      <w:pPr>
        <w:pStyle w:val="3"/>
        <w:keepNext w:val="0"/>
        <w:keepLines w:val="0"/>
        <w:widowControl/>
        <w:suppressLineNumbers w:val="0"/>
        <w:spacing w:before="0" w:beforeAutospacing="0" w:after="156" w:afterAutospacing="0"/>
        <w:ind w:left="0" w:firstLine="630"/>
        <w:jc w:val="left"/>
        <w:rPr>
          <w:rFonts w:hint="eastAsia" w:ascii="宋体" w:hAnsi="宋体" w:eastAsia="宋体" w:cs="宋体"/>
          <w:sz w:val="18"/>
          <w:szCs w:val="18"/>
        </w:rPr>
      </w:pPr>
      <w:r>
        <w:rPr>
          <w:rFonts w:hint="eastAsia" w:ascii="宋体" w:hAnsi="宋体" w:eastAsia="宋体" w:cs="宋体"/>
          <w:sz w:val="21"/>
          <w:szCs w:val="21"/>
        </w:rPr>
        <w:t>截至</w:t>
      </w:r>
      <w:r>
        <w:rPr>
          <w:rFonts w:hint="default" w:ascii="Times New Roman" w:hAnsi="Times New Roman" w:eastAsia="宋体" w:cs="Times New Roman"/>
          <w:sz w:val="21"/>
          <w:szCs w:val="21"/>
        </w:rPr>
        <w:t>202</w:t>
      </w:r>
      <w:r>
        <w:rPr>
          <w:rFonts w:hint="eastAsia" w:ascii="宋体" w:hAnsi="宋体" w:eastAsia="宋体" w:cs="宋体"/>
          <w:sz w:val="21"/>
          <w:szCs w:val="21"/>
        </w:rPr>
        <w:t>2年6月</w:t>
      </w:r>
      <w:r>
        <w:rPr>
          <w:rFonts w:hint="default" w:ascii="Times New Roman" w:hAnsi="Times New Roman" w:eastAsia="宋体" w:cs="Times New Roman"/>
          <w:sz w:val="21"/>
          <w:szCs w:val="21"/>
        </w:rPr>
        <w:t>3</w:t>
      </w:r>
      <w:r>
        <w:rPr>
          <w:rFonts w:hint="eastAsia" w:ascii="宋体" w:hAnsi="宋体" w:eastAsia="宋体" w:cs="宋体"/>
          <w:sz w:val="21"/>
          <w:szCs w:val="21"/>
        </w:rPr>
        <w:t>0日，本公司子公司长沙鑫航机轮刹车有限公司在该行应付票据余额为145.29万元（公司存入票据保证金43.59万元）。</w:t>
      </w:r>
      <w:r>
        <w:rPr>
          <w:rFonts w:hint="default" w:ascii="Times New Roman" w:hAnsi="Times New Roman" w:eastAsia="宋体" w:cs="Times New Roman"/>
          <w:sz w:val="21"/>
          <w:szCs w:val="21"/>
        </w:rPr>
        <w:t xml:space="preserve"> </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（2）</w:t>
      </w:r>
      <w:r>
        <w:rPr>
          <w:rFonts w:hint="default" w:ascii="Times New Roman" w:hAnsi="Times New Roman" w:eastAsia="宋体" w:cs="Times New Roman"/>
          <w:sz w:val="21"/>
          <w:szCs w:val="21"/>
        </w:rPr>
        <w:t>202</w:t>
      </w:r>
      <w:r>
        <w:rPr>
          <w:rFonts w:hint="eastAsia" w:ascii="宋体" w:hAnsi="宋体" w:eastAsia="宋体" w:cs="宋体"/>
          <w:sz w:val="21"/>
          <w:szCs w:val="21"/>
        </w:rPr>
        <w:t>2年4月</w:t>
      </w:r>
      <w:r>
        <w:rPr>
          <w:rFonts w:hint="default" w:ascii="Times New Roman" w:hAnsi="Times New Roman" w:eastAsia="宋体" w:cs="Times New Roman"/>
          <w:sz w:val="21"/>
          <w:szCs w:val="21"/>
        </w:rPr>
        <w:t>26</w:t>
      </w:r>
      <w:r>
        <w:rPr>
          <w:rFonts w:hint="eastAsia" w:ascii="宋体" w:hAnsi="宋体" w:eastAsia="宋体" w:cs="宋体"/>
          <w:sz w:val="21"/>
          <w:szCs w:val="21"/>
        </w:rPr>
        <w:t>日，本公司与上海浦东发展银行股份有限公司长沙分行签订了编号为</w:t>
      </w:r>
      <w:r>
        <w:rPr>
          <w:rFonts w:hint="default" w:ascii="Times New Roman" w:hAnsi="Times New Roman" w:eastAsia="宋体" w:cs="Times New Roman"/>
          <w:sz w:val="21"/>
          <w:szCs w:val="21"/>
        </w:rPr>
        <w:t>"</w:t>
      </w:r>
      <w:r>
        <w:rPr>
          <w:rFonts w:hint="eastAsia" w:ascii="宋体" w:hAnsi="宋体" w:eastAsia="宋体" w:cs="宋体"/>
          <w:sz w:val="21"/>
          <w:szCs w:val="21"/>
        </w:rPr>
        <w:t>ZB6622202200000005</w:t>
      </w:r>
      <w:r>
        <w:rPr>
          <w:rFonts w:hint="default" w:ascii="Times New Roman" w:hAnsi="Times New Roman" w:eastAsia="宋体" w:cs="Times New Roman"/>
          <w:sz w:val="21"/>
          <w:szCs w:val="21"/>
        </w:rPr>
        <w:t>"</w:t>
      </w:r>
      <w:r>
        <w:rPr>
          <w:rFonts w:hint="eastAsia" w:ascii="宋体" w:hAnsi="宋体" w:eastAsia="宋体" w:cs="宋体"/>
          <w:sz w:val="21"/>
          <w:szCs w:val="21"/>
        </w:rPr>
        <w:t>的最高额保证合同，为上海浦东发展银行股份有限公司长沙分行向本公司子公司长沙鑫航机轮刹车有限公司提供的最高额度为2,</w:t>
      </w:r>
      <w:r>
        <w:rPr>
          <w:rFonts w:hint="default" w:ascii="Times New Roman" w:hAnsi="Times New Roman" w:eastAsia="宋体" w:cs="Times New Roman"/>
          <w:sz w:val="21"/>
          <w:szCs w:val="21"/>
        </w:rPr>
        <w:t>000</w:t>
      </w:r>
      <w:r>
        <w:rPr>
          <w:rFonts w:hint="eastAsia" w:ascii="宋体" w:hAnsi="宋体" w:eastAsia="宋体" w:cs="宋体"/>
          <w:sz w:val="21"/>
          <w:szCs w:val="21"/>
        </w:rPr>
        <w:t>万元人民币的授信提供连带责任保证，授信期间为</w:t>
      </w:r>
      <w:r>
        <w:rPr>
          <w:rFonts w:hint="default" w:ascii="Times New Roman" w:hAnsi="Times New Roman" w:eastAsia="宋体" w:cs="Times New Roman"/>
          <w:sz w:val="21"/>
          <w:szCs w:val="21"/>
        </w:rPr>
        <w:t>202</w:t>
      </w:r>
      <w:r>
        <w:rPr>
          <w:rFonts w:hint="eastAsia" w:ascii="宋体" w:hAnsi="宋体" w:eastAsia="宋体" w:cs="宋体"/>
          <w:sz w:val="21"/>
          <w:szCs w:val="21"/>
        </w:rPr>
        <w:t>2年4月</w:t>
      </w:r>
      <w:r>
        <w:rPr>
          <w:rFonts w:hint="default" w:ascii="Times New Roman" w:hAnsi="Times New Roman" w:eastAsia="宋体" w:cs="Times New Roman"/>
          <w:sz w:val="21"/>
          <w:szCs w:val="21"/>
        </w:rPr>
        <w:t>26</w:t>
      </w:r>
      <w:r>
        <w:rPr>
          <w:rFonts w:hint="eastAsia" w:ascii="宋体" w:hAnsi="宋体" w:eastAsia="宋体" w:cs="宋体"/>
          <w:sz w:val="21"/>
          <w:szCs w:val="21"/>
        </w:rPr>
        <w:t>日至</w:t>
      </w:r>
      <w:r>
        <w:rPr>
          <w:rFonts w:hint="default" w:ascii="Times New Roman" w:hAnsi="Times New Roman" w:eastAsia="宋体" w:cs="Times New Roman"/>
          <w:sz w:val="21"/>
          <w:szCs w:val="21"/>
        </w:rPr>
        <w:t>202</w:t>
      </w:r>
      <w:r>
        <w:rPr>
          <w:rFonts w:hint="eastAsia" w:ascii="宋体" w:hAnsi="宋体" w:eastAsia="宋体" w:cs="宋体"/>
          <w:sz w:val="21"/>
          <w:szCs w:val="21"/>
        </w:rPr>
        <w:t>3年4月</w:t>
      </w:r>
      <w:r>
        <w:rPr>
          <w:rFonts w:hint="default" w:ascii="Times New Roman" w:hAnsi="Times New Roman" w:eastAsia="宋体" w:cs="Times New Roman"/>
          <w:sz w:val="21"/>
          <w:szCs w:val="21"/>
        </w:rPr>
        <w:t>2</w:t>
      </w:r>
      <w:r>
        <w:rPr>
          <w:rFonts w:hint="eastAsia" w:ascii="宋体" w:hAnsi="宋体" w:eastAsia="宋体" w:cs="宋体"/>
          <w:sz w:val="21"/>
          <w:szCs w:val="21"/>
        </w:rPr>
        <w:t>6日。</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截至</w:t>
      </w:r>
      <w:r>
        <w:rPr>
          <w:rFonts w:hint="default" w:ascii="Times New Roman" w:hAnsi="Times New Roman" w:eastAsia="宋体" w:cs="Times New Roman"/>
          <w:sz w:val="21"/>
          <w:szCs w:val="21"/>
        </w:rPr>
        <w:t>202</w:t>
      </w:r>
      <w:r>
        <w:rPr>
          <w:rFonts w:hint="eastAsia" w:ascii="宋体" w:hAnsi="宋体" w:eastAsia="宋体" w:cs="宋体"/>
          <w:sz w:val="21"/>
          <w:szCs w:val="21"/>
        </w:rPr>
        <w:t>2年6月</w:t>
      </w:r>
      <w:r>
        <w:rPr>
          <w:rFonts w:hint="default" w:ascii="Times New Roman" w:hAnsi="Times New Roman" w:eastAsia="宋体" w:cs="Times New Roman"/>
          <w:sz w:val="21"/>
          <w:szCs w:val="21"/>
        </w:rPr>
        <w:t>3</w:t>
      </w:r>
      <w:r>
        <w:rPr>
          <w:rFonts w:hint="eastAsia" w:ascii="宋体" w:hAnsi="宋体" w:eastAsia="宋体" w:cs="宋体"/>
          <w:sz w:val="21"/>
          <w:szCs w:val="21"/>
        </w:rPr>
        <w:t>0日，本公司子公司长沙鑫航机轮刹车有限公司在该行借款短期借款余额为</w:t>
      </w:r>
      <w:r>
        <w:rPr>
          <w:rFonts w:hint="default" w:ascii="Times New Roman" w:hAnsi="Times New Roman" w:eastAsia="宋体" w:cs="Times New Roman"/>
          <w:sz w:val="21"/>
          <w:szCs w:val="21"/>
        </w:rPr>
        <w:t>0</w:t>
      </w:r>
      <w:r>
        <w:rPr>
          <w:rFonts w:hint="eastAsia" w:ascii="宋体" w:hAnsi="宋体" w:eastAsia="宋体" w:cs="宋体"/>
          <w:sz w:val="21"/>
          <w:szCs w:val="21"/>
        </w:rPr>
        <w:t>元。</w:t>
      </w:r>
    </w:p>
    <w:p>
      <w:pPr>
        <w:pStyle w:val="3"/>
        <w:keepNext w:val="0"/>
        <w:keepLines w:val="0"/>
        <w:widowControl/>
        <w:suppressLineNumbers w:val="0"/>
        <w:spacing w:before="0" w:beforeAutospacing="0" w:after="156"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综上，截至</w:t>
      </w:r>
      <w:r>
        <w:rPr>
          <w:rFonts w:hint="default" w:ascii="Times New Roman" w:hAnsi="Times New Roman" w:eastAsia="宋体" w:cs="Times New Roman"/>
          <w:sz w:val="21"/>
          <w:szCs w:val="21"/>
        </w:rPr>
        <w:t>202</w:t>
      </w:r>
      <w:r>
        <w:rPr>
          <w:rFonts w:hint="eastAsia" w:ascii="宋体" w:hAnsi="宋体" w:eastAsia="宋体" w:cs="宋体"/>
          <w:sz w:val="21"/>
          <w:szCs w:val="21"/>
        </w:rPr>
        <w:t>2年6月</w:t>
      </w:r>
      <w:r>
        <w:rPr>
          <w:rFonts w:hint="default" w:ascii="Times New Roman" w:hAnsi="Times New Roman" w:eastAsia="宋体" w:cs="Times New Roman"/>
          <w:sz w:val="21"/>
          <w:szCs w:val="21"/>
        </w:rPr>
        <w:t>3</w:t>
      </w:r>
      <w:r>
        <w:rPr>
          <w:rFonts w:hint="eastAsia" w:ascii="宋体" w:hAnsi="宋体" w:eastAsia="宋体" w:cs="宋体"/>
          <w:sz w:val="21"/>
          <w:szCs w:val="21"/>
        </w:rPr>
        <w:t>0日，本公司子公司应付票据145.29万元（公司存入票据保证金43.59万元），合计101.7万元，均由本公司提供担保。</w:t>
      </w:r>
    </w:p>
    <w:p>
      <w:pPr>
        <w:keepNext/>
        <w:keepLines/>
        <w:spacing w:before="300" w:after="300" w:line="280" w:lineRule="exact"/>
        <w:jc w:val="left"/>
        <w:outlineLvl w:val="2"/>
        <w:rPr>
          <w:rFonts w:ascii="宋体" w:hAnsi="宋体" w:eastAsia="宋体" w:cs="宋体"/>
          <w:b/>
          <w:bCs/>
          <w:sz w:val="21"/>
          <w:szCs w:val="21"/>
        </w:rPr>
      </w:pPr>
      <w:bookmarkStart w:id="305" w:name="_Toc989255"/>
      <w:r>
        <w:rPr>
          <w:rFonts w:ascii="宋体" w:hAnsi="宋体" w:eastAsia="宋体" w:cs="宋体"/>
          <w:b/>
          <w:bCs/>
          <w:sz w:val="21"/>
          <w:szCs w:val="21"/>
        </w:rPr>
        <w:t>3、租赁</w:t>
      </w:r>
      <w:bookmarkEnd w:id="305"/>
    </w:p>
    <w:p>
      <w:pPr>
        <w:pStyle w:val="3"/>
        <w:keepNext w:val="0"/>
        <w:keepLines w:val="0"/>
        <w:widowControl/>
        <w:suppressLineNumbers w:val="0"/>
        <w:spacing w:before="0" w:beforeAutospacing="0" w:after="0" w:afterAutospacing="0"/>
        <w:ind w:left="0" w:right="0" w:firstLine="420"/>
        <w:jc w:val="left"/>
        <w:rPr>
          <w:rFonts w:hint="default" w:ascii="Times New Roman" w:hAnsi="Times New Roman" w:cs="Times New Roman"/>
          <w:sz w:val="18"/>
          <w:szCs w:val="18"/>
        </w:rPr>
      </w:pPr>
      <w:r>
        <w:rPr>
          <w:rFonts w:hint="eastAsia" w:ascii="宋体" w:hAnsi="宋体" w:eastAsia="宋体" w:cs="宋体"/>
          <w:sz w:val="21"/>
          <w:szCs w:val="21"/>
        </w:rPr>
        <w:t>1、本公司作为出租人</w:t>
      </w:r>
    </w:p>
    <w:p>
      <w:pPr>
        <w:pStyle w:val="3"/>
        <w:keepNext w:val="0"/>
        <w:keepLines w:val="0"/>
        <w:widowControl/>
        <w:suppressLineNumbers w:val="0"/>
        <w:spacing w:before="0" w:beforeAutospacing="0" w:after="0" w:afterAutospacing="0"/>
        <w:ind w:left="0" w:right="0" w:firstLine="420"/>
        <w:jc w:val="left"/>
        <w:rPr>
          <w:rFonts w:hint="default" w:ascii="Times New Roman" w:hAnsi="Times New Roman" w:cs="Times New Roman"/>
          <w:sz w:val="18"/>
          <w:szCs w:val="18"/>
        </w:rPr>
      </w:pPr>
      <w:r>
        <w:rPr>
          <w:rFonts w:hint="eastAsia" w:ascii="宋体" w:hAnsi="宋体" w:eastAsia="宋体" w:cs="宋体"/>
          <w:sz w:val="21"/>
          <w:szCs w:val="21"/>
        </w:rPr>
        <w:t>（1）经营租赁</w:t>
      </w:r>
    </w:p>
    <w:p>
      <w:pPr>
        <w:pStyle w:val="3"/>
        <w:keepNext w:val="0"/>
        <w:keepLines w:val="0"/>
        <w:widowControl/>
        <w:suppressLineNumbers w:val="0"/>
        <w:spacing w:before="0" w:beforeAutospacing="0" w:after="0" w:afterAutospacing="0"/>
        <w:ind w:left="0" w:right="0" w:firstLine="420"/>
        <w:jc w:val="left"/>
        <w:rPr>
          <w:rFonts w:hint="default" w:ascii="Times New Roman" w:hAnsi="Times New Roman" w:cs="Times New Roman"/>
          <w:sz w:val="18"/>
          <w:szCs w:val="18"/>
        </w:rPr>
      </w:pPr>
      <w:r>
        <w:rPr>
          <w:rFonts w:hint="eastAsia" w:ascii="宋体" w:hAnsi="宋体" w:eastAsia="宋体" w:cs="宋体"/>
          <w:sz w:val="21"/>
          <w:szCs w:val="21"/>
        </w:rPr>
        <w:t>经营租赁租出资产情况：</w:t>
      </w:r>
    </w:p>
    <w:tbl>
      <w:tblPr>
        <w:tblStyle w:val="4"/>
        <w:tblW w:w="5000" w:type="pct"/>
        <w:jc w:val="center"/>
        <w:shd w:val="clear" w:color="auto" w:fill="auto"/>
        <w:tblLayout w:type="autofit"/>
        <w:tblCellMar>
          <w:top w:w="15" w:type="dxa"/>
          <w:left w:w="15" w:type="dxa"/>
          <w:bottom w:w="15" w:type="dxa"/>
          <w:right w:w="15" w:type="dxa"/>
        </w:tblCellMar>
      </w:tblPr>
      <w:tblGrid>
        <w:gridCol w:w="3219"/>
        <w:gridCol w:w="3220"/>
        <w:gridCol w:w="3218"/>
      </w:tblGrid>
      <w:tr>
        <w:tblPrEx>
          <w:tblCellMar>
            <w:top w:w="15" w:type="dxa"/>
            <w:left w:w="15" w:type="dxa"/>
            <w:bottom w:w="15" w:type="dxa"/>
            <w:right w:w="15" w:type="dxa"/>
          </w:tblCellMar>
        </w:tblPrEx>
        <w:trPr>
          <w:trHeight w:val="397" w:hRule="atLeast"/>
          <w:jc w:val="center"/>
        </w:trPr>
        <w:tc>
          <w:tcPr>
            <w:tcW w:w="1667" w:type="pc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18"/>
                <w:szCs w:val="18"/>
              </w:rPr>
            </w:pPr>
            <w:r>
              <w:rPr>
                <w:rStyle w:val="6"/>
                <w:rFonts w:hint="eastAsia" w:ascii="宋体" w:hAnsi="宋体" w:eastAsia="宋体" w:cs="宋体"/>
                <w:b/>
                <w:sz w:val="18"/>
                <w:szCs w:val="18"/>
              </w:rPr>
              <w:t>资产类别</w:t>
            </w:r>
          </w:p>
        </w:tc>
        <w:tc>
          <w:tcPr>
            <w:tcW w:w="1667" w:type="pct"/>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18"/>
                <w:szCs w:val="18"/>
              </w:rPr>
            </w:pPr>
            <w:r>
              <w:rPr>
                <w:rStyle w:val="6"/>
                <w:rFonts w:hint="eastAsia" w:ascii="宋体" w:hAnsi="宋体" w:eastAsia="宋体" w:cs="宋体"/>
                <w:b/>
                <w:sz w:val="18"/>
                <w:szCs w:val="18"/>
              </w:rPr>
              <w:t>期末余额</w:t>
            </w:r>
          </w:p>
        </w:tc>
        <w:tc>
          <w:tcPr>
            <w:tcW w:w="1666" w:type="pct"/>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18"/>
                <w:szCs w:val="18"/>
              </w:rPr>
            </w:pPr>
            <w:r>
              <w:rPr>
                <w:rStyle w:val="6"/>
                <w:rFonts w:hint="eastAsia" w:ascii="宋体" w:hAnsi="宋体" w:eastAsia="宋体" w:cs="宋体"/>
                <w:b/>
                <w:sz w:val="18"/>
                <w:szCs w:val="18"/>
              </w:rPr>
              <w:t>期初余额</w:t>
            </w:r>
          </w:p>
        </w:tc>
      </w:tr>
      <w:tr>
        <w:tblPrEx>
          <w:tblCellMar>
            <w:top w:w="15" w:type="dxa"/>
            <w:left w:w="15" w:type="dxa"/>
            <w:bottom w:w="15" w:type="dxa"/>
            <w:right w:w="15" w:type="dxa"/>
          </w:tblCellMar>
        </w:tblPrEx>
        <w:trPr>
          <w:trHeight w:val="397" w:hRule="atLeast"/>
          <w:jc w:val="center"/>
        </w:trPr>
        <w:tc>
          <w:tcPr>
            <w:tcW w:w="166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18"/>
                <w:szCs w:val="18"/>
              </w:rPr>
            </w:pPr>
            <w:r>
              <w:rPr>
                <w:rFonts w:hint="eastAsia" w:ascii="宋体" w:hAnsi="宋体" w:eastAsia="宋体" w:cs="宋体"/>
                <w:sz w:val="18"/>
                <w:szCs w:val="18"/>
              </w:rPr>
              <w:t>房屋建筑物</w:t>
            </w:r>
          </w:p>
        </w:tc>
        <w:tc>
          <w:tcPr>
            <w:tcW w:w="1667"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35,856,511.62</w:t>
            </w:r>
          </w:p>
        </w:tc>
        <w:tc>
          <w:tcPr>
            <w:tcW w:w="1666"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14,134,601.49</w:t>
            </w:r>
          </w:p>
        </w:tc>
      </w:tr>
      <w:tr>
        <w:tblPrEx>
          <w:tblCellMar>
            <w:top w:w="15" w:type="dxa"/>
            <w:left w:w="15" w:type="dxa"/>
            <w:bottom w:w="15" w:type="dxa"/>
            <w:right w:w="15" w:type="dxa"/>
          </w:tblCellMar>
        </w:tblPrEx>
        <w:trPr>
          <w:trHeight w:val="397" w:hRule="atLeast"/>
          <w:jc w:val="center"/>
        </w:trPr>
        <w:tc>
          <w:tcPr>
            <w:tcW w:w="166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3"/>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18"/>
                <w:szCs w:val="18"/>
              </w:rPr>
            </w:pPr>
            <w:r>
              <w:rPr>
                <w:rFonts w:hint="eastAsia" w:ascii="宋体" w:hAnsi="宋体" w:eastAsia="宋体" w:cs="宋体"/>
                <w:sz w:val="18"/>
                <w:szCs w:val="18"/>
              </w:rPr>
              <w:t>合 计</w:t>
            </w:r>
          </w:p>
        </w:tc>
        <w:tc>
          <w:tcPr>
            <w:tcW w:w="1667"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35,856,511.62</w:t>
            </w:r>
          </w:p>
        </w:tc>
        <w:tc>
          <w:tcPr>
            <w:tcW w:w="1666"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14,134,601.49</w:t>
            </w:r>
          </w:p>
        </w:tc>
      </w:tr>
    </w:tbl>
    <w:p>
      <w:pPr>
        <w:pStyle w:val="3"/>
        <w:keepNext w:val="0"/>
        <w:keepLines w:val="0"/>
        <w:widowControl/>
        <w:suppressLineNumbers w:val="0"/>
        <w:spacing w:before="0" w:beforeAutospacing="0" w:after="0" w:afterAutospacing="0"/>
        <w:ind w:left="0" w:right="0" w:firstLine="420"/>
        <w:jc w:val="left"/>
        <w:rPr>
          <w:rFonts w:hint="default" w:ascii="Times New Roman" w:hAnsi="Times New Roman" w:cs="Times New Roman"/>
          <w:sz w:val="18"/>
          <w:szCs w:val="18"/>
        </w:rPr>
      </w:pPr>
      <w:r>
        <w:rPr>
          <w:rFonts w:hint="eastAsia" w:ascii="宋体" w:hAnsi="宋体" w:eastAsia="宋体" w:cs="宋体"/>
          <w:sz w:val="21"/>
          <w:szCs w:val="21"/>
        </w:rPr>
        <w:t>经营租赁收入情况：</w:t>
      </w:r>
    </w:p>
    <w:tbl>
      <w:tblPr>
        <w:tblStyle w:val="4"/>
        <w:tblW w:w="9387" w:type="dxa"/>
        <w:jc w:val="center"/>
        <w:shd w:val="clear" w:color="auto" w:fill="auto"/>
        <w:tblLayout w:type="autofit"/>
        <w:tblCellMar>
          <w:top w:w="15" w:type="dxa"/>
          <w:left w:w="15" w:type="dxa"/>
          <w:bottom w:w="15" w:type="dxa"/>
          <w:right w:w="15" w:type="dxa"/>
        </w:tblCellMar>
      </w:tblPr>
      <w:tblGrid>
        <w:gridCol w:w="4614"/>
        <w:gridCol w:w="4773"/>
      </w:tblGrid>
      <w:tr>
        <w:tblPrEx>
          <w:shd w:val="clear" w:color="auto" w:fill="auto"/>
          <w:tblCellMar>
            <w:top w:w="15" w:type="dxa"/>
            <w:left w:w="15" w:type="dxa"/>
            <w:bottom w:w="15" w:type="dxa"/>
            <w:right w:w="15" w:type="dxa"/>
          </w:tblCellMar>
        </w:tblPrEx>
        <w:trPr>
          <w:jc w:val="center"/>
        </w:trPr>
        <w:tc>
          <w:tcPr>
            <w:tcW w:w="4614" w:type="dxa"/>
            <w:tcBorders>
              <w:top w:val="single" w:color="auto" w:sz="8" w:space="0"/>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18"/>
                <w:szCs w:val="18"/>
              </w:rPr>
            </w:pPr>
            <w:r>
              <w:rPr>
                <w:rStyle w:val="6"/>
                <w:rFonts w:hint="eastAsia" w:ascii="宋体" w:hAnsi="宋体" w:eastAsia="宋体" w:cs="宋体"/>
                <w:b/>
                <w:sz w:val="18"/>
                <w:szCs w:val="18"/>
              </w:rPr>
              <w:t>项 </w:t>
            </w:r>
            <w:r>
              <w:rPr>
                <w:rStyle w:val="6"/>
                <w:rFonts w:hint="default" w:ascii="Times New Roman" w:hAnsi="Times New Roman" w:cs="Times New Roman"/>
                <w:b/>
                <w:sz w:val="18"/>
                <w:szCs w:val="18"/>
              </w:rPr>
              <w:t> </w:t>
            </w:r>
            <w:r>
              <w:rPr>
                <w:rStyle w:val="6"/>
                <w:rFonts w:hint="eastAsia" w:ascii="宋体" w:hAnsi="宋体" w:eastAsia="宋体" w:cs="宋体"/>
                <w:b/>
                <w:sz w:val="18"/>
                <w:szCs w:val="18"/>
              </w:rPr>
              <w:t>目</w:t>
            </w:r>
          </w:p>
        </w:tc>
        <w:tc>
          <w:tcPr>
            <w:tcW w:w="4773" w:type="dxa"/>
            <w:tcBorders>
              <w:top w:val="single" w:color="auto" w:sz="8" w:space="0"/>
              <w:left w:val="nil"/>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18"/>
                <w:szCs w:val="18"/>
              </w:rPr>
            </w:pPr>
            <w:r>
              <w:rPr>
                <w:rStyle w:val="6"/>
                <w:rFonts w:hint="eastAsia" w:ascii="宋体" w:hAnsi="宋体" w:eastAsia="宋体" w:cs="宋体"/>
                <w:b/>
                <w:sz w:val="18"/>
                <w:szCs w:val="18"/>
              </w:rPr>
              <w:t>金额</w:t>
            </w:r>
          </w:p>
        </w:tc>
      </w:tr>
      <w:tr>
        <w:tblPrEx>
          <w:tblCellMar>
            <w:top w:w="15" w:type="dxa"/>
            <w:left w:w="15" w:type="dxa"/>
            <w:bottom w:w="15" w:type="dxa"/>
            <w:right w:w="15" w:type="dxa"/>
          </w:tblCellMar>
        </w:tblPrEx>
        <w:trPr>
          <w:jc w:val="center"/>
        </w:trPr>
        <w:tc>
          <w:tcPr>
            <w:tcW w:w="461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18"/>
                <w:szCs w:val="18"/>
              </w:rPr>
            </w:pPr>
            <w:r>
              <w:rPr>
                <w:rFonts w:hint="eastAsia" w:ascii="宋体" w:hAnsi="宋体" w:eastAsia="宋体" w:cs="宋体"/>
                <w:sz w:val="18"/>
                <w:szCs w:val="18"/>
              </w:rPr>
              <w:t>一、收入情况</w:t>
            </w:r>
          </w:p>
        </w:tc>
        <w:tc>
          <w:tcPr>
            <w:tcW w:w="4773"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18"/>
                <w:szCs w:val="18"/>
              </w:rPr>
            </w:pPr>
            <w:r>
              <w:rPr>
                <w:rFonts w:hint="eastAsia" w:ascii="宋体" w:hAnsi="宋体" w:eastAsia="宋体" w:cs="宋体"/>
                <w:color w:val="000000"/>
                <w:sz w:val="18"/>
                <w:szCs w:val="18"/>
              </w:rPr>
              <w:t> </w:t>
            </w:r>
          </w:p>
        </w:tc>
      </w:tr>
      <w:tr>
        <w:tblPrEx>
          <w:tblCellMar>
            <w:top w:w="15" w:type="dxa"/>
            <w:left w:w="15" w:type="dxa"/>
            <w:bottom w:w="15" w:type="dxa"/>
            <w:right w:w="15" w:type="dxa"/>
          </w:tblCellMar>
        </w:tblPrEx>
        <w:trPr>
          <w:jc w:val="center"/>
        </w:trPr>
        <w:tc>
          <w:tcPr>
            <w:tcW w:w="461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18"/>
                <w:szCs w:val="18"/>
              </w:rPr>
            </w:pPr>
            <w:r>
              <w:rPr>
                <w:rFonts w:hint="eastAsia" w:ascii="宋体" w:hAnsi="宋体" w:eastAsia="宋体" w:cs="宋体"/>
                <w:sz w:val="18"/>
                <w:szCs w:val="18"/>
              </w:rPr>
              <w:t>租赁收入</w:t>
            </w:r>
          </w:p>
        </w:tc>
        <w:tc>
          <w:tcPr>
            <w:tcW w:w="4773"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3,135,963.08</w:t>
            </w:r>
          </w:p>
        </w:tc>
      </w:tr>
      <w:tr>
        <w:tblPrEx>
          <w:tblCellMar>
            <w:top w:w="15" w:type="dxa"/>
            <w:left w:w="15" w:type="dxa"/>
            <w:bottom w:w="15" w:type="dxa"/>
            <w:right w:w="15" w:type="dxa"/>
          </w:tblCellMar>
        </w:tblPrEx>
        <w:trPr>
          <w:jc w:val="center"/>
        </w:trPr>
        <w:tc>
          <w:tcPr>
            <w:tcW w:w="461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18"/>
                <w:szCs w:val="18"/>
              </w:rPr>
            </w:pPr>
            <w:r>
              <w:rPr>
                <w:rFonts w:hint="eastAsia" w:ascii="宋体" w:hAnsi="宋体" w:eastAsia="宋体" w:cs="宋体"/>
                <w:sz w:val="18"/>
                <w:szCs w:val="18"/>
              </w:rPr>
              <w:t>未计入租赁收款额的可变租赁付款额相关的收入</w:t>
            </w:r>
          </w:p>
        </w:tc>
        <w:tc>
          <w:tcPr>
            <w:tcW w:w="4773"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 </w:t>
            </w:r>
          </w:p>
        </w:tc>
      </w:tr>
      <w:tr>
        <w:tblPrEx>
          <w:tblCellMar>
            <w:top w:w="15" w:type="dxa"/>
            <w:left w:w="15" w:type="dxa"/>
            <w:bottom w:w="15" w:type="dxa"/>
            <w:right w:w="15" w:type="dxa"/>
          </w:tblCellMar>
        </w:tblPrEx>
        <w:trPr>
          <w:jc w:val="center"/>
        </w:trPr>
        <w:tc>
          <w:tcPr>
            <w:tcW w:w="461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18"/>
                <w:szCs w:val="18"/>
              </w:rPr>
            </w:pPr>
            <w:r>
              <w:rPr>
                <w:rFonts w:hint="eastAsia" w:ascii="宋体" w:hAnsi="宋体" w:eastAsia="宋体" w:cs="宋体"/>
                <w:sz w:val="18"/>
                <w:szCs w:val="18"/>
              </w:rPr>
              <w:t>二、资产负债表日后连续五个会计年度每年将收到的未折现租赁收款额</w:t>
            </w:r>
          </w:p>
        </w:tc>
        <w:tc>
          <w:tcPr>
            <w:tcW w:w="4773"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18"/>
                <w:szCs w:val="18"/>
              </w:rPr>
            </w:pPr>
            <w:r>
              <w:rPr>
                <w:rFonts w:hint="eastAsia" w:ascii="宋体" w:hAnsi="宋体" w:eastAsia="宋体" w:cs="宋体"/>
                <w:color w:val="000000"/>
                <w:sz w:val="18"/>
                <w:szCs w:val="18"/>
              </w:rPr>
              <w:t> </w:t>
            </w:r>
          </w:p>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30,765,429.14</w:t>
            </w:r>
          </w:p>
        </w:tc>
      </w:tr>
      <w:tr>
        <w:tblPrEx>
          <w:tblCellMar>
            <w:top w:w="15" w:type="dxa"/>
            <w:left w:w="15" w:type="dxa"/>
            <w:bottom w:w="15" w:type="dxa"/>
            <w:right w:w="15" w:type="dxa"/>
          </w:tblCellMar>
        </w:tblPrEx>
        <w:trPr>
          <w:jc w:val="center"/>
        </w:trPr>
        <w:tc>
          <w:tcPr>
            <w:tcW w:w="461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18"/>
                <w:szCs w:val="18"/>
              </w:rPr>
            </w:pPr>
            <w:r>
              <w:rPr>
                <w:rFonts w:hint="eastAsia" w:ascii="宋体" w:hAnsi="宋体" w:eastAsia="宋体" w:cs="宋体"/>
                <w:sz w:val="18"/>
                <w:szCs w:val="18"/>
              </w:rPr>
              <w:t>第1年</w:t>
            </w:r>
          </w:p>
        </w:tc>
        <w:tc>
          <w:tcPr>
            <w:tcW w:w="4773"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6,401,549.00</w:t>
            </w:r>
          </w:p>
        </w:tc>
      </w:tr>
      <w:tr>
        <w:tblPrEx>
          <w:tblCellMar>
            <w:top w:w="15" w:type="dxa"/>
            <w:left w:w="15" w:type="dxa"/>
            <w:bottom w:w="15" w:type="dxa"/>
            <w:right w:w="15" w:type="dxa"/>
          </w:tblCellMar>
        </w:tblPrEx>
        <w:trPr>
          <w:jc w:val="center"/>
        </w:trPr>
        <w:tc>
          <w:tcPr>
            <w:tcW w:w="461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18"/>
                <w:szCs w:val="18"/>
              </w:rPr>
            </w:pPr>
            <w:r>
              <w:rPr>
                <w:rFonts w:hint="eastAsia" w:ascii="宋体" w:hAnsi="宋体" w:eastAsia="宋体" w:cs="宋体"/>
                <w:sz w:val="18"/>
                <w:szCs w:val="18"/>
              </w:rPr>
              <w:t>第2年</w:t>
            </w:r>
          </w:p>
        </w:tc>
        <w:tc>
          <w:tcPr>
            <w:tcW w:w="4773"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6,615,789.01</w:t>
            </w:r>
          </w:p>
        </w:tc>
      </w:tr>
      <w:tr>
        <w:tblPrEx>
          <w:tblCellMar>
            <w:top w:w="15" w:type="dxa"/>
            <w:left w:w="15" w:type="dxa"/>
            <w:bottom w:w="15" w:type="dxa"/>
            <w:right w:w="15" w:type="dxa"/>
          </w:tblCellMar>
        </w:tblPrEx>
        <w:trPr>
          <w:jc w:val="center"/>
        </w:trPr>
        <w:tc>
          <w:tcPr>
            <w:tcW w:w="461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18"/>
                <w:szCs w:val="18"/>
              </w:rPr>
            </w:pPr>
            <w:r>
              <w:rPr>
                <w:rFonts w:hint="eastAsia" w:ascii="宋体" w:hAnsi="宋体" w:eastAsia="宋体" w:cs="宋体"/>
                <w:sz w:val="18"/>
                <w:szCs w:val="18"/>
              </w:rPr>
              <w:t>第3年</w:t>
            </w:r>
          </w:p>
        </w:tc>
        <w:tc>
          <w:tcPr>
            <w:tcW w:w="4773"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6,770,079.55</w:t>
            </w:r>
          </w:p>
        </w:tc>
      </w:tr>
      <w:tr>
        <w:tblPrEx>
          <w:tblCellMar>
            <w:top w:w="15" w:type="dxa"/>
            <w:left w:w="15" w:type="dxa"/>
            <w:bottom w:w="15" w:type="dxa"/>
            <w:right w:w="15" w:type="dxa"/>
          </w:tblCellMar>
        </w:tblPrEx>
        <w:trPr>
          <w:jc w:val="center"/>
        </w:trPr>
        <w:tc>
          <w:tcPr>
            <w:tcW w:w="461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18"/>
                <w:szCs w:val="18"/>
              </w:rPr>
            </w:pPr>
            <w:r>
              <w:rPr>
                <w:rFonts w:hint="eastAsia" w:ascii="宋体" w:hAnsi="宋体" w:eastAsia="宋体" w:cs="宋体"/>
                <w:sz w:val="18"/>
                <w:szCs w:val="18"/>
              </w:rPr>
              <w:t>第4年</w:t>
            </w:r>
          </w:p>
        </w:tc>
        <w:tc>
          <w:tcPr>
            <w:tcW w:w="4773"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6,754,344.46</w:t>
            </w:r>
          </w:p>
        </w:tc>
      </w:tr>
      <w:tr>
        <w:tblPrEx>
          <w:tblCellMar>
            <w:top w:w="15" w:type="dxa"/>
            <w:left w:w="15" w:type="dxa"/>
            <w:bottom w:w="15" w:type="dxa"/>
            <w:right w:w="15" w:type="dxa"/>
          </w:tblCellMar>
        </w:tblPrEx>
        <w:trPr>
          <w:jc w:val="center"/>
        </w:trPr>
        <w:tc>
          <w:tcPr>
            <w:tcW w:w="461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18"/>
                <w:szCs w:val="18"/>
              </w:rPr>
            </w:pPr>
            <w:r>
              <w:rPr>
                <w:rFonts w:hint="eastAsia" w:ascii="宋体" w:hAnsi="宋体" w:eastAsia="宋体" w:cs="宋体"/>
                <w:sz w:val="18"/>
                <w:szCs w:val="18"/>
              </w:rPr>
              <w:t>第5年</w:t>
            </w:r>
          </w:p>
        </w:tc>
        <w:tc>
          <w:tcPr>
            <w:tcW w:w="4773"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4,223,667.12</w:t>
            </w:r>
          </w:p>
        </w:tc>
      </w:tr>
      <w:tr>
        <w:tblPrEx>
          <w:tblCellMar>
            <w:top w:w="15" w:type="dxa"/>
            <w:left w:w="15" w:type="dxa"/>
            <w:bottom w:w="15" w:type="dxa"/>
            <w:right w:w="15" w:type="dxa"/>
          </w:tblCellMar>
        </w:tblPrEx>
        <w:trPr>
          <w:jc w:val="center"/>
        </w:trPr>
        <w:tc>
          <w:tcPr>
            <w:tcW w:w="461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18"/>
                <w:szCs w:val="18"/>
              </w:rPr>
            </w:pPr>
            <w:r>
              <w:rPr>
                <w:rFonts w:hint="eastAsia" w:ascii="宋体" w:hAnsi="宋体" w:eastAsia="宋体" w:cs="宋体"/>
                <w:sz w:val="18"/>
                <w:szCs w:val="18"/>
              </w:rPr>
              <w:t>三、剩余年度将收到的未折现租赁收款额总额</w:t>
            </w:r>
          </w:p>
        </w:tc>
        <w:tc>
          <w:tcPr>
            <w:tcW w:w="4773"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7,800,209.96</w:t>
            </w:r>
          </w:p>
        </w:tc>
      </w:tr>
      <w:tr>
        <w:tblPrEx>
          <w:tblCellMar>
            <w:top w:w="15" w:type="dxa"/>
            <w:left w:w="15" w:type="dxa"/>
            <w:bottom w:w="15" w:type="dxa"/>
            <w:right w:w="15" w:type="dxa"/>
          </w:tblCellMar>
        </w:tblPrEx>
        <w:trPr>
          <w:jc w:val="center"/>
        </w:trPr>
        <w:tc>
          <w:tcPr>
            <w:tcW w:w="461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18"/>
                <w:szCs w:val="18"/>
              </w:rPr>
            </w:pPr>
            <w:r>
              <w:rPr>
                <w:rFonts w:hint="eastAsia" w:ascii="宋体" w:hAnsi="宋体" w:eastAsia="宋体" w:cs="宋体"/>
                <w:sz w:val="18"/>
                <w:szCs w:val="18"/>
              </w:rPr>
              <w:t>1年以内（含1年）</w:t>
            </w:r>
          </w:p>
        </w:tc>
        <w:tc>
          <w:tcPr>
            <w:tcW w:w="4773"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4,321,547.25</w:t>
            </w:r>
          </w:p>
        </w:tc>
      </w:tr>
      <w:tr>
        <w:tblPrEx>
          <w:tblCellMar>
            <w:top w:w="15" w:type="dxa"/>
            <w:left w:w="15" w:type="dxa"/>
            <w:bottom w:w="15" w:type="dxa"/>
            <w:right w:w="15" w:type="dxa"/>
          </w:tblCellMar>
        </w:tblPrEx>
        <w:trPr>
          <w:jc w:val="center"/>
        </w:trPr>
        <w:tc>
          <w:tcPr>
            <w:tcW w:w="461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18"/>
                <w:szCs w:val="18"/>
              </w:rPr>
            </w:pPr>
            <w:r>
              <w:rPr>
                <w:rFonts w:hint="eastAsia" w:ascii="宋体" w:hAnsi="宋体" w:eastAsia="宋体" w:cs="宋体"/>
                <w:sz w:val="18"/>
                <w:szCs w:val="18"/>
              </w:rPr>
              <w:t>1年以上2年以内（含2年）</w:t>
            </w:r>
          </w:p>
        </w:tc>
        <w:tc>
          <w:tcPr>
            <w:tcW w:w="4773"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3,419,609.64</w:t>
            </w:r>
          </w:p>
        </w:tc>
      </w:tr>
      <w:tr>
        <w:tblPrEx>
          <w:tblCellMar>
            <w:top w:w="15" w:type="dxa"/>
            <w:left w:w="15" w:type="dxa"/>
            <w:bottom w:w="15" w:type="dxa"/>
            <w:right w:w="15" w:type="dxa"/>
          </w:tblCellMar>
        </w:tblPrEx>
        <w:trPr>
          <w:jc w:val="center"/>
        </w:trPr>
        <w:tc>
          <w:tcPr>
            <w:tcW w:w="461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18"/>
                <w:szCs w:val="18"/>
              </w:rPr>
            </w:pPr>
            <w:r>
              <w:rPr>
                <w:rFonts w:hint="eastAsia" w:ascii="宋体" w:hAnsi="宋体" w:eastAsia="宋体" w:cs="宋体"/>
                <w:sz w:val="18"/>
                <w:szCs w:val="18"/>
              </w:rPr>
              <w:t>2年以上3年以内（含3年）</w:t>
            </w:r>
          </w:p>
        </w:tc>
        <w:tc>
          <w:tcPr>
            <w:tcW w:w="4773"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59,053.07</w:t>
            </w:r>
          </w:p>
        </w:tc>
      </w:tr>
      <w:tr>
        <w:tblPrEx>
          <w:tblCellMar>
            <w:top w:w="15" w:type="dxa"/>
            <w:left w:w="15" w:type="dxa"/>
            <w:bottom w:w="15" w:type="dxa"/>
            <w:right w:w="15" w:type="dxa"/>
          </w:tblCellMar>
        </w:tblPrEx>
        <w:trPr>
          <w:jc w:val="center"/>
        </w:trPr>
        <w:tc>
          <w:tcPr>
            <w:tcW w:w="461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18"/>
                <w:szCs w:val="18"/>
              </w:rPr>
            </w:pPr>
            <w:r>
              <w:rPr>
                <w:rFonts w:hint="eastAsia" w:ascii="宋体" w:hAnsi="宋体" w:eastAsia="宋体" w:cs="宋体"/>
                <w:sz w:val="18"/>
                <w:szCs w:val="18"/>
              </w:rPr>
              <w:t>3年以上</w:t>
            </w:r>
          </w:p>
        </w:tc>
        <w:tc>
          <w:tcPr>
            <w:tcW w:w="4773"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top"/>
          </w:tcPr>
          <w:p>
            <w:pPr>
              <w:pStyle w:val="3"/>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 </w:t>
            </w:r>
          </w:p>
        </w:tc>
      </w:tr>
    </w:tbl>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18"/>
          <w:szCs w:val="18"/>
        </w:rPr>
      </w:pPr>
      <w:r>
        <w:rPr>
          <w:rStyle w:val="6"/>
          <w:rFonts w:hint="eastAsia" w:ascii="宋体" w:hAnsi="宋体" w:eastAsia="宋体" w:cs="宋体"/>
          <w:b/>
          <w:sz w:val="24"/>
          <w:szCs w:val="24"/>
        </w:rPr>
        <w:t> </w:t>
      </w:r>
    </w:p>
    <w:p>
      <w:pPr>
        <w:pStyle w:val="3"/>
        <w:keepNext w:val="0"/>
        <w:keepLines w:val="0"/>
        <w:widowControl/>
        <w:numPr>
          <w:ilvl w:val="0"/>
          <w:numId w:val="3"/>
        </w:numPr>
        <w:suppressLineNumbers w:val="0"/>
        <w:spacing w:before="0" w:beforeAutospacing="0" w:after="0" w:afterAutospacing="0"/>
        <w:ind w:left="45" w:leftChars="0" w:right="0" w:firstLine="0" w:firstLineChars="0"/>
        <w:jc w:val="both"/>
        <w:rPr>
          <w:rFonts w:ascii="宋体" w:hAnsi="宋体" w:eastAsia="宋体" w:cs="宋体"/>
          <w:b/>
          <w:bCs/>
          <w:sz w:val="24"/>
          <w:szCs w:val="24"/>
        </w:rPr>
      </w:pPr>
      <w:bookmarkStart w:id="306" w:name="_Toc989256"/>
      <w:r>
        <w:rPr>
          <w:rFonts w:ascii="宋体" w:hAnsi="宋体" w:eastAsia="宋体" w:cs="宋体"/>
          <w:b/>
          <w:bCs/>
          <w:sz w:val="24"/>
          <w:szCs w:val="24"/>
        </w:rPr>
        <w:t>母公司财务报表主要项目注释</w:t>
      </w:r>
      <w:bookmarkEnd w:id="306"/>
      <w:bookmarkStart w:id="307" w:name="_Toc989257"/>
    </w:p>
    <w:p>
      <w:pPr>
        <w:pStyle w:val="3"/>
        <w:keepNext w:val="0"/>
        <w:keepLines w:val="0"/>
        <w:widowControl/>
        <w:numPr>
          <w:ilvl w:val="0"/>
          <w:numId w:val="0"/>
        </w:numPr>
        <w:suppressLineNumbers w:val="0"/>
        <w:spacing w:before="0" w:beforeAutospacing="0" w:after="0" w:afterAutospacing="0"/>
        <w:ind w:left="45" w:leftChars="0" w:right="0" w:rightChars="0"/>
        <w:jc w:val="both"/>
        <w:rPr>
          <w:rFonts w:ascii="宋体" w:hAnsi="宋体" w:eastAsia="宋体" w:cs="宋体"/>
          <w:b/>
          <w:bCs/>
          <w:sz w:val="21"/>
          <w:szCs w:val="21"/>
        </w:rPr>
      </w:pPr>
    </w:p>
    <w:p>
      <w:pPr>
        <w:pStyle w:val="3"/>
        <w:keepNext w:val="0"/>
        <w:keepLines w:val="0"/>
        <w:widowControl/>
        <w:numPr>
          <w:ilvl w:val="0"/>
          <w:numId w:val="0"/>
        </w:numPr>
        <w:suppressLineNumbers w:val="0"/>
        <w:spacing w:before="0" w:beforeAutospacing="0" w:after="0" w:afterAutospacing="0"/>
        <w:ind w:left="45" w:leftChars="0" w:right="0" w:rightChars="0"/>
        <w:jc w:val="both"/>
        <w:rPr>
          <w:rFonts w:ascii="宋体" w:hAnsi="宋体" w:eastAsia="宋体" w:cs="宋体"/>
          <w:b/>
          <w:bCs/>
          <w:sz w:val="21"/>
          <w:szCs w:val="21"/>
        </w:rPr>
      </w:pPr>
      <w:r>
        <w:rPr>
          <w:rFonts w:ascii="宋体" w:hAnsi="宋体" w:eastAsia="宋体" w:cs="宋体"/>
          <w:b/>
          <w:bCs/>
          <w:sz w:val="21"/>
          <w:szCs w:val="21"/>
        </w:rPr>
        <w:t>1、应收账款</w:t>
      </w:r>
      <w:bookmarkEnd w:id="307"/>
    </w:p>
    <w:p>
      <w:pPr>
        <w:keepNext/>
        <w:keepLines/>
        <w:spacing w:before="300" w:after="300" w:line="280" w:lineRule="exact"/>
        <w:jc w:val="left"/>
        <w:outlineLvl w:val="3"/>
        <w:rPr>
          <w:rFonts w:ascii="宋体" w:hAnsi="宋体" w:eastAsia="宋体" w:cs="宋体"/>
          <w:b/>
          <w:bCs/>
          <w:sz w:val="21"/>
          <w:szCs w:val="21"/>
        </w:rPr>
      </w:pPr>
      <w:bookmarkStart w:id="308" w:name="_Toc989258"/>
      <w:r>
        <w:rPr>
          <w:rFonts w:ascii="宋体" w:hAnsi="宋体" w:eastAsia="宋体" w:cs="宋体"/>
          <w:b/>
          <w:bCs/>
          <w:sz w:val="21"/>
          <w:szCs w:val="21"/>
        </w:rPr>
        <w:t>（1） 应收账款分类披露</w:t>
      </w:r>
      <w:bookmarkEnd w:id="30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按单项计提坏账准备的应收账款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45,981,216.20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45,981,216.20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45,987,466.20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45,987,466.20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亚洲硅业（青海）有限公司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厦门航空公司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小额难以收回应收账款合计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30,464,624.20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30,464,624.20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30,470,874.20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30,470,874.20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187,870,792.55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80.34%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19,246,052.05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168,624,740.50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130,705,896.22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73.97%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15,632,374.16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115,073,522.06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100,450,025.68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42.95%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5,022,501.28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95,427,524.40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55,008,954.69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31.13%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2,750,447.73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52,258,506.96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1至2年（含2年）</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61,697,218.27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6,169,721.83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55,527,496.44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60,969,737.36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6,096,973.74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54,872,763.62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2-3年（含3年）</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12,744,421.49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2,548,884.30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10,195,537.19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3,674,282.34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734,856.47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2,939,425.87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3-4年（含4年）</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4,923,094.60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1,476,928.38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3,446,166.22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2,101,947.14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630,584.14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1,471,363.00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4-5年（含5年）</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8,056,032.51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4,028,016.26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4,028,016.25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7,062,925.22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3,531,462.61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3,531,462.61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1,888,049.47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1,888,049.47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233,852,008.75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65,227,268.25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168,624,740.50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176,693,362.42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61,619,840.36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115,073,522.06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按单项计提坏账准备：45,981,216.20元</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亚洲硅业（青海）有限公司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厦门航空公司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小额难以收回应收账款合计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30,464,624.20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30,464,624.20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45,981,216.20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45,981,216.20</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按单项计提坏账准备：0</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按单项计提坏账准备：0</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按组合计提坏账准备：19,246,052.05 </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100,450,025.68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5,022,501.28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1至2年（含2年）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61,697,218.27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6,169,721.83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2-3年（含3年）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12,744,421.49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2,548,884.30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3-4年（含4年）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4,923,094.60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1,476,928.38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4-5年（含5年）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8,056,032.51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4,028,016.26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187,870,792.55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19,246,052.05</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如是按照预期信用损失一般模型计提应收账款坏账准备，请参照其他应收款的披露方式披露坏账准备的相关信息：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100,450,025.68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61,697,218.27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12,744,421.49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58,960,343.31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3至4年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4,923,094.60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8,056,032.51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5年以上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45,981,216.20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233,852,008.75</w:t>
            </w:r>
          </w:p>
        </w:tc>
      </w:tr>
    </w:tbl>
    <w:p>
      <w:pPr>
        <w:keepNext/>
        <w:keepLines/>
        <w:spacing w:before="300" w:after="300" w:line="280" w:lineRule="exact"/>
        <w:jc w:val="left"/>
        <w:outlineLvl w:val="3"/>
        <w:rPr>
          <w:rFonts w:ascii="宋体" w:hAnsi="宋体" w:eastAsia="宋体" w:cs="宋体"/>
          <w:b/>
          <w:bCs/>
          <w:sz w:val="21"/>
          <w:szCs w:val="21"/>
        </w:rPr>
      </w:pPr>
      <w:bookmarkStart w:id="309" w:name="_Toc989259"/>
      <w:r>
        <w:rPr>
          <w:rFonts w:ascii="宋体" w:hAnsi="宋体" w:eastAsia="宋体" w:cs="宋体"/>
          <w:b/>
          <w:bCs/>
          <w:sz w:val="21"/>
          <w:szCs w:val="21"/>
        </w:rPr>
        <w:t>（2） 本期计提、收回或转回的坏账准备情况</w:t>
      </w:r>
      <w:bookmarkEnd w:id="309"/>
    </w:p>
    <w:p>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45,987,466.20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6,250.00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45,981,216.20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按账龄组合计提坏账准备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15,632,374.16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3,613,677.89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19,246,052.05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61,619,840.36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3,613,677.89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6,250.00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65,227,268.25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spacing w:before="100" w:after="100" w:line="0" w:lineRule="exact"/>
        <w:jc w:val="left"/>
      </w:pPr>
    </w:p>
    <w:p>
      <w:pPr>
        <w:keepNext/>
        <w:keepLines/>
        <w:spacing w:before="300" w:after="300" w:line="280" w:lineRule="exact"/>
        <w:jc w:val="left"/>
        <w:outlineLvl w:val="3"/>
        <w:rPr>
          <w:rFonts w:ascii="宋体" w:hAnsi="宋体" w:eastAsia="宋体" w:cs="宋体"/>
          <w:b/>
          <w:bCs/>
          <w:sz w:val="21"/>
          <w:szCs w:val="21"/>
        </w:rPr>
      </w:pPr>
      <w:bookmarkStart w:id="310" w:name="_Toc989260"/>
      <w:r>
        <w:rPr>
          <w:rFonts w:ascii="宋体" w:hAnsi="宋体" w:eastAsia="宋体" w:cs="宋体"/>
          <w:b/>
          <w:bCs/>
          <w:sz w:val="21"/>
          <w:szCs w:val="21"/>
        </w:rPr>
        <w:t>（3） 本期实际核销的应收账款情况</w:t>
      </w:r>
      <w:bookmarkEnd w:id="31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其中重要的应收账款核销情况：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应收账款核销说明：</w:t>
      </w:r>
    </w:p>
    <w:p>
      <w:pPr>
        <w:pStyle w:val="3"/>
        <w:keepNext w:val="0"/>
        <w:keepLines w:val="0"/>
        <w:widowControl/>
        <w:suppressLineNumbers w:val="0"/>
        <w:spacing w:before="100" w:beforeAutospacing="0" w:after="120" w:afterAutospacing="0"/>
        <w:ind w:left="0" w:firstLine="420"/>
        <w:jc w:val="both"/>
        <w:rPr>
          <w:rFonts w:hint="eastAsia" w:ascii="宋体" w:hAnsi="宋体" w:eastAsia="宋体" w:cs="宋体"/>
          <w:sz w:val="18"/>
          <w:szCs w:val="18"/>
        </w:rPr>
      </w:pPr>
      <w:r>
        <w:rPr>
          <w:rFonts w:hint="eastAsia" w:ascii="宋体" w:hAnsi="宋体" w:eastAsia="宋体" w:cs="宋体"/>
          <w:sz w:val="21"/>
          <w:szCs w:val="21"/>
        </w:rPr>
        <w:t>本期无实际核销的应收账款。</w:t>
      </w:r>
    </w:p>
    <w:p>
      <w:pPr>
        <w:keepNext/>
        <w:keepLines/>
        <w:spacing w:before="300" w:after="300" w:line="280" w:lineRule="exact"/>
        <w:jc w:val="left"/>
        <w:outlineLvl w:val="3"/>
        <w:rPr>
          <w:rFonts w:ascii="宋体" w:hAnsi="宋体" w:eastAsia="宋体" w:cs="宋体"/>
          <w:b/>
          <w:bCs/>
          <w:sz w:val="21"/>
          <w:szCs w:val="21"/>
        </w:rPr>
      </w:pPr>
      <w:bookmarkStart w:id="311" w:name="_Toc989261"/>
      <w:r>
        <w:rPr>
          <w:rFonts w:ascii="宋体" w:hAnsi="宋体" w:eastAsia="宋体" w:cs="宋体"/>
          <w:b/>
          <w:bCs/>
          <w:sz w:val="21"/>
          <w:szCs w:val="21"/>
        </w:rPr>
        <w:t>（4） 按欠款方归集的期末余额前五名的应收账款情况</w:t>
      </w:r>
      <w:bookmarkEnd w:id="311"/>
    </w:p>
    <w:p>
      <w:pPr>
        <w:pStyle w:val="3"/>
        <w:keepNext w:val="0"/>
        <w:keepLines w:val="0"/>
        <w:widowControl/>
        <w:suppressLineNumbers w:val="0"/>
        <w:spacing w:before="0" w:beforeAutospacing="0" w:after="120" w:afterAutospacing="0"/>
        <w:ind w:left="0" w:firstLine="420"/>
        <w:jc w:val="left"/>
        <w:rPr>
          <w:rFonts w:hint="eastAsia" w:ascii="宋体" w:hAnsi="宋体" w:eastAsia="宋体" w:cs="宋体"/>
          <w:sz w:val="18"/>
          <w:szCs w:val="18"/>
        </w:rPr>
      </w:pPr>
      <w:bookmarkStart w:id="312" w:name="_Toc989262"/>
      <w:r>
        <w:rPr>
          <w:rFonts w:hint="eastAsia" w:ascii="宋体" w:hAnsi="宋体" w:eastAsia="宋体" w:cs="宋体"/>
          <w:sz w:val="21"/>
          <w:szCs w:val="21"/>
        </w:rPr>
        <w:t>期末应收账款余额前五名合计</w:t>
      </w:r>
      <w:r>
        <w:rPr>
          <w:rFonts w:hint="eastAsia" w:ascii="宋体" w:hAnsi="宋体" w:eastAsia="宋体" w:cs="宋体"/>
          <w:color w:val="333333"/>
          <w:sz w:val="21"/>
          <w:szCs w:val="21"/>
          <w:shd w:val="clear" w:fill="FFFFFF"/>
        </w:rPr>
        <w:t>179,416,715.62</w:t>
      </w:r>
      <w:r>
        <w:rPr>
          <w:rFonts w:hint="eastAsia" w:ascii="宋体" w:hAnsi="宋体" w:eastAsia="宋体" w:cs="宋体"/>
          <w:sz w:val="21"/>
          <w:szCs w:val="21"/>
        </w:rPr>
        <w:t>元，占应收账款余额的比例为</w:t>
      </w:r>
      <w:r>
        <w:rPr>
          <w:rFonts w:hint="eastAsia" w:ascii="宋体" w:hAnsi="宋体" w:eastAsia="宋体" w:cs="宋体"/>
          <w:color w:val="333333"/>
          <w:sz w:val="21"/>
          <w:szCs w:val="21"/>
          <w:shd w:val="clear" w:fill="FFFFFF"/>
        </w:rPr>
        <w:t>76.72%</w:t>
      </w:r>
      <w:r>
        <w:rPr>
          <w:rFonts w:hint="eastAsia" w:ascii="宋体" w:hAnsi="宋体" w:eastAsia="宋体" w:cs="宋体"/>
          <w:sz w:val="21"/>
          <w:szCs w:val="21"/>
        </w:rPr>
        <w:t>，计提坏账准备金额</w:t>
      </w:r>
      <w:r>
        <w:rPr>
          <w:rFonts w:hint="default" w:ascii="Times New Roman" w:hAnsi="Times New Roman" w:eastAsia="宋体" w:cs="Times New Roman"/>
          <w:sz w:val="21"/>
          <w:szCs w:val="21"/>
        </w:rPr>
        <w:t>27,150,474.45</w:t>
      </w:r>
      <w:r>
        <w:rPr>
          <w:rFonts w:hint="eastAsia" w:ascii="宋体" w:hAnsi="宋体" w:eastAsia="宋体" w:cs="宋体"/>
          <w:sz w:val="21"/>
          <w:szCs w:val="21"/>
        </w:rPr>
        <w:t>元。</w:t>
      </w:r>
      <w:bookmarkEnd w:id="312"/>
      <w:r>
        <w:rPr>
          <w:rFonts w:hint="eastAsia" w:ascii="宋体" w:hAnsi="宋体" w:eastAsia="宋体" w:cs="宋体"/>
          <w:sz w:val="18"/>
          <w:szCs w:val="18"/>
        </w:rPr>
        <w:t> </w:t>
      </w:r>
    </w:p>
    <w:p>
      <w:pPr>
        <w:pStyle w:val="3"/>
        <w:keepNext w:val="0"/>
        <w:keepLines w:val="0"/>
        <w:widowControl/>
        <w:suppressLineNumbers w:val="0"/>
        <w:spacing w:before="0" w:beforeAutospacing="0" w:after="120" w:afterAutospacing="0"/>
        <w:jc w:val="left"/>
        <w:rPr>
          <w:rFonts w:hint="eastAsia" w:ascii="宋体" w:hAnsi="宋体" w:eastAsia="宋体" w:cs="宋体"/>
          <w:sz w:val="18"/>
          <w:szCs w:val="18"/>
        </w:rPr>
      </w:pPr>
      <w:r>
        <w:rPr>
          <w:rStyle w:val="6"/>
          <w:rFonts w:hint="eastAsia" w:ascii="宋体" w:hAnsi="宋体" w:eastAsia="宋体" w:cs="宋体"/>
          <w:b/>
          <w:sz w:val="21"/>
          <w:szCs w:val="21"/>
        </w:rPr>
        <w:t>（</w:t>
      </w:r>
      <w:r>
        <w:rPr>
          <w:rStyle w:val="6"/>
          <w:rFonts w:hint="default" w:ascii="Times New Roman" w:hAnsi="Times New Roman" w:eastAsia="宋体" w:cs="Times New Roman"/>
          <w:b/>
          <w:sz w:val="21"/>
          <w:szCs w:val="21"/>
        </w:rPr>
        <w:t>5</w:t>
      </w:r>
      <w:r>
        <w:rPr>
          <w:rStyle w:val="6"/>
          <w:rFonts w:hint="eastAsia" w:ascii="宋体" w:hAnsi="宋体" w:eastAsia="宋体" w:cs="宋体"/>
          <w:b/>
          <w:sz w:val="21"/>
          <w:szCs w:val="21"/>
        </w:rPr>
        <w:t>）转移应收账款且继续涉入形成的资产、负债金额</w:t>
      </w:r>
    </w:p>
    <w:p>
      <w:pPr>
        <w:pStyle w:val="3"/>
        <w:keepNext w:val="0"/>
        <w:keepLines w:val="0"/>
        <w:widowControl/>
        <w:suppressLineNumbers w:val="0"/>
        <w:spacing w:before="0" w:beforeAutospacing="0" w:after="120"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期末无因转移应收账款而继续涉入的形成的资产、负债。</w:t>
      </w:r>
    </w:p>
    <w:p>
      <w:pPr>
        <w:keepNext/>
        <w:keepLines/>
        <w:spacing w:before="300" w:after="300" w:line="280" w:lineRule="exact"/>
        <w:jc w:val="left"/>
        <w:outlineLvl w:val="3"/>
        <w:rPr>
          <w:rFonts w:ascii="宋体" w:hAnsi="宋体" w:eastAsia="宋体" w:cs="宋体"/>
          <w:b/>
          <w:bCs/>
          <w:sz w:val="21"/>
          <w:szCs w:val="21"/>
        </w:rPr>
      </w:pPr>
      <w:bookmarkStart w:id="313" w:name="_Toc989263"/>
      <w:r>
        <w:rPr>
          <w:rFonts w:ascii="宋体" w:hAnsi="宋体" w:eastAsia="宋体" w:cs="宋体"/>
          <w:b/>
          <w:bCs/>
          <w:sz w:val="21"/>
          <w:szCs w:val="21"/>
        </w:rPr>
        <w:t>（6） 转移应收账款且继续涉入形成的资产、负债金额</w:t>
      </w:r>
      <w:bookmarkEnd w:id="313"/>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14" w:name="_Toc989264"/>
      <w:r>
        <w:rPr>
          <w:rFonts w:ascii="宋体" w:hAnsi="宋体" w:eastAsia="宋体" w:cs="宋体"/>
          <w:b/>
          <w:bCs/>
          <w:sz w:val="21"/>
          <w:szCs w:val="21"/>
        </w:rPr>
        <w:t>2、其他应收款</w:t>
      </w:r>
      <w:bookmarkEnd w:id="31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1,908,859.82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3,914,904.80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1,908,859.82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3,914,904.80</w:t>
            </w:r>
          </w:p>
        </w:tc>
      </w:tr>
    </w:tbl>
    <w:p>
      <w:pPr>
        <w:keepNext/>
        <w:keepLines/>
        <w:spacing w:before="300" w:after="300" w:line="280" w:lineRule="exact"/>
        <w:jc w:val="left"/>
        <w:outlineLvl w:val="3"/>
        <w:rPr>
          <w:rFonts w:ascii="宋体" w:hAnsi="宋体" w:eastAsia="宋体" w:cs="宋体"/>
          <w:b/>
          <w:bCs/>
          <w:sz w:val="18"/>
          <w:szCs w:val="18"/>
        </w:rPr>
      </w:pPr>
      <w:bookmarkStart w:id="315" w:name="_Toc989265"/>
      <w:r>
        <w:rPr>
          <w:rFonts w:ascii="宋体" w:hAnsi="宋体" w:eastAsia="宋体" w:cs="宋体"/>
          <w:b/>
          <w:bCs/>
          <w:sz w:val="18"/>
          <w:szCs w:val="18"/>
        </w:rPr>
        <w:t>（1） 其他应收款</w:t>
      </w:r>
      <w:bookmarkEnd w:id="315"/>
    </w:p>
    <w:p>
      <w:pPr>
        <w:keepNext/>
        <w:keepLines/>
        <w:spacing w:before="300" w:after="300" w:line="280" w:lineRule="exact"/>
        <w:jc w:val="left"/>
        <w:outlineLvl w:val="4"/>
        <w:rPr>
          <w:rFonts w:ascii="宋体" w:hAnsi="宋体" w:eastAsia="宋体" w:cs="宋体"/>
          <w:b/>
          <w:bCs/>
          <w:sz w:val="18"/>
          <w:szCs w:val="18"/>
        </w:rPr>
      </w:pPr>
      <w:bookmarkStart w:id="316" w:name="_Toc989266"/>
      <w:r>
        <w:rPr>
          <w:rFonts w:ascii="宋体" w:hAnsi="宋体" w:eastAsia="宋体" w:cs="宋体"/>
          <w:b/>
          <w:bCs/>
          <w:sz w:val="18"/>
          <w:szCs w:val="18"/>
        </w:rPr>
        <w:t>1） 其他应收款按款项性质分类情况</w:t>
      </w:r>
      <w:bookmarkEnd w:id="31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3,354,953.95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6,119,018.36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备用金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708,310.16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46,051.50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4,063,264.11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6,165,069.86</w:t>
            </w:r>
          </w:p>
        </w:tc>
      </w:tr>
    </w:tbl>
    <w:p>
      <w:pPr>
        <w:keepNext/>
        <w:keepLines/>
        <w:spacing w:before="300" w:after="300" w:line="280" w:lineRule="exact"/>
        <w:jc w:val="left"/>
        <w:outlineLvl w:val="4"/>
        <w:rPr>
          <w:rFonts w:ascii="宋体" w:hAnsi="宋体" w:eastAsia="宋体" w:cs="宋体"/>
          <w:b/>
          <w:bCs/>
          <w:sz w:val="18"/>
          <w:szCs w:val="18"/>
        </w:rPr>
      </w:pPr>
      <w:bookmarkStart w:id="317" w:name="_Toc989267"/>
      <w:r>
        <w:rPr>
          <w:rFonts w:ascii="宋体" w:hAnsi="宋体" w:eastAsia="宋体" w:cs="宋体"/>
          <w:b/>
          <w:bCs/>
          <w:sz w:val="18"/>
          <w:szCs w:val="18"/>
        </w:rPr>
        <w:t>2） 坏账准备计提情况</w:t>
      </w:r>
      <w:bookmarkEnd w:id="31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256,694.07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1,993,470.99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2,250,165.06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-95,760.77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-95,760.77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2022年6月30日余额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160,933.30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1,993,470.99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2,154,404.29</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4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1,961,792.56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15,457.90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2,086,013.65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3至4年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10,955.56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5年以上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2,038,248.09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4,063,264.11</w:t>
            </w:r>
          </w:p>
        </w:tc>
      </w:tr>
    </w:tbl>
    <w:p>
      <w:pPr>
        <w:keepNext/>
        <w:keepLines/>
        <w:spacing w:before="300" w:after="300" w:line="280" w:lineRule="exact"/>
        <w:jc w:val="left"/>
        <w:outlineLvl w:val="4"/>
        <w:rPr>
          <w:rFonts w:ascii="宋体" w:hAnsi="宋体" w:eastAsia="宋体" w:cs="宋体"/>
          <w:b/>
          <w:bCs/>
          <w:sz w:val="18"/>
          <w:szCs w:val="18"/>
        </w:rPr>
      </w:pPr>
      <w:bookmarkStart w:id="318" w:name="_Toc989268"/>
      <w:r>
        <w:rPr>
          <w:rFonts w:ascii="宋体" w:hAnsi="宋体" w:eastAsia="宋体" w:cs="宋体"/>
          <w:b/>
          <w:bCs/>
          <w:sz w:val="18"/>
          <w:szCs w:val="18"/>
        </w:rPr>
        <w:t>3） 本期计提、收回或转回的坏账准备情况</w:t>
      </w:r>
      <w:bookmarkEnd w:id="318"/>
    </w:p>
    <w:p>
      <w:pPr>
        <w:spacing w:before="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按账龄组合计提坏账准备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1,573,230.47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-95,760.77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1,477,469.70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2,250,165.06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-95,760.77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2,154,404.29</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其中本期坏账准备转回或收回金额重要的：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转回或收回金额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keepNext/>
        <w:keepLines/>
        <w:spacing w:before="300" w:after="300" w:line="280" w:lineRule="exact"/>
        <w:jc w:val="left"/>
        <w:outlineLvl w:val="4"/>
        <w:rPr>
          <w:rFonts w:ascii="宋体" w:hAnsi="宋体" w:eastAsia="宋体" w:cs="宋体"/>
          <w:b/>
          <w:bCs/>
          <w:sz w:val="18"/>
          <w:szCs w:val="18"/>
        </w:rPr>
      </w:pPr>
      <w:bookmarkStart w:id="319" w:name="_Toc989269"/>
      <w:r>
        <w:rPr>
          <w:rFonts w:ascii="宋体" w:hAnsi="宋体" w:eastAsia="宋体" w:cs="宋体"/>
          <w:b/>
          <w:bCs/>
          <w:sz w:val="18"/>
          <w:szCs w:val="18"/>
        </w:rPr>
        <w:t>4） 本期实际核销的其他应收款情况</w:t>
      </w:r>
      <w:bookmarkEnd w:id="31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其中重要的其他应收款核销情况：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其他应收款核销说明：</w:t>
      </w:r>
    </w:p>
    <w:p>
      <w:pPr>
        <w:pStyle w:val="3"/>
        <w:keepNext w:val="0"/>
        <w:keepLines w:val="0"/>
        <w:widowControl/>
        <w:suppressLineNumbers w:val="0"/>
        <w:spacing w:before="100" w:beforeAutospacing="0" w:after="120" w:afterAutospacing="0"/>
        <w:ind w:left="0" w:firstLine="420"/>
        <w:jc w:val="both"/>
        <w:rPr>
          <w:rFonts w:hint="eastAsia" w:ascii="宋体" w:hAnsi="宋体" w:eastAsia="宋体" w:cs="宋体"/>
          <w:sz w:val="18"/>
          <w:szCs w:val="18"/>
        </w:rPr>
      </w:pPr>
      <w:r>
        <w:rPr>
          <w:rFonts w:hint="eastAsia" w:ascii="宋体" w:hAnsi="宋体" w:eastAsia="宋体" w:cs="宋体"/>
          <w:sz w:val="21"/>
          <w:szCs w:val="21"/>
        </w:rPr>
        <w:t>本期无实际核销的其他应收款。</w:t>
      </w:r>
    </w:p>
    <w:p>
      <w:pPr>
        <w:keepNext/>
        <w:keepLines/>
        <w:spacing w:before="300" w:after="300" w:line="280" w:lineRule="exact"/>
        <w:jc w:val="left"/>
        <w:outlineLvl w:val="4"/>
        <w:rPr>
          <w:rFonts w:ascii="宋体" w:hAnsi="宋体" w:eastAsia="宋体" w:cs="宋体"/>
          <w:b/>
          <w:bCs/>
          <w:sz w:val="18"/>
          <w:szCs w:val="18"/>
        </w:rPr>
      </w:pPr>
      <w:bookmarkStart w:id="320" w:name="_Toc989270"/>
      <w:r>
        <w:rPr>
          <w:rFonts w:ascii="宋体" w:hAnsi="宋体" w:eastAsia="宋体" w:cs="宋体"/>
          <w:b/>
          <w:bCs/>
          <w:sz w:val="18"/>
          <w:szCs w:val="18"/>
        </w:rPr>
        <w:t>5） 按欠款方归集的期末余额前五名的其他应收款情况</w:t>
      </w:r>
      <w:bookmarkEnd w:id="32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1,408,687.64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70,434.38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上海雍丰国际贸易有限公司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长沙怡和有色新金属有限公司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473,536.40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473,536.40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宝鸡市天河钛业有限公司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448,534.00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448,534.00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吴志远</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备用金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75,428.00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3,771.40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3,249,186.04</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79.97%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1,839,276.18</w:t>
            </w:r>
          </w:p>
        </w:tc>
      </w:tr>
    </w:tbl>
    <w:p>
      <w:pPr>
        <w:keepNext/>
        <w:keepLines/>
        <w:spacing w:before="300" w:after="300" w:line="280" w:lineRule="exact"/>
        <w:jc w:val="left"/>
        <w:outlineLvl w:val="4"/>
        <w:rPr>
          <w:rFonts w:ascii="宋体" w:hAnsi="宋体" w:eastAsia="宋体" w:cs="宋体"/>
          <w:b/>
          <w:bCs/>
          <w:sz w:val="18"/>
          <w:szCs w:val="18"/>
        </w:rPr>
      </w:pPr>
      <w:bookmarkStart w:id="321" w:name="_Toc989271"/>
      <w:r>
        <w:rPr>
          <w:rFonts w:ascii="宋体" w:hAnsi="宋体" w:eastAsia="宋体" w:cs="宋体"/>
          <w:b/>
          <w:bCs/>
          <w:sz w:val="18"/>
          <w:szCs w:val="18"/>
        </w:rPr>
        <w:t>6） 涉及政府补助的应收款项</w:t>
      </w:r>
      <w:bookmarkEnd w:id="32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政府补助项目名称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预计收取的时间、金额及依据</w:t>
            </w:r>
          </w:p>
        </w:tc>
      </w:tr>
    </w:tbl>
    <w:p>
      <w:pPr>
        <w:pStyle w:val="3"/>
        <w:keepNext w:val="0"/>
        <w:keepLines w:val="0"/>
        <w:widowControl/>
        <w:suppressLineNumbers w:val="0"/>
        <w:spacing w:before="0" w:beforeAutospacing="0" w:after="0"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期末余额中无应收政府补助款。</w:t>
      </w:r>
    </w:p>
    <w:p>
      <w:pPr>
        <w:keepNext/>
        <w:keepLines/>
        <w:spacing w:before="300" w:after="300" w:line="280" w:lineRule="exact"/>
        <w:jc w:val="left"/>
        <w:outlineLvl w:val="4"/>
        <w:rPr>
          <w:rFonts w:ascii="宋体" w:hAnsi="宋体" w:eastAsia="宋体" w:cs="宋体"/>
          <w:b/>
          <w:bCs/>
          <w:sz w:val="18"/>
          <w:szCs w:val="18"/>
        </w:rPr>
      </w:pPr>
      <w:bookmarkStart w:id="322" w:name="_Toc989272"/>
      <w:r>
        <w:rPr>
          <w:rFonts w:ascii="宋体" w:hAnsi="宋体" w:eastAsia="宋体" w:cs="宋体"/>
          <w:b/>
          <w:bCs/>
          <w:sz w:val="18"/>
          <w:szCs w:val="18"/>
        </w:rPr>
        <w:t>7） 因金融资产转移而终止确认的其他应收款</w:t>
      </w:r>
      <w:bookmarkEnd w:id="322"/>
    </w:p>
    <w:p>
      <w:pPr>
        <w:pStyle w:val="3"/>
        <w:keepNext w:val="0"/>
        <w:keepLines w:val="0"/>
        <w:widowControl/>
        <w:suppressLineNumbers w:val="0"/>
        <w:spacing w:before="0" w:beforeAutospacing="0" w:after="0"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本期无因金融资产转移而终止确认的其他应收款。</w:t>
      </w:r>
    </w:p>
    <w:p>
      <w:pPr>
        <w:keepNext/>
        <w:keepLines/>
        <w:spacing w:before="300" w:after="300" w:line="280" w:lineRule="exact"/>
        <w:jc w:val="left"/>
        <w:outlineLvl w:val="4"/>
        <w:rPr>
          <w:rFonts w:ascii="宋体" w:hAnsi="宋体" w:eastAsia="宋体" w:cs="宋体"/>
          <w:b/>
          <w:bCs/>
          <w:sz w:val="18"/>
          <w:szCs w:val="18"/>
        </w:rPr>
      </w:pPr>
      <w:bookmarkStart w:id="323" w:name="_Toc989273"/>
      <w:r>
        <w:rPr>
          <w:rFonts w:ascii="宋体" w:hAnsi="宋体" w:eastAsia="宋体" w:cs="宋体"/>
          <w:b/>
          <w:bCs/>
          <w:sz w:val="18"/>
          <w:szCs w:val="18"/>
        </w:rPr>
        <w:t>8） 转移其他应收款且继续涉入形成的资产、负债金额</w:t>
      </w:r>
      <w:bookmarkEnd w:id="323"/>
    </w:p>
    <w:p>
      <w:pPr>
        <w:pStyle w:val="3"/>
        <w:keepNext w:val="0"/>
        <w:keepLines w:val="0"/>
        <w:widowControl/>
        <w:suppressLineNumbers w:val="0"/>
        <w:spacing w:before="0" w:beforeAutospacing="0" w:after="120" w:afterAutospacing="0"/>
        <w:ind w:left="0" w:firstLine="420"/>
        <w:jc w:val="left"/>
        <w:rPr>
          <w:rFonts w:hint="eastAsia" w:ascii="宋体" w:hAnsi="宋体" w:eastAsia="宋体" w:cs="宋体"/>
          <w:sz w:val="18"/>
          <w:szCs w:val="18"/>
        </w:rPr>
      </w:pPr>
      <w:r>
        <w:rPr>
          <w:rFonts w:hint="eastAsia" w:ascii="宋体" w:hAnsi="宋体" w:eastAsia="宋体" w:cs="宋体"/>
          <w:sz w:val="21"/>
          <w:szCs w:val="21"/>
        </w:rPr>
        <w:t>期末无转移其他应收款而继续涉入形成的资产、负债。</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4" w:name="_Toc989274"/>
      <w:r>
        <w:rPr>
          <w:rFonts w:ascii="宋体" w:hAnsi="宋体" w:eastAsia="宋体" w:cs="宋体"/>
          <w:b/>
          <w:bCs/>
          <w:sz w:val="21"/>
          <w:szCs w:val="21"/>
        </w:rPr>
        <w:t>3、长期股权投资</w:t>
      </w:r>
      <w:bookmarkEnd w:id="32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对子公司投资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1,356,016,702.37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1,356,016,702.37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对联营、合营企业投资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43,979,096.79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43,979,096.79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27,717,711.80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27,717,711.80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1,399,995,799.16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1,248,747,602.78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1,383,734,414.17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1,232,486,217.79</w:t>
            </w:r>
          </w:p>
        </w:tc>
      </w:tr>
    </w:tbl>
    <w:p>
      <w:pPr>
        <w:keepNext/>
        <w:keepLines/>
        <w:spacing w:before="300" w:after="300" w:line="280" w:lineRule="exact"/>
        <w:jc w:val="left"/>
        <w:outlineLvl w:val="3"/>
        <w:rPr>
          <w:rFonts w:ascii="宋体" w:hAnsi="宋体" w:eastAsia="宋体" w:cs="宋体"/>
          <w:b/>
          <w:bCs/>
          <w:sz w:val="21"/>
          <w:szCs w:val="21"/>
        </w:rPr>
      </w:pPr>
      <w:bookmarkStart w:id="325" w:name="_Toc989275"/>
      <w:r>
        <w:rPr>
          <w:rFonts w:ascii="宋体" w:hAnsi="宋体" w:eastAsia="宋体" w:cs="宋体"/>
          <w:b/>
          <w:bCs/>
          <w:sz w:val="21"/>
          <w:szCs w:val="21"/>
        </w:rPr>
        <w:t>（1） 对子公司投资</w:t>
      </w:r>
      <w:bookmarkEnd w:id="32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4820"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635,317,977.02</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635,317,977.02</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365,546,273.46</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365,546,273.46</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203,904,255.51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203,904,255.51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r>
    </w:tbl>
    <w:p>
      <w:pPr>
        <w:keepNext/>
        <w:keepLines/>
        <w:spacing w:before="300" w:after="300" w:line="280" w:lineRule="exact"/>
        <w:jc w:val="left"/>
        <w:outlineLvl w:val="3"/>
        <w:rPr>
          <w:rFonts w:ascii="宋体" w:hAnsi="宋体" w:eastAsia="宋体" w:cs="宋体"/>
          <w:b/>
          <w:bCs/>
          <w:sz w:val="21"/>
          <w:szCs w:val="21"/>
        </w:rPr>
      </w:pPr>
      <w:bookmarkStart w:id="326" w:name="_Toc989276"/>
      <w:r>
        <w:rPr>
          <w:rFonts w:ascii="宋体" w:hAnsi="宋体" w:eastAsia="宋体" w:cs="宋体"/>
          <w:b/>
          <w:bCs/>
          <w:sz w:val="21"/>
          <w:szCs w:val="21"/>
        </w:rPr>
        <w:t>（2） 对联营、合营企业投资</w:t>
      </w:r>
      <w:bookmarkEnd w:id="32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投资单位</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6426"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权益法下确认的投资损益</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其他综合收益调整</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其他权益变动</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宣告发放现金股利或利润</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27,717,711.80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28,118,160.00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-11,856,775.01</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43,979,096.79</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小计</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27,717,711.80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28,118,160.00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-11,856,775.01</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43,979,096.79</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27,717,711.80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28,118,160.00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-11,856,775.01</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43,979,096.79</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327" w:name="_Toc989277"/>
      <w:r>
        <w:rPr>
          <w:rFonts w:ascii="宋体" w:hAnsi="宋体" w:eastAsia="宋体" w:cs="宋体"/>
          <w:b/>
          <w:bCs/>
          <w:sz w:val="21"/>
          <w:szCs w:val="21"/>
        </w:rPr>
        <w:t>（3） 其他说明</w:t>
      </w:r>
      <w:bookmarkEnd w:id="327"/>
    </w:p>
    <w:p>
      <w:pPr>
        <w:keepNext/>
        <w:keepLines/>
        <w:spacing w:before="300" w:after="300" w:line="280" w:lineRule="exact"/>
        <w:jc w:val="left"/>
        <w:outlineLvl w:val="2"/>
        <w:rPr>
          <w:rFonts w:ascii="宋体" w:hAnsi="宋体" w:eastAsia="宋体" w:cs="宋体"/>
          <w:b/>
          <w:bCs/>
          <w:sz w:val="21"/>
          <w:szCs w:val="21"/>
        </w:rPr>
      </w:pPr>
      <w:bookmarkStart w:id="328" w:name="_Toc989278"/>
      <w:r>
        <w:rPr>
          <w:rFonts w:ascii="宋体" w:hAnsi="宋体" w:eastAsia="宋体" w:cs="宋体"/>
          <w:b/>
          <w:bCs/>
          <w:sz w:val="21"/>
          <w:szCs w:val="21"/>
        </w:rPr>
        <w:t>4、营业收入和营业成本</w:t>
      </w:r>
      <w:bookmarkEnd w:id="32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83,156,270.45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44,651,229.59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48,923,090.08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26,702,179.54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3,730,435.29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483,806.39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2,371,619.09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264,092.69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86,886,705.74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45,135,035.98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51,294,709.17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26,966,272.23</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收入相关信息：</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与履约义务相关的信息：</w:t>
      </w:r>
    </w:p>
    <w:p>
      <w:pPr>
        <w:pStyle w:val="3"/>
        <w:keepNext w:val="0"/>
        <w:keepLines w:val="0"/>
        <w:widowControl/>
        <w:suppressLineNumbers w:val="0"/>
        <w:spacing w:before="40" w:beforeAutospacing="0" w:after="40" w:afterAutospacing="0" w:line="240" w:lineRule="atLeast"/>
        <w:ind w:left="0" w:right="0"/>
        <w:jc w:val="left"/>
        <w:rPr>
          <w:rFonts w:hint="default" w:ascii="Times New Roman" w:hAnsi="Times New Roman" w:cs="Times New Roman"/>
          <w:sz w:val="21"/>
          <w:szCs w:val="21"/>
        </w:rPr>
      </w:pPr>
      <w:r>
        <w:rPr>
          <w:rFonts w:hint="eastAsia" w:ascii="宋体" w:hAnsi="宋体" w:eastAsia="宋体" w:cs="宋体"/>
          <w:sz w:val="18"/>
          <w:szCs w:val="18"/>
        </w:rPr>
        <w:t>本报告期末已签订合同、但尚未履行或尚未履行完毕的履约义务所对应的收入金额为195,778,000.00元，其中，105,741,952.00元预计将于2022年度确认收入，90,036,048.00元预计将于2023年度确认收入，元预计将于年度确认收入。</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与分摊至剩余履约义务的交易价格相关的信息：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本报告期末已签订合同、但尚未履行或尚未履行完毕的履约义务所对应的收入金额为195,778,000.00元，其中，105,741,952.00元预计将于2022年度确认收入，90,036,048.00元预计将于2023年度确认收入，元预计将于年度确认收入。</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9" w:name="_Toc989279"/>
      <w:r>
        <w:rPr>
          <w:rFonts w:ascii="宋体" w:hAnsi="宋体" w:eastAsia="宋体" w:cs="宋体"/>
          <w:b/>
          <w:bCs/>
          <w:sz w:val="21"/>
          <w:szCs w:val="21"/>
        </w:rPr>
        <w:t>5、投资收益</w:t>
      </w:r>
      <w:bookmarkEnd w:id="32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权益法核算的长期股权投资收益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-11,856,775.01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-6,774,728.84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处置交易性金融资产取得的投资收益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1,334,048.73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-10,522,726.28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-6,774,728.84</w:t>
            </w:r>
          </w:p>
        </w:tc>
      </w:tr>
    </w:tbl>
    <w:p>
      <w:pPr>
        <w:keepNext/>
        <w:keepLines/>
        <w:spacing w:before="300" w:after="300" w:line="320" w:lineRule="exact"/>
        <w:jc w:val="left"/>
        <w:outlineLvl w:val="1"/>
        <w:rPr>
          <w:rFonts w:ascii="宋体" w:hAnsi="宋体" w:eastAsia="宋体" w:cs="宋体"/>
          <w:b/>
          <w:bCs/>
          <w:sz w:val="24"/>
          <w:szCs w:val="24"/>
        </w:rPr>
      </w:pPr>
      <w:bookmarkStart w:id="330" w:name="_Toc989280"/>
      <w:r>
        <w:rPr>
          <w:rFonts w:ascii="宋体" w:hAnsi="宋体" w:eastAsia="宋体" w:cs="宋体"/>
          <w:b/>
          <w:bCs/>
          <w:sz w:val="24"/>
          <w:szCs w:val="24"/>
        </w:rPr>
        <w:t>十七、补充资料</w:t>
      </w:r>
      <w:bookmarkEnd w:id="330"/>
    </w:p>
    <w:p>
      <w:pPr>
        <w:keepNext/>
        <w:keepLines/>
        <w:spacing w:before="300" w:after="300" w:line="280" w:lineRule="exact"/>
        <w:jc w:val="left"/>
        <w:outlineLvl w:val="2"/>
        <w:rPr>
          <w:rFonts w:ascii="宋体" w:hAnsi="宋体" w:eastAsia="宋体" w:cs="宋体"/>
          <w:b/>
          <w:bCs/>
          <w:sz w:val="21"/>
          <w:szCs w:val="21"/>
        </w:rPr>
      </w:pPr>
      <w:bookmarkStart w:id="331" w:name="_Toc989281"/>
      <w:r>
        <w:rPr>
          <w:rFonts w:ascii="宋体" w:hAnsi="宋体" w:eastAsia="宋体" w:cs="宋体"/>
          <w:b/>
          <w:bCs/>
          <w:sz w:val="21"/>
          <w:szCs w:val="21"/>
        </w:rPr>
        <w:t>1、当期非经常性损益明细表</w:t>
      </w:r>
      <w:bookmarkEnd w:id="331"/>
    </w:p>
    <w:p>
      <w:pPr>
        <w:spacing w:before="0" w:after="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非流动资产处置损益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1,186.48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计入当期损益的政府补助（与公司正常经营业务密切相关，符合国家政策规定、按照一定标准定额或定量持续享受的政府补助除外）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7,941,964.26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宋体" w:hAnsi="宋体" w:eastAsia="宋体" w:cs="宋体"/>
                <w:sz w:val="18"/>
                <w:szCs w:val="18"/>
                <w:lang w:val="en-US" w:eastAsia="zh-CN"/>
              </w:rPr>
            </w:pPr>
            <w:r>
              <w:rPr>
                <w:rFonts w:hint="eastAsia" w:ascii="宋体" w:hAnsi="宋体" w:cs="宋体"/>
                <w:sz w:val="18"/>
                <w:szCs w:val="18"/>
                <w:lang w:val="en-US" w:eastAsia="zh-CN"/>
              </w:rPr>
              <w:t>1,537,255.57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-57,542.54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cs="宋体"/>
                <w:sz w:val="18"/>
                <w:szCs w:val="18"/>
                <w:lang w:val="en-US" w:eastAsia="zh-CN"/>
              </w:rPr>
              <w:t>840,549.44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少数股东权益影响额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cs="宋体"/>
                <w:sz w:val="18"/>
                <w:szCs w:val="18"/>
                <w:lang w:val="en-US" w:eastAsia="zh-CN"/>
              </w:rPr>
              <w:t>31,394.47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cs="宋体"/>
                <w:sz w:val="18"/>
                <w:szCs w:val="18"/>
                <w:lang w:val="en-US" w:eastAsia="zh-CN"/>
              </w:rPr>
              <w:t>8,550,919.86</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332" w:name="_Toc989282"/>
      <w:r>
        <w:rPr>
          <w:rFonts w:ascii="宋体" w:hAnsi="宋体" w:eastAsia="宋体" w:cs="宋体"/>
          <w:b/>
          <w:bCs/>
          <w:sz w:val="21"/>
          <w:szCs w:val="21"/>
        </w:rPr>
        <w:t>2、净资产收益率及每股收益</w:t>
      </w:r>
      <w:bookmarkEnd w:id="332"/>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报告期利润</w:t>
            </w:r>
          </w:p>
        </w:tc>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加权平均净资产收益率</w:t>
            </w:r>
          </w:p>
        </w:tc>
        <w:tc>
          <w:tcPr>
            <w:tcW w:w="48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每股收益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稀释每股收益（元/股）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0.0295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扣除非经常性损益后归属于公司普通股股东的净利润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eastAsia" w:ascii="宋体" w:hAnsi="宋体" w:eastAsia="宋体" w:cs="宋体"/>
                <w:sz w:val="18"/>
                <w:szCs w:val="18"/>
                <w:lang w:val="en-US" w:eastAsia="zh-CN"/>
              </w:rPr>
            </w:pPr>
            <w:r>
              <w:rPr>
                <w:rFonts w:ascii="宋体" w:hAnsi="宋体" w:eastAsia="宋体" w:cs="宋体"/>
                <w:sz w:val="18"/>
                <w:szCs w:val="18"/>
              </w:rPr>
              <w:t>0.014</w:t>
            </w:r>
            <w:r>
              <w:rPr>
                <w:rFonts w:hint="eastAsia" w:ascii="宋体" w:hAnsi="宋体" w:cs="宋体"/>
                <w:sz w:val="18"/>
                <w:szCs w:val="18"/>
                <w:lang w:val="en-US" w:eastAsia="zh-CN"/>
              </w:rPr>
              <w:t>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eastAsia" w:ascii="宋体" w:hAnsi="宋体" w:eastAsia="宋体" w:cs="宋体"/>
                <w:sz w:val="18"/>
                <w:szCs w:val="18"/>
                <w:lang w:val="en-US" w:eastAsia="zh-CN"/>
              </w:rPr>
            </w:pPr>
            <w:r>
              <w:rPr>
                <w:rFonts w:ascii="宋体" w:hAnsi="宋体" w:eastAsia="宋体" w:cs="宋体"/>
                <w:sz w:val="18"/>
                <w:szCs w:val="18"/>
              </w:rPr>
              <w:t>0.014</w:t>
            </w:r>
            <w:r>
              <w:rPr>
                <w:rFonts w:hint="eastAsia" w:ascii="宋体" w:hAnsi="宋体" w:cs="宋体"/>
                <w:sz w:val="18"/>
                <w:szCs w:val="18"/>
                <w:lang w:val="en-US" w:eastAsia="zh-CN"/>
              </w:rPr>
              <w:t>5</w:t>
            </w:r>
          </w:p>
        </w:tc>
      </w:tr>
    </w:tbl>
    <w:p>
      <w:pPr>
        <w:keepNext/>
        <w:keepLines/>
        <w:spacing w:before="300" w:after="300" w:line="280" w:lineRule="exact"/>
        <w:jc w:val="left"/>
        <w:outlineLvl w:val="2"/>
        <w:rPr>
          <w:rFonts w:ascii="宋体" w:hAnsi="宋体" w:eastAsia="宋体" w:cs="宋体"/>
          <w:b/>
          <w:bCs/>
          <w:sz w:val="21"/>
          <w:szCs w:val="21"/>
        </w:rPr>
      </w:pPr>
      <w:bookmarkStart w:id="333" w:name="_Toc989283"/>
      <w:r>
        <w:rPr>
          <w:rFonts w:ascii="宋体" w:hAnsi="宋体" w:eastAsia="宋体" w:cs="宋体"/>
          <w:b/>
          <w:bCs/>
          <w:sz w:val="21"/>
          <w:szCs w:val="21"/>
        </w:rPr>
        <w:t>3、境内外会计准则下会计数据差异</w:t>
      </w:r>
      <w:bookmarkEnd w:id="333"/>
    </w:p>
    <w:p>
      <w:pPr>
        <w:keepNext/>
        <w:keepLines/>
        <w:spacing w:before="300" w:after="300" w:line="280" w:lineRule="exact"/>
        <w:jc w:val="left"/>
        <w:outlineLvl w:val="3"/>
        <w:rPr>
          <w:rFonts w:ascii="宋体" w:hAnsi="宋体" w:eastAsia="宋体" w:cs="宋体"/>
          <w:b/>
          <w:bCs/>
          <w:sz w:val="21"/>
          <w:szCs w:val="21"/>
        </w:rPr>
      </w:pPr>
      <w:bookmarkStart w:id="334" w:name="_Toc989284"/>
      <w:r>
        <w:rPr>
          <w:rFonts w:ascii="宋体" w:hAnsi="宋体" w:eastAsia="宋体" w:cs="宋体"/>
          <w:b/>
          <w:bCs/>
          <w:sz w:val="21"/>
          <w:szCs w:val="21"/>
        </w:rPr>
        <w:t>（1） 同时按照国际会计准则与按中国会计准则披露的财务报告中净利润和净资产差异情况</w:t>
      </w:r>
      <w:bookmarkEnd w:id="334"/>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335" w:name="_Toc989285"/>
      <w:r>
        <w:rPr>
          <w:rFonts w:ascii="宋体" w:hAnsi="宋体" w:eastAsia="宋体" w:cs="宋体"/>
          <w:b/>
          <w:bCs/>
          <w:sz w:val="21"/>
          <w:szCs w:val="21"/>
        </w:rPr>
        <w:t>（2） 同时按照境外会计准则与按中国会计准则披露的财务报告中净利润和净资产差异情况</w:t>
      </w:r>
      <w:bookmarkEnd w:id="335"/>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336" w:name="_Toc989286"/>
      <w:r>
        <w:rPr>
          <w:rFonts w:ascii="宋体" w:hAnsi="宋体" w:eastAsia="宋体" w:cs="宋体"/>
          <w:b/>
          <w:bCs/>
          <w:sz w:val="21"/>
          <w:szCs w:val="21"/>
        </w:rPr>
        <w:t>（3） 境内外会计准则下会计数据差异原因说明，对已经境外审计机构审计的数据进行差异调节的，应注明该境外机构的名称</w:t>
      </w:r>
      <w:bookmarkEnd w:id="336"/>
    </w:p>
    <w:p>
      <w:pPr>
        <w:keepNext/>
        <w:keepLines/>
        <w:spacing w:before="300" w:after="300" w:line="280" w:lineRule="exact"/>
        <w:jc w:val="left"/>
        <w:outlineLvl w:val="2"/>
        <w:rPr>
          <w:rFonts w:ascii="宋体" w:hAnsi="宋体" w:eastAsia="宋体" w:cs="宋体"/>
          <w:b/>
          <w:bCs/>
          <w:sz w:val="21"/>
          <w:szCs w:val="21"/>
        </w:rPr>
      </w:pPr>
      <w:bookmarkStart w:id="337" w:name="_Toc989287"/>
      <w:r>
        <w:rPr>
          <w:rFonts w:ascii="宋体" w:hAnsi="宋体" w:eastAsia="宋体" w:cs="宋体"/>
          <w:b/>
          <w:bCs/>
          <w:sz w:val="21"/>
          <w:szCs w:val="21"/>
        </w:rPr>
        <w:t>4、其他</w:t>
      </w:r>
      <w:bookmarkEnd w:id="337"/>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t>湖南博云新材料股份有限公司2022年半年度报告全文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6C58A"/>
    <w:multiLevelType w:val="multilevel"/>
    <w:tmpl w:val="2DC6C58A"/>
    <w:lvl w:ilvl="0" w:tentative="0">
      <w:start w:val="2"/>
      <w:numFmt w:val="decimal"/>
      <w:suff w:val="nothing"/>
      <w:lvlText w:val="（%1）"/>
      <w:lvlJc w:val="left"/>
      <w:rPr>
        <w:rFonts w:hint="default" w:ascii="Times New Roman" w:hAnsi="Times New Roman" w:eastAsia="宋体"/>
        <w:u w:val="none" w:color="auto"/>
      </w:rPr>
    </w:lvl>
    <w:lvl w:ilvl="1" w:tentative="0">
      <w:start w:val="1"/>
      <w:numFmt w:val="decimal"/>
      <w:lvlText w:val="（"/>
      <w:lvlJc w:val="left"/>
      <w:rPr>
        <w:rFonts w:hint="default" w:ascii="Times New Roman" w:hAnsi="Times New Roman" w:eastAsia="宋体"/>
        <w:u w:val="none" w:color="auto"/>
      </w:rPr>
    </w:lvl>
    <w:lvl w:ilvl="2" w:tentative="0">
      <w:start w:val="1"/>
      <w:numFmt w:val="decimal"/>
      <w:lvlText w:val="（"/>
      <w:lvlJc w:val="left"/>
      <w:rPr>
        <w:rFonts w:hint="default" w:ascii="Times New Roman" w:hAnsi="Times New Roman" w:eastAsia="宋体"/>
        <w:u w:val="none" w:color="auto"/>
      </w:rPr>
    </w:lvl>
    <w:lvl w:ilvl="3" w:tentative="0">
      <w:start w:val="1"/>
      <w:numFmt w:val="decimal"/>
      <w:lvlText w:val="（"/>
      <w:lvlJc w:val="left"/>
      <w:rPr>
        <w:rFonts w:hint="default" w:ascii="Times New Roman" w:hAnsi="Times New Roman" w:eastAsia="宋体"/>
        <w:u w:val="none" w:color="auto"/>
      </w:rPr>
    </w:lvl>
    <w:lvl w:ilvl="4" w:tentative="0">
      <w:start w:val="1"/>
      <w:numFmt w:val="decimal"/>
      <w:lvlText w:val="（"/>
      <w:lvlJc w:val="left"/>
      <w:rPr>
        <w:rFonts w:hint="default" w:ascii="Times New Roman" w:hAnsi="Times New Roman" w:eastAsia="宋体"/>
        <w:u w:val="none" w:color="auto"/>
      </w:rPr>
    </w:lvl>
    <w:lvl w:ilvl="5" w:tentative="0">
      <w:start w:val="1"/>
      <w:numFmt w:val="decimal"/>
      <w:lvlText w:val="（"/>
      <w:lvlJc w:val="left"/>
      <w:rPr>
        <w:rFonts w:hint="default" w:ascii="Times New Roman" w:hAnsi="Times New Roman" w:eastAsia="宋体"/>
        <w:u w:val="none" w:color="auto"/>
      </w:rPr>
    </w:lvl>
    <w:lvl w:ilvl="6" w:tentative="0">
      <w:start w:val="1"/>
      <w:numFmt w:val="decimal"/>
      <w:lvlText w:val="（"/>
      <w:lvlJc w:val="left"/>
      <w:rPr>
        <w:rFonts w:hint="default" w:ascii="Times New Roman" w:hAnsi="Times New Roman" w:eastAsia="宋体"/>
        <w:u w:val="none" w:color="auto"/>
      </w:rPr>
    </w:lvl>
    <w:lvl w:ilvl="7" w:tentative="0">
      <w:start w:val="1"/>
      <w:numFmt w:val="decimal"/>
      <w:lvlText w:val="（"/>
      <w:lvlJc w:val="left"/>
      <w:rPr>
        <w:rFonts w:hint="default" w:ascii="Times New Roman" w:hAnsi="Times New Roman" w:eastAsia="宋体"/>
        <w:u w:val="none" w:color="auto"/>
      </w:rPr>
    </w:lvl>
    <w:lvl w:ilvl="8" w:tentative="0">
      <w:start w:val="1"/>
      <w:numFmt w:val="decimal"/>
      <w:lvlText w:val="（"/>
      <w:lvlJc w:val="left"/>
      <w:rPr>
        <w:rFonts w:hint="default" w:ascii="Times New Roman" w:hAnsi="Times New Roman" w:eastAsia="宋体"/>
        <w:u w:val="none" w:color="auto"/>
      </w:rPr>
    </w:lvl>
  </w:abstractNum>
  <w:abstractNum w:abstractNumId="1">
    <w:nsid w:val="3B601826"/>
    <w:multiLevelType w:val="singleLevel"/>
    <w:tmpl w:val="3B601826"/>
    <w:lvl w:ilvl="0" w:tentative="0">
      <w:start w:val="16"/>
      <w:numFmt w:val="chineseCounting"/>
      <w:suff w:val="nothing"/>
      <w:lvlText w:val="%1、"/>
      <w:lvlJc w:val="left"/>
      <w:pPr>
        <w:ind w:left="45" w:leftChars="0" w:firstLine="0" w:firstLineChars="0"/>
      </w:pPr>
      <w:rPr>
        <w:rFonts w:hint="eastAsia"/>
      </w:rPr>
    </w:lvl>
  </w:abstractNum>
  <w:abstractNum w:abstractNumId="2">
    <w:nsid w:val="4FEB1162"/>
    <w:multiLevelType w:val="multilevel"/>
    <w:tmpl w:val="4FEB1162"/>
    <w:lvl w:ilvl="0" w:tentative="0">
      <w:start w:val="2"/>
      <w:numFmt w:val="decimal"/>
      <w:suff w:val="nothing"/>
      <w:lvlText w:val="（%1）"/>
      <w:lvlJc w:val="left"/>
      <w:rPr>
        <w:rFonts w:hint="default" w:ascii="Times New Roman" w:hAnsi="Times New Roman" w:eastAsia="宋体"/>
        <w:u w:val="none" w:color="auto"/>
      </w:rPr>
    </w:lvl>
    <w:lvl w:ilvl="1" w:tentative="0">
      <w:start w:val="1"/>
      <w:numFmt w:val="decimal"/>
      <w:lvlText w:val="（"/>
      <w:lvlJc w:val="left"/>
      <w:rPr>
        <w:rFonts w:hint="default" w:ascii="Times New Roman" w:hAnsi="Times New Roman" w:eastAsia="宋体"/>
        <w:u w:val="none" w:color="auto"/>
      </w:rPr>
    </w:lvl>
    <w:lvl w:ilvl="2" w:tentative="0">
      <w:start w:val="1"/>
      <w:numFmt w:val="decimal"/>
      <w:lvlText w:val="（"/>
      <w:lvlJc w:val="left"/>
      <w:rPr>
        <w:rFonts w:hint="default" w:ascii="Times New Roman" w:hAnsi="Times New Roman" w:eastAsia="宋体"/>
        <w:u w:val="none" w:color="auto"/>
      </w:rPr>
    </w:lvl>
    <w:lvl w:ilvl="3" w:tentative="0">
      <w:start w:val="1"/>
      <w:numFmt w:val="decimal"/>
      <w:lvlText w:val="（"/>
      <w:lvlJc w:val="left"/>
      <w:rPr>
        <w:rFonts w:hint="default" w:ascii="Times New Roman" w:hAnsi="Times New Roman" w:eastAsia="宋体"/>
        <w:u w:val="none" w:color="auto"/>
      </w:rPr>
    </w:lvl>
    <w:lvl w:ilvl="4" w:tentative="0">
      <w:start w:val="1"/>
      <w:numFmt w:val="decimal"/>
      <w:lvlText w:val="（"/>
      <w:lvlJc w:val="left"/>
      <w:rPr>
        <w:rFonts w:hint="default" w:ascii="Times New Roman" w:hAnsi="Times New Roman" w:eastAsia="宋体"/>
        <w:u w:val="none" w:color="auto"/>
      </w:rPr>
    </w:lvl>
    <w:lvl w:ilvl="5" w:tentative="0">
      <w:start w:val="1"/>
      <w:numFmt w:val="decimal"/>
      <w:lvlText w:val="（"/>
      <w:lvlJc w:val="left"/>
      <w:rPr>
        <w:rFonts w:hint="default" w:ascii="Times New Roman" w:hAnsi="Times New Roman" w:eastAsia="宋体"/>
        <w:u w:val="none" w:color="auto"/>
      </w:rPr>
    </w:lvl>
    <w:lvl w:ilvl="6" w:tentative="0">
      <w:start w:val="1"/>
      <w:numFmt w:val="decimal"/>
      <w:lvlText w:val="（"/>
      <w:lvlJc w:val="left"/>
      <w:rPr>
        <w:rFonts w:hint="default" w:ascii="Times New Roman" w:hAnsi="Times New Roman" w:eastAsia="宋体"/>
        <w:u w:val="none" w:color="auto"/>
      </w:rPr>
    </w:lvl>
    <w:lvl w:ilvl="7" w:tentative="0">
      <w:start w:val="1"/>
      <w:numFmt w:val="decimal"/>
      <w:lvlText w:val="（"/>
      <w:lvlJc w:val="left"/>
      <w:rPr>
        <w:rFonts w:hint="default" w:ascii="Times New Roman" w:hAnsi="Times New Roman" w:eastAsia="宋体"/>
        <w:u w:val="none" w:color="auto"/>
      </w:rPr>
    </w:lvl>
    <w:lvl w:ilvl="8" w:tentative="0">
      <w:start w:val="1"/>
      <w:numFmt w:val="decimal"/>
      <w:lvlText w:val="（"/>
      <w:lvlJc w:val="left"/>
      <w:rPr>
        <w:rFonts w:hint="default" w:ascii="Times New Roman" w:hAnsi="Times New Roman" w:eastAsia="宋体"/>
        <w:u w:val="none" w:color="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0800FC2"/>
    <w:rsid w:val="035F0A67"/>
    <w:rsid w:val="04C65956"/>
    <w:rsid w:val="04EB6397"/>
    <w:rsid w:val="05456025"/>
    <w:rsid w:val="054D494A"/>
    <w:rsid w:val="06B5368B"/>
    <w:rsid w:val="06D12D1D"/>
    <w:rsid w:val="07C70E3B"/>
    <w:rsid w:val="09C524FD"/>
    <w:rsid w:val="0B4E0465"/>
    <w:rsid w:val="0B8F7E35"/>
    <w:rsid w:val="11F15BF6"/>
    <w:rsid w:val="11F44C77"/>
    <w:rsid w:val="13DA782E"/>
    <w:rsid w:val="15C2770B"/>
    <w:rsid w:val="163205D2"/>
    <w:rsid w:val="1794090F"/>
    <w:rsid w:val="1AD335CB"/>
    <w:rsid w:val="1FFE36E5"/>
    <w:rsid w:val="20C332DD"/>
    <w:rsid w:val="234C19CC"/>
    <w:rsid w:val="23780777"/>
    <w:rsid w:val="23944468"/>
    <w:rsid w:val="25507310"/>
    <w:rsid w:val="260A7DAC"/>
    <w:rsid w:val="271C2048"/>
    <w:rsid w:val="288067D8"/>
    <w:rsid w:val="288E13E2"/>
    <w:rsid w:val="2B903CBE"/>
    <w:rsid w:val="2DA30412"/>
    <w:rsid w:val="2FBC3857"/>
    <w:rsid w:val="32A8697E"/>
    <w:rsid w:val="33C94D55"/>
    <w:rsid w:val="3472686C"/>
    <w:rsid w:val="34730527"/>
    <w:rsid w:val="35AF6CB4"/>
    <w:rsid w:val="35C07DB9"/>
    <w:rsid w:val="36876478"/>
    <w:rsid w:val="3AE4028F"/>
    <w:rsid w:val="3DB11794"/>
    <w:rsid w:val="3DC24561"/>
    <w:rsid w:val="3E3572B4"/>
    <w:rsid w:val="3FCE7E1A"/>
    <w:rsid w:val="40614932"/>
    <w:rsid w:val="411033BF"/>
    <w:rsid w:val="4202145C"/>
    <w:rsid w:val="42A441DA"/>
    <w:rsid w:val="42F8210A"/>
    <w:rsid w:val="45D43E8F"/>
    <w:rsid w:val="46333A31"/>
    <w:rsid w:val="469A660B"/>
    <w:rsid w:val="48BB36C9"/>
    <w:rsid w:val="4BD37B77"/>
    <w:rsid w:val="4C9C6200"/>
    <w:rsid w:val="4D8F1F79"/>
    <w:rsid w:val="50E47EC5"/>
    <w:rsid w:val="51B178CF"/>
    <w:rsid w:val="527C74F1"/>
    <w:rsid w:val="52C15F1D"/>
    <w:rsid w:val="55C87B6E"/>
    <w:rsid w:val="56655C9F"/>
    <w:rsid w:val="568D3CFF"/>
    <w:rsid w:val="56AD2164"/>
    <w:rsid w:val="5906478E"/>
    <w:rsid w:val="5A433FA1"/>
    <w:rsid w:val="5BF40E23"/>
    <w:rsid w:val="5D805B69"/>
    <w:rsid w:val="617E162C"/>
    <w:rsid w:val="61BD07EB"/>
    <w:rsid w:val="620B4E90"/>
    <w:rsid w:val="65250B73"/>
    <w:rsid w:val="6565132B"/>
    <w:rsid w:val="67BD5589"/>
    <w:rsid w:val="6BE029B7"/>
    <w:rsid w:val="71DD7F23"/>
    <w:rsid w:val="72727291"/>
    <w:rsid w:val="760D5782"/>
    <w:rsid w:val="79294137"/>
    <w:rsid w:val="7B436F7C"/>
    <w:rsid w:val="7BA15EA8"/>
    <w:rsid w:val="7E3E148C"/>
    <w:rsid w:val="7E8E4A52"/>
    <w:rsid w:val="7F0F18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1"/>
    <w:pPr>
      <w:spacing w:line="560" w:lineRule="exact"/>
    </w:pPr>
    <w:rPr>
      <w:rFonts w:ascii="仿宋_GB2312" w:eastAsia="仿宋_GB2312"/>
      <w:sz w:val="3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paragraph" w:customStyle="1" w:styleId="8">
    <w:name w:val="Section"/>
    <w:next w:val="1"/>
    <w:unhideWhenUsed/>
    <w:qFormat/>
    <w:uiPriority w:val="99"/>
    <w:pPr>
      <w:keepNext/>
      <w:keepLines/>
      <w:widowControl w:val="0"/>
      <w:spacing w:before="300" w:after="300" w:line="241" w:lineRule="auto"/>
      <w:jc w:val="both"/>
    </w:pPr>
    <w:rPr>
      <w:rFonts w:hint="eastAsia" w:ascii="Times New Roman" w:hAnsi="Times New Roman" w:eastAsia="宋体" w:cs="Times New Roman"/>
      <w:b/>
      <w:kern w:val="28"/>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133</Pages>
  <Words>71379</Words>
  <Characters>101164</Characters>
  <TotalTime>1</TotalTime>
  <ScaleCrop>false</ScaleCrop>
  <LinksUpToDate>false</LinksUpToDate>
  <CharactersWithSpaces>101724</CharactersWithSpaces>
  <Application>WPS Office_11.1.0.9828_F1E327BC-269C-435d-A152-05C5408002CA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2022-08-18T02:44:00Z</dcterms:created>
  <dc:creator>Administrator</dc:creator>
  <cp:lastModifiedBy>张爱丽</cp:lastModifiedBy>
  <dcterms:modified xsi:type="dcterms:W3CDTF">2022-08-19T08:45:12Z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