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sz w:val="32"/>
          <w:szCs w:val="32"/>
        </w:rPr>
      </w:pPr>
      <w:r>
        <w:rPr>
          <w:rFonts w:hint="eastAsia"/>
        </w:rPr>
        <w:t xml:space="preserve">             </w:t>
      </w:r>
      <w:r>
        <w:rPr>
          <w:rFonts w:hint="eastAsia" w:ascii="宋体" w:hAnsi="宋体"/>
          <w:b/>
          <w:sz w:val="32"/>
          <w:szCs w:val="32"/>
        </w:rPr>
        <w:t>湖南博云新材料股份有限公司</w:t>
      </w:r>
      <w:r>
        <w:rPr>
          <w:rFonts w:ascii="宋体" w:hAnsi="宋体"/>
          <w:b/>
          <w:sz w:val="32"/>
          <w:szCs w:val="32"/>
        </w:rPr>
        <w:t>董事会</w:t>
      </w:r>
    </w:p>
    <w:p>
      <w:pPr>
        <w:jc w:val="center"/>
        <w:rPr>
          <w:rFonts w:hint="eastAsia" w:ascii="宋体" w:hAnsi="宋体"/>
          <w:b/>
          <w:sz w:val="32"/>
          <w:szCs w:val="32"/>
        </w:rPr>
      </w:pPr>
      <w:r>
        <w:rPr>
          <w:rFonts w:ascii="宋体" w:hAnsi="宋体"/>
          <w:b/>
          <w:sz w:val="32"/>
          <w:szCs w:val="32"/>
        </w:rPr>
        <w:t>战略委员会议事规则</w:t>
      </w:r>
    </w:p>
    <w:p>
      <w:pPr>
        <w:jc w:val="center"/>
        <w:outlineLvl w:val="0"/>
        <w:rPr>
          <w:rFonts w:hint="eastAsia" w:ascii="宋体" w:hAnsi="宋体"/>
          <w:sz w:val="24"/>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第一章  总则</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第一条</w:t>
      </w:r>
      <w:r>
        <w:rPr>
          <w:rFonts w:ascii="宋体" w:hAnsi="宋体"/>
          <w:kern w:val="0"/>
          <w:sz w:val="24"/>
          <w:szCs w:val="21"/>
        </w:rPr>
        <w:t xml:space="preserve">  </w:t>
      </w:r>
      <w:r>
        <w:rPr>
          <w:rFonts w:hint="eastAsia" w:ascii="宋体" w:hAnsi="宋体"/>
          <w:kern w:val="0"/>
          <w:sz w:val="24"/>
          <w:szCs w:val="21"/>
        </w:rPr>
        <w:t>湖南博云新材料股份有限公司</w:t>
      </w:r>
      <w:r>
        <w:rPr>
          <w:rFonts w:ascii="宋体" w:hAnsi="宋体"/>
          <w:kern w:val="0"/>
          <w:sz w:val="24"/>
          <w:szCs w:val="21"/>
        </w:rPr>
        <w:t>（以下简称</w:t>
      </w:r>
      <w:r>
        <w:rPr>
          <w:rFonts w:hint="eastAsia" w:ascii="宋体" w:hAnsi="宋体"/>
          <w:kern w:val="0"/>
          <w:sz w:val="24"/>
          <w:szCs w:val="21"/>
        </w:rPr>
        <w:t>“</w:t>
      </w:r>
      <w:r>
        <w:rPr>
          <w:rFonts w:ascii="宋体" w:hAnsi="宋体"/>
          <w:kern w:val="0"/>
          <w:sz w:val="24"/>
          <w:szCs w:val="21"/>
        </w:rPr>
        <w:t>公司</w:t>
      </w:r>
      <w:r>
        <w:rPr>
          <w:rFonts w:hint="eastAsia" w:ascii="宋体" w:hAnsi="宋体"/>
          <w:kern w:val="0"/>
          <w:sz w:val="24"/>
          <w:szCs w:val="21"/>
        </w:rPr>
        <w:t>”</w:t>
      </w:r>
      <w:r>
        <w:rPr>
          <w:rFonts w:ascii="宋体" w:hAnsi="宋体"/>
          <w:kern w:val="0"/>
          <w:sz w:val="24"/>
          <w:szCs w:val="21"/>
        </w:rPr>
        <w:t>或</w:t>
      </w:r>
      <w:r>
        <w:rPr>
          <w:rFonts w:hint="eastAsia" w:ascii="宋体" w:hAnsi="宋体"/>
          <w:kern w:val="0"/>
          <w:sz w:val="24"/>
          <w:szCs w:val="21"/>
        </w:rPr>
        <w:t>“</w:t>
      </w:r>
      <w:r>
        <w:rPr>
          <w:rFonts w:ascii="宋体" w:hAnsi="宋体"/>
          <w:kern w:val="0"/>
          <w:sz w:val="24"/>
          <w:szCs w:val="21"/>
        </w:rPr>
        <w:t>本公司</w:t>
      </w:r>
      <w:r>
        <w:rPr>
          <w:rFonts w:hint="eastAsia" w:ascii="宋体" w:hAnsi="宋体"/>
          <w:kern w:val="0"/>
          <w:sz w:val="24"/>
          <w:szCs w:val="21"/>
        </w:rPr>
        <w:t>”</w:t>
      </w:r>
      <w:r>
        <w:rPr>
          <w:rFonts w:ascii="宋体" w:hAnsi="宋体"/>
          <w:kern w:val="0"/>
          <w:sz w:val="24"/>
          <w:szCs w:val="21"/>
        </w:rPr>
        <w:t>）为适应战略发展需要，增强公司核心竞争力，确定公司发展规划，加强决策科学性，提高重大投资决策的效益和决策的质量，特设立董事会战略委员会（以下简称</w:t>
      </w:r>
      <w:r>
        <w:rPr>
          <w:rFonts w:hint="eastAsia" w:ascii="宋体" w:hAnsi="宋体" w:cs="Arial"/>
          <w:kern w:val="0"/>
          <w:sz w:val="24"/>
          <w:szCs w:val="21"/>
        </w:rPr>
        <w:t>“</w:t>
      </w:r>
      <w:r>
        <w:rPr>
          <w:rFonts w:ascii="宋体" w:hAnsi="宋体"/>
          <w:kern w:val="0"/>
          <w:sz w:val="24"/>
          <w:szCs w:val="21"/>
        </w:rPr>
        <w:t>战略委员会</w:t>
      </w:r>
      <w:r>
        <w:rPr>
          <w:rFonts w:hint="eastAsia" w:ascii="宋体" w:hAnsi="宋体" w:cs="Arial"/>
          <w:kern w:val="0"/>
          <w:sz w:val="24"/>
          <w:szCs w:val="21"/>
        </w:rPr>
        <w:t>”</w:t>
      </w:r>
      <w:r>
        <w:rPr>
          <w:rFonts w:ascii="宋体" w:hAnsi="宋体"/>
          <w:kern w:val="0"/>
          <w:sz w:val="24"/>
          <w:szCs w:val="21"/>
        </w:rPr>
        <w:t>或</w:t>
      </w:r>
      <w:r>
        <w:rPr>
          <w:rFonts w:hint="eastAsia" w:ascii="宋体" w:hAnsi="宋体" w:cs="Arial"/>
          <w:kern w:val="0"/>
          <w:sz w:val="24"/>
          <w:szCs w:val="21"/>
        </w:rPr>
        <w:t>“</w:t>
      </w:r>
      <w:r>
        <w:rPr>
          <w:rFonts w:ascii="宋体" w:hAnsi="宋体"/>
          <w:kern w:val="0"/>
          <w:sz w:val="24"/>
          <w:szCs w:val="21"/>
        </w:rPr>
        <w:t>委员会</w:t>
      </w:r>
      <w:r>
        <w:rPr>
          <w:rFonts w:hint="eastAsia" w:ascii="宋体" w:hAnsi="宋体" w:cs="Arial"/>
          <w:kern w:val="0"/>
          <w:sz w:val="24"/>
          <w:szCs w:val="21"/>
        </w:rPr>
        <w:t>”</w:t>
      </w:r>
      <w:r>
        <w:rPr>
          <w:rFonts w:ascii="宋体" w:hAnsi="宋体"/>
          <w:kern w:val="0"/>
          <w:sz w:val="24"/>
          <w:szCs w:val="21"/>
        </w:rPr>
        <w:t>），作为负责公司长期发展战略和重大投资决策的专门机构。</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 xml:space="preserve">第二条 </w:t>
      </w:r>
      <w:r>
        <w:rPr>
          <w:rFonts w:ascii="宋体" w:hAnsi="宋体"/>
          <w:kern w:val="0"/>
          <w:sz w:val="24"/>
          <w:szCs w:val="21"/>
        </w:rPr>
        <w:t xml:space="preserve"> 为确保战略委员会规范、高效地开展工作，公司董事会根据《中华人民共和国公司法》（以下简称《公司法》）、《上市公司治理准则》、</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ascii="宋体" w:hAnsi="宋体"/>
          <w:kern w:val="0"/>
          <w:sz w:val="24"/>
          <w:szCs w:val="21"/>
        </w:rPr>
        <w:t>及其他有关法律、法规和规范性文件的规定，特制定本议事规则。</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第三条</w:t>
      </w:r>
      <w:r>
        <w:rPr>
          <w:rFonts w:ascii="宋体" w:hAnsi="宋体"/>
          <w:kern w:val="0"/>
          <w:sz w:val="24"/>
          <w:szCs w:val="21"/>
        </w:rPr>
        <w:t xml:space="preserve">  战略委员会所作决议，必须遵守</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ascii="宋体" w:hAnsi="宋体"/>
          <w:kern w:val="0"/>
          <w:sz w:val="24"/>
          <w:szCs w:val="21"/>
        </w:rPr>
        <w:t>、本议事规则及其他有关法律、法规和规范性文件的规定。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第二章  人员构成</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第四条</w:t>
      </w:r>
      <w:r>
        <w:rPr>
          <w:rFonts w:ascii="宋体" w:hAnsi="宋体"/>
          <w:kern w:val="0"/>
          <w:sz w:val="24"/>
          <w:szCs w:val="21"/>
        </w:rPr>
        <w:t xml:space="preserve">  战略委员会由</w:t>
      </w:r>
      <w:r>
        <w:rPr>
          <w:rFonts w:hint="eastAsia" w:ascii="宋体" w:hAnsi="宋体"/>
          <w:kern w:val="0"/>
          <w:sz w:val="24"/>
          <w:szCs w:val="21"/>
        </w:rPr>
        <w:t>三名</w:t>
      </w:r>
      <w:r>
        <w:rPr>
          <w:rFonts w:ascii="宋体" w:hAnsi="宋体"/>
          <w:kern w:val="0"/>
          <w:sz w:val="24"/>
          <w:szCs w:val="21"/>
        </w:rPr>
        <w:t>董事组成，其中独立董事</w:t>
      </w:r>
      <w:r>
        <w:rPr>
          <w:rFonts w:hint="eastAsia" w:ascii="宋体" w:hAnsi="宋体"/>
          <w:kern w:val="0"/>
          <w:sz w:val="24"/>
          <w:szCs w:val="21"/>
        </w:rPr>
        <w:t>不少于一名</w:t>
      </w:r>
      <w:r>
        <w:rPr>
          <w:rFonts w:ascii="宋体" w:hAnsi="宋体"/>
          <w:kern w:val="0"/>
          <w:sz w:val="24"/>
          <w:szCs w:val="21"/>
        </w:rPr>
        <w:t>。</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第五条</w:t>
      </w:r>
      <w:r>
        <w:rPr>
          <w:rFonts w:ascii="宋体" w:hAnsi="宋体"/>
          <w:kern w:val="0"/>
          <w:sz w:val="24"/>
          <w:szCs w:val="21"/>
        </w:rPr>
        <w:t xml:space="preserve">  战略委员会委员由董事长、二分之一以上独立董事或全体董事三分之一以上提名，并由董事会选举产生。</w:t>
      </w:r>
    </w:p>
    <w:p>
      <w:pPr>
        <w:pStyle w:val="7"/>
        <w:keepNext w:val="0"/>
        <w:keepLines w:val="0"/>
        <w:pageBreakBefore w:val="0"/>
        <w:widowControl w:val="0"/>
        <w:kinsoku/>
        <w:wordWrap/>
        <w:overflowPunct/>
        <w:topLinePunct w:val="0"/>
        <w:autoSpaceDE/>
        <w:autoSpaceDN/>
        <w:bidi w:val="0"/>
        <w:snapToGrid/>
        <w:spacing w:line="460" w:lineRule="exact"/>
        <w:rPr>
          <w:rFonts w:hint="eastAsia" w:ascii="宋体" w:hAnsi="宋体"/>
          <w:i w:val="0"/>
          <w:sz w:val="24"/>
          <w:szCs w:val="21"/>
        </w:rPr>
      </w:pPr>
      <w:r>
        <w:rPr>
          <w:rFonts w:ascii="宋体" w:hAnsi="宋体"/>
          <w:i w:val="0"/>
          <w:sz w:val="24"/>
          <w:szCs w:val="21"/>
        </w:rPr>
        <w:t>战略委员会设召集人一名，由公司董事长担任。战略委员会召集人负责召集和主持战略委员会会议，当委员会召集人不能或无法履行职责时，由其指定一名其他委员代行其职权；委员会召集人既不履行职责，也不指定其他委员代行其职责时，任何一名委员均可将有关情况向公司董事会报告，由公司董事会指定一名委员履行战略委员会召集人职责。</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第六条</w:t>
      </w:r>
      <w:r>
        <w:rPr>
          <w:rFonts w:ascii="宋体" w:hAnsi="宋体"/>
          <w:kern w:val="0"/>
          <w:sz w:val="24"/>
          <w:szCs w:val="21"/>
        </w:rPr>
        <w:t xml:space="preserve">  战略委员会委员任期与同届董事会董事的任期一致，连选可以连任。战略委员会委员任期届满前，除非出现《公司法》、</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ascii="宋体" w:hAnsi="宋体"/>
          <w:kern w:val="0"/>
          <w:sz w:val="24"/>
          <w:szCs w:val="21"/>
        </w:rPr>
        <w:t>或本议事规则规定不得任职的情形，不得被无故解除职务。期间如有战略委员会委员不再担任公司董事职务，自动失去战略委员会委员资格。</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第七条</w:t>
      </w:r>
      <w:r>
        <w:rPr>
          <w:rFonts w:ascii="宋体" w:hAnsi="宋体"/>
          <w:kern w:val="0"/>
          <w:sz w:val="24"/>
          <w:szCs w:val="21"/>
        </w:rPr>
        <w:t xml:space="preserve">  战略委员会因委员辞职、免职或其他原因导致人数低于规定人数的三分之二时，公司董事会应及时增补新的委员人选。</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在战略委员会委员人数未达到规定人数的三分之二以前，战略委员会暂停行使本议事规则规定的职权。</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第八条</w:t>
      </w:r>
      <w:r>
        <w:rPr>
          <w:rFonts w:ascii="宋体" w:hAnsi="宋体"/>
          <w:kern w:val="0"/>
          <w:sz w:val="24"/>
          <w:szCs w:val="21"/>
        </w:rPr>
        <w:t xml:space="preserve">  《公司法》、</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ascii="宋体" w:hAnsi="宋体"/>
          <w:kern w:val="0"/>
          <w:sz w:val="24"/>
          <w:szCs w:val="21"/>
        </w:rPr>
        <w:t>关于董事义务的规定适用于战略委员会委员。</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第九条</w:t>
      </w:r>
      <w:r>
        <w:rPr>
          <w:rFonts w:ascii="宋体" w:hAnsi="宋体"/>
          <w:kern w:val="0"/>
          <w:sz w:val="24"/>
          <w:szCs w:val="21"/>
        </w:rPr>
        <w:t xml:space="preserve">  战略委员会由董事会秘书负责组织委员会讨论事项所需的材料，向委员会提交提案。</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第三章  职责权限</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第十条</w:t>
      </w:r>
      <w:r>
        <w:rPr>
          <w:rFonts w:ascii="宋体" w:hAnsi="宋体"/>
          <w:kern w:val="0"/>
          <w:sz w:val="24"/>
          <w:szCs w:val="21"/>
        </w:rPr>
        <w:t xml:space="preserve">  战略委员会向董事会负责并报告工作，主要负责对公司长期发展战略和重大投资决策进行研究并提出建议。</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第十一条</w:t>
      </w:r>
      <w:r>
        <w:rPr>
          <w:rFonts w:ascii="宋体" w:hAnsi="宋体"/>
          <w:kern w:val="0"/>
          <w:sz w:val="24"/>
          <w:szCs w:val="21"/>
        </w:rPr>
        <w:t xml:space="preserve">  战略委员会的主要职责权限：</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 xml:space="preserve">(一)  对公司长期发展战略规划进行研究并提出建议；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hint="eastAsia" w:ascii="宋体" w:hAnsi="宋体"/>
          <w:kern w:val="0"/>
          <w:sz w:val="24"/>
          <w:szCs w:val="21"/>
        </w:rPr>
        <w:t xml:space="preserve">(二)  </w:t>
      </w:r>
      <w:r>
        <w:rPr>
          <w:rFonts w:ascii="宋体" w:hAnsi="宋体"/>
          <w:kern w:val="0"/>
          <w:sz w:val="24"/>
          <w:szCs w:val="21"/>
        </w:rPr>
        <w:t>对《公司章程》规定须经董事会批准的重大投资融资方案进行研究并提出建议；</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hint="eastAsia" w:ascii="宋体" w:hAnsi="宋体"/>
          <w:kern w:val="0"/>
          <w:sz w:val="24"/>
          <w:szCs w:val="21"/>
        </w:rPr>
        <w:t xml:space="preserve">(三)  </w:t>
      </w:r>
      <w:r>
        <w:rPr>
          <w:rFonts w:ascii="宋体" w:hAnsi="宋体"/>
          <w:kern w:val="0"/>
          <w:sz w:val="24"/>
          <w:szCs w:val="21"/>
        </w:rPr>
        <w:t>对《公司章程》规定须经董事会批准的重大资本运</w:t>
      </w:r>
      <w:r>
        <w:rPr>
          <w:rFonts w:hint="eastAsia" w:ascii="宋体" w:hAnsi="宋体"/>
          <w:kern w:val="0"/>
          <w:sz w:val="24"/>
          <w:szCs w:val="21"/>
        </w:rPr>
        <w:t>营</w:t>
      </w:r>
      <w:r>
        <w:rPr>
          <w:rFonts w:ascii="宋体" w:hAnsi="宋体"/>
          <w:kern w:val="0"/>
          <w:sz w:val="24"/>
          <w:szCs w:val="21"/>
        </w:rPr>
        <w:t>、资产经营项目进行研究并提出建议；</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w:t>
      </w:r>
      <w:r>
        <w:rPr>
          <w:rFonts w:hint="eastAsia" w:ascii="宋体" w:hAnsi="宋体"/>
          <w:kern w:val="0"/>
          <w:sz w:val="24"/>
          <w:szCs w:val="21"/>
        </w:rPr>
        <w:t>四</w:t>
      </w:r>
      <w:r>
        <w:rPr>
          <w:rFonts w:ascii="宋体" w:hAnsi="宋体"/>
          <w:kern w:val="0"/>
          <w:sz w:val="24"/>
          <w:szCs w:val="21"/>
        </w:rPr>
        <w:t xml:space="preserve">)  对其他影响公司发展的重大事项进行研究并提出建议；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w:t>
      </w:r>
      <w:r>
        <w:rPr>
          <w:rFonts w:hint="eastAsia" w:ascii="宋体" w:hAnsi="宋体"/>
          <w:kern w:val="0"/>
          <w:sz w:val="24"/>
          <w:szCs w:val="21"/>
        </w:rPr>
        <w:t>五</w:t>
      </w:r>
      <w:r>
        <w:rPr>
          <w:rFonts w:ascii="宋体" w:hAnsi="宋体"/>
          <w:kern w:val="0"/>
          <w:sz w:val="24"/>
          <w:szCs w:val="21"/>
        </w:rPr>
        <w:t xml:space="preserve">)  </w:t>
      </w:r>
      <w:r>
        <w:rPr>
          <w:rFonts w:hint="eastAsia" w:ascii="宋体" w:hAnsi="宋体"/>
          <w:kern w:val="0"/>
          <w:sz w:val="24"/>
          <w:szCs w:val="21"/>
        </w:rPr>
        <w:t>法律、行政法规、中国证监会规定和</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hint="eastAsia" w:ascii="宋体" w:hAnsi="宋体"/>
          <w:kern w:val="0"/>
          <w:sz w:val="24"/>
          <w:szCs w:val="21"/>
        </w:rPr>
        <w:t>规定的其他事项。</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 xml:space="preserve">第十二条 </w:t>
      </w:r>
      <w:r>
        <w:rPr>
          <w:rFonts w:ascii="宋体" w:hAnsi="宋体"/>
          <w:kern w:val="0"/>
          <w:sz w:val="24"/>
          <w:szCs w:val="21"/>
        </w:rPr>
        <w:t xml:space="preserve"> 战略委员会对董事会负责，委员会的提案提交董事会审查决定。</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第十三条</w:t>
      </w:r>
      <w:r>
        <w:rPr>
          <w:rFonts w:ascii="宋体" w:hAnsi="宋体"/>
          <w:kern w:val="0"/>
          <w:sz w:val="24"/>
          <w:szCs w:val="21"/>
        </w:rPr>
        <w:t xml:space="preserve">  战略委员会履行职责时，公司相关部门应给予配合；如有需要，战略委员会可以聘请中介机构提供专业意见，有关费用由公司承担。</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 xml:space="preserve">第四章  </w:t>
      </w:r>
      <w:r>
        <w:rPr>
          <w:rFonts w:hint="eastAsia" w:ascii="Times New Roman" w:hAnsi="Times New Roman" w:eastAsia="宋体" w:cs="Times New Roman"/>
          <w:b/>
          <w:bCs/>
          <w:kern w:val="0"/>
          <w:sz w:val="24"/>
          <w:szCs w:val="22"/>
          <w:lang w:eastAsia="zh-CN"/>
        </w:rPr>
        <w:t>议事</w:t>
      </w:r>
      <w:r>
        <w:rPr>
          <w:rFonts w:ascii="Times New Roman" w:hAnsi="Times New Roman" w:eastAsia="宋体" w:cs="Times New Roman"/>
          <w:b/>
          <w:bCs/>
          <w:kern w:val="0"/>
          <w:sz w:val="24"/>
          <w:szCs w:val="22"/>
        </w:rPr>
        <w:t>程序</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第十四条</w:t>
      </w:r>
      <w:r>
        <w:rPr>
          <w:rFonts w:ascii="宋体" w:hAnsi="宋体"/>
          <w:kern w:val="0"/>
          <w:sz w:val="24"/>
          <w:szCs w:val="21"/>
        </w:rPr>
        <w:t xml:space="preserve">  战略委员会工作程序如下：</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（一）  公司有关部门负责人向董事会秘书上报对外投资、收购出售资产、资产抵押、对外担保事项、委托理财、关联交易、融资方案及发展战略等意向、初步可行性报告以及合作方的基本情况等资料；</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（二）  公司有关部门负责人向董事会秘书上报其他影响公司发展的重大事项等资料；</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（三）  董事会秘书对上述资料进行初审，形成提案报战略委员会审议；</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eastAsia="宋体" w:cs="Times New Roman"/>
          <w:kern w:val="0"/>
          <w:sz w:val="24"/>
          <w:szCs w:val="21"/>
        </w:rPr>
      </w:pPr>
      <w:r>
        <w:rPr>
          <w:rFonts w:ascii="宋体" w:hAnsi="宋体" w:eastAsia="宋体" w:cs="Times New Roman"/>
          <w:kern w:val="0"/>
          <w:sz w:val="24"/>
          <w:szCs w:val="21"/>
        </w:rPr>
        <w:t>（四）  战略委员会根据董事会秘书的提案召开会议，进行讨论，将通过的提案及表决结果提交董事会审议，同时反馈给有关部门。</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Times New Roman" w:hAnsi="Times New Roman" w:eastAsia="宋体" w:cs="Times New Roman"/>
          <w:b/>
          <w:bCs/>
          <w:kern w:val="0"/>
          <w:sz w:val="24"/>
          <w:szCs w:val="22"/>
          <w:lang w:val="en-US" w:eastAsia="zh-CN"/>
        </w:rPr>
      </w:pPr>
      <w:r>
        <w:rPr>
          <w:rFonts w:ascii="Times New Roman" w:hAnsi="Times New Roman" w:eastAsia="宋体" w:cs="Times New Roman"/>
          <w:b/>
          <w:bCs/>
          <w:kern w:val="0"/>
          <w:sz w:val="24"/>
          <w:szCs w:val="22"/>
        </w:rPr>
        <w:t xml:space="preserve">第五章   </w:t>
      </w:r>
      <w:r>
        <w:rPr>
          <w:rFonts w:hint="eastAsia" w:ascii="Times New Roman" w:hAnsi="Times New Roman" w:eastAsia="宋体" w:cs="Times New Roman"/>
          <w:b/>
          <w:bCs/>
          <w:kern w:val="0"/>
          <w:sz w:val="24"/>
          <w:szCs w:val="22"/>
          <w:lang w:val="en-US" w:eastAsia="zh-CN"/>
        </w:rPr>
        <w:t>议事规则</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第十五条</w:t>
      </w:r>
      <w:r>
        <w:rPr>
          <w:rFonts w:ascii="宋体" w:hAnsi="宋体"/>
          <w:kern w:val="0"/>
          <w:sz w:val="24"/>
          <w:szCs w:val="21"/>
        </w:rPr>
        <w:t xml:space="preserve">  战略委员会</w:t>
      </w:r>
      <w:r>
        <w:rPr>
          <w:rFonts w:ascii="宋体" w:hAnsi="宋体" w:eastAsia="宋体" w:cs="宋体"/>
          <w:sz w:val="24"/>
          <w:szCs w:val="24"/>
        </w:rPr>
        <w:t>会议按需召开</w:t>
      </w:r>
      <w:r>
        <w:rPr>
          <w:rFonts w:ascii="宋体" w:hAnsi="宋体"/>
          <w:kern w:val="0"/>
          <w:sz w:val="24"/>
          <w:szCs w:val="21"/>
        </w:rPr>
        <w:t>。公司董事会、战略委员会召集人或两名以上(含两名)委员联名可要求召开临时会议。</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ascii="宋体" w:hAnsi="宋体"/>
          <w:b/>
          <w:kern w:val="0"/>
          <w:sz w:val="24"/>
          <w:szCs w:val="21"/>
        </w:rPr>
      </w:pPr>
      <w:r>
        <w:rPr>
          <w:rFonts w:ascii="宋体" w:hAnsi="宋体"/>
          <w:b/>
          <w:kern w:val="0"/>
          <w:sz w:val="24"/>
          <w:szCs w:val="21"/>
        </w:rPr>
        <w:t>第十六条</w:t>
      </w:r>
      <w:r>
        <w:rPr>
          <w:rFonts w:ascii="宋体" w:hAnsi="宋体"/>
          <w:kern w:val="0"/>
          <w:sz w:val="24"/>
          <w:szCs w:val="21"/>
        </w:rPr>
        <w:t xml:space="preserve">  战略委员会会议</w:t>
      </w:r>
      <w:r>
        <w:rPr>
          <w:rFonts w:ascii="宋体" w:hAnsi="宋体" w:eastAsia="宋体" w:cs="宋体"/>
          <w:sz w:val="24"/>
          <w:szCs w:val="24"/>
        </w:rPr>
        <w:t>可采取现场会议和通讯会议方式举行。通讯会 议方式包括电话会议、视频会议和书面议案会议等形式。</w:t>
      </w:r>
    </w:p>
    <w:p>
      <w:pPr>
        <w:keepNext w:val="0"/>
        <w:keepLines w:val="0"/>
        <w:pageBreakBefore w:val="0"/>
        <w:widowControl w:val="0"/>
        <w:kinsoku/>
        <w:wordWrap/>
        <w:overflowPunct/>
        <w:topLinePunct w:val="0"/>
        <w:autoSpaceDE/>
        <w:autoSpaceDN/>
        <w:bidi w:val="0"/>
        <w:snapToGrid/>
        <w:spacing w:line="460" w:lineRule="exact"/>
        <w:ind w:firstLine="482" w:firstLineChars="200"/>
        <w:textAlignment w:val="auto"/>
        <w:rPr>
          <w:rFonts w:hint="eastAsia"/>
          <w:kern w:val="0"/>
          <w:sz w:val="24"/>
          <w:szCs w:val="21"/>
        </w:rPr>
      </w:pPr>
      <w:r>
        <w:rPr>
          <w:rFonts w:ascii="宋体" w:hAnsi="宋体"/>
          <w:b/>
          <w:kern w:val="0"/>
          <w:sz w:val="24"/>
          <w:szCs w:val="21"/>
        </w:rPr>
        <w:t>第十七条</w:t>
      </w:r>
      <w:r>
        <w:rPr>
          <w:rFonts w:ascii="宋体" w:hAnsi="宋体"/>
          <w:kern w:val="0"/>
          <w:sz w:val="24"/>
          <w:szCs w:val="21"/>
        </w:rPr>
        <w:t xml:space="preserve">  战略委员会</w:t>
      </w:r>
      <w:r>
        <w:rPr>
          <w:rFonts w:hint="eastAsia"/>
          <w:kern w:val="0"/>
          <w:sz w:val="24"/>
          <w:szCs w:val="21"/>
        </w:rPr>
        <w:t>应于会议召开前</w:t>
      </w:r>
      <w:r>
        <w:rPr>
          <w:rFonts w:hint="eastAsia"/>
          <w:kern w:val="0"/>
          <w:sz w:val="24"/>
          <w:szCs w:val="21"/>
          <w:lang w:val="en-US" w:eastAsia="zh-CN"/>
        </w:rPr>
        <w:t>三</w:t>
      </w:r>
      <w:r>
        <w:rPr>
          <w:rFonts w:hint="eastAsia"/>
          <w:kern w:val="0"/>
          <w:sz w:val="24"/>
          <w:szCs w:val="21"/>
        </w:rPr>
        <w:t>日发出会议通知。情况紧急，需要尽快召开临时会议的，可以随时通过电话或者其他口头方式发出会议通知或不经发出会议通知而直接召开会议，但召集人应当在会议上做出说明。</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第十八条</w:t>
      </w:r>
      <w:r>
        <w:rPr>
          <w:rFonts w:ascii="宋体" w:hAnsi="宋体"/>
          <w:kern w:val="0"/>
          <w:sz w:val="24"/>
          <w:szCs w:val="21"/>
        </w:rPr>
        <w:t xml:space="preserve">  战略委员会会议通知应至少包括以下内容：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 xml:space="preserve">(一)会议召开时间、地点；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w:t>
      </w:r>
      <w:r>
        <w:rPr>
          <w:rFonts w:hint="eastAsia" w:ascii="宋体" w:hAnsi="宋体"/>
          <w:kern w:val="0"/>
          <w:sz w:val="24"/>
          <w:szCs w:val="21"/>
          <w:lang w:val="en-US" w:eastAsia="zh-CN"/>
        </w:rPr>
        <w:t>二</w:t>
      </w:r>
      <w:r>
        <w:rPr>
          <w:rFonts w:ascii="宋体" w:hAnsi="宋体"/>
          <w:kern w:val="0"/>
          <w:sz w:val="24"/>
          <w:szCs w:val="21"/>
        </w:rPr>
        <w:t xml:space="preserve">)会议需要讨论的议题；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w:t>
      </w:r>
      <w:r>
        <w:rPr>
          <w:rFonts w:hint="eastAsia" w:ascii="宋体" w:hAnsi="宋体"/>
          <w:kern w:val="0"/>
          <w:sz w:val="24"/>
          <w:szCs w:val="21"/>
          <w:lang w:eastAsia="zh-CN"/>
        </w:rPr>
        <w:t>三</w:t>
      </w:r>
      <w:r>
        <w:rPr>
          <w:rFonts w:ascii="宋体" w:hAnsi="宋体"/>
          <w:kern w:val="0"/>
          <w:sz w:val="24"/>
          <w:szCs w:val="21"/>
        </w:rPr>
        <w:t xml:space="preserve">)会议联系人及联系方式；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w:t>
      </w:r>
      <w:r>
        <w:rPr>
          <w:rFonts w:hint="eastAsia" w:ascii="宋体" w:hAnsi="宋体"/>
          <w:kern w:val="0"/>
          <w:sz w:val="24"/>
          <w:szCs w:val="21"/>
          <w:lang w:eastAsia="zh-CN"/>
        </w:rPr>
        <w:t>四</w:t>
      </w:r>
      <w:r>
        <w:rPr>
          <w:rFonts w:ascii="宋体" w:hAnsi="宋体"/>
          <w:kern w:val="0"/>
          <w:sz w:val="24"/>
          <w:szCs w:val="21"/>
        </w:rPr>
        <w:t xml:space="preserve">)会议通知的日期。 </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w:t>
      </w:r>
      <w:r>
        <w:rPr>
          <w:rFonts w:hint="eastAsia" w:ascii="宋体" w:hAnsi="宋体"/>
          <w:b/>
          <w:kern w:val="0"/>
          <w:sz w:val="24"/>
          <w:szCs w:val="21"/>
          <w:lang w:eastAsia="zh-CN"/>
        </w:rPr>
        <w:t>十九</w:t>
      </w:r>
      <w:r>
        <w:rPr>
          <w:rFonts w:ascii="宋体" w:hAnsi="宋体"/>
          <w:b/>
          <w:kern w:val="0"/>
          <w:sz w:val="24"/>
          <w:szCs w:val="21"/>
        </w:rPr>
        <w:t>条</w:t>
      </w:r>
      <w:r>
        <w:rPr>
          <w:rFonts w:ascii="宋体" w:hAnsi="宋体"/>
          <w:kern w:val="0"/>
          <w:sz w:val="24"/>
          <w:szCs w:val="21"/>
        </w:rPr>
        <w:t xml:space="preserve">  战略委员会会议以传真、电子邮件、电话</w:t>
      </w:r>
      <w:r>
        <w:rPr>
          <w:rFonts w:hint="eastAsia" w:ascii="宋体" w:hAnsi="宋体"/>
          <w:kern w:val="0"/>
          <w:sz w:val="24"/>
          <w:szCs w:val="21"/>
          <w:lang w:eastAsia="zh-CN"/>
        </w:rPr>
        <w:t>、</w:t>
      </w:r>
      <w:r>
        <w:rPr>
          <w:rFonts w:ascii="宋体" w:hAnsi="宋体"/>
          <w:kern w:val="0"/>
          <w:sz w:val="24"/>
        </w:rPr>
        <w:t>专人送达</w:t>
      </w:r>
      <w:r>
        <w:rPr>
          <w:rFonts w:hint="eastAsia" w:ascii="宋体" w:hAnsi="宋体"/>
          <w:kern w:val="0"/>
          <w:sz w:val="24"/>
          <w:lang w:eastAsia="zh-CN"/>
        </w:rPr>
        <w:t>、电子信息传输</w:t>
      </w:r>
      <w:bookmarkStart w:id="0" w:name="_GoBack"/>
      <w:bookmarkEnd w:id="0"/>
      <w:r>
        <w:rPr>
          <w:rFonts w:ascii="宋体" w:hAnsi="宋体"/>
          <w:kern w:val="0"/>
          <w:sz w:val="24"/>
          <w:szCs w:val="21"/>
        </w:rPr>
        <w:t>等方式通知各位委员。采用电子邮件、电话等快捷通知方式时，若自发出通知之日起</w:t>
      </w:r>
      <w:r>
        <w:rPr>
          <w:rFonts w:hint="eastAsia" w:ascii="宋体" w:hAnsi="宋体"/>
          <w:kern w:val="0"/>
          <w:sz w:val="24"/>
          <w:szCs w:val="21"/>
          <w:lang w:eastAsia="zh-CN"/>
        </w:rPr>
        <w:t>两</w:t>
      </w:r>
      <w:r>
        <w:rPr>
          <w:rFonts w:ascii="宋体" w:hAnsi="宋体"/>
          <w:kern w:val="0"/>
          <w:sz w:val="24"/>
          <w:szCs w:val="21"/>
        </w:rPr>
        <w:t>日内未接到书面异议，则视为被通知人</w:t>
      </w:r>
      <w:r>
        <w:rPr>
          <w:rFonts w:hint="eastAsia" w:ascii="宋体" w:hAnsi="宋体"/>
          <w:kern w:val="0"/>
          <w:sz w:val="24"/>
          <w:szCs w:val="21"/>
          <w:lang w:eastAsia="zh-CN"/>
        </w:rPr>
        <w:t>已</w:t>
      </w:r>
      <w:r>
        <w:rPr>
          <w:rFonts w:ascii="宋体" w:hAnsi="宋体"/>
          <w:kern w:val="0"/>
          <w:sz w:val="24"/>
          <w:szCs w:val="21"/>
        </w:rPr>
        <w:t>收到会议通知。</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第二十条</w:t>
      </w:r>
      <w:r>
        <w:rPr>
          <w:rFonts w:ascii="宋体" w:hAnsi="宋体"/>
          <w:kern w:val="0"/>
          <w:sz w:val="24"/>
          <w:szCs w:val="21"/>
        </w:rPr>
        <w:t xml:space="preserve">  战略委员会会议应由三分之二以上的委员(含三分之二)出席方可举</w:t>
      </w:r>
      <w:r>
        <w:rPr>
          <w:rFonts w:hint="eastAsia" w:ascii="宋体" w:hAnsi="宋体"/>
          <w:kern w:val="0"/>
          <w:sz w:val="24"/>
          <w:szCs w:val="21"/>
        </w:rPr>
        <w:t>行。</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一</w:t>
      </w:r>
      <w:r>
        <w:rPr>
          <w:rFonts w:ascii="宋体" w:hAnsi="宋体"/>
          <w:b/>
          <w:kern w:val="0"/>
          <w:sz w:val="24"/>
          <w:szCs w:val="21"/>
        </w:rPr>
        <w:t xml:space="preserve">条  </w:t>
      </w:r>
      <w:r>
        <w:rPr>
          <w:rFonts w:ascii="宋体" w:hAnsi="宋体"/>
          <w:kern w:val="0"/>
          <w:sz w:val="24"/>
          <w:szCs w:val="21"/>
        </w:rPr>
        <w:t>战略委员会委员可以亲自出席会议，也可以委托其他委员代为出席会议并行使表决权；委托其他委员代为出席会议并行使表决权的，应向会议主持人提交授权委托书。授权委托书应不迟于会议表决前提交给会议主持人。</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二</w:t>
      </w:r>
      <w:r>
        <w:rPr>
          <w:rFonts w:ascii="宋体" w:hAnsi="宋体"/>
          <w:b/>
          <w:kern w:val="0"/>
          <w:sz w:val="24"/>
          <w:szCs w:val="21"/>
        </w:rPr>
        <w:t>条</w:t>
      </w:r>
      <w:r>
        <w:rPr>
          <w:rFonts w:ascii="宋体" w:hAnsi="宋体"/>
          <w:kern w:val="0"/>
          <w:sz w:val="24"/>
          <w:szCs w:val="21"/>
        </w:rPr>
        <w:t xml:space="preserve">  战略委员会委员既不亲自出席会议，亦未委托其他委员代为出席会议的，视为未出席相关会议。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战略委员会委员连续两次不出席会议的，视为不能适当履行其职权。公司董事会可以撤销其委员职务。</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三</w:t>
      </w:r>
      <w:r>
        <w:rPr>
          <w:rFonts w:ascii="宋体" w:hAnsi="宋体"/>
          <w:b/>
          <w:kern w:val="0"/>
          <w:sz w:val="24"/>
          <w:szCs w:val="21"/>
        </w:rPr>
        <w:t xml:space="preserve">条 </w:t>
      </w:r>
      <w:r>
        <w:rPr>
          <w:rFonts w:ascii="宋体" w:hAnsi="宋体"/>
          <w:kern w:val="0"/>
          <w:sz w:val="24"/>
          <w:szCs w:val="21"/>
        </w:rPr>
        <w:t xml:space="preserve"> </w:t>
      </w:r>
      <w:r>
        <w:rPr>
          <w:rFonts w:hint="eastAsia" w:ascii="宋体" w:hAnsi="宋体"/>
          <w:kern w:val="0"/>
          <w:sz w:val="24"/>
          <w:szCs w:val="21"/>
          <w:lang w:eastAsia="zh-CN"/>
        </w:rPr>
        <w:t>证券事务管理部门人员</w:t>
      </w:r>
      <w:r>
        <w:rPr>
          <w:rFonts w:ascii="宋体" w:hAnsi="宋体"/>
          <w:kern w:val="0"/>
          <w:sz w:val="24"/>
          <w:szCs w:val="21"/>
        </w:rPr>
        <w:t>可列席战略委员会会议；公司其他非委员董事可受邀列席会议，战略委员会如认为必要，可以召集与会议提案有关的其他人员列席会议、介绍情况或发表意见，但非战略委员会委员对提案没有表决权。</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四</w:t>
      </w:r>
      <w:r>
        <w:rPr>
          <w:rFonts w:ascii="宋体" w:hAnsi="宋体"/>
          <w:b/>
          <w:kern w:val="0"/>
          <w:sz w:val="24"/>
          <w:szCs w:val="21"/>
        </w:rPr>
        <w:t>条</w:t>
      </w:r>
      <w:r>
        <w:rPr>
          <w:rFonts w:ascii="宋体" w:hAnsi="宋体"/>
          <w:kern w:val="0"/>
          <w:sz w:val="24"/>
          <w:szCs w:val="21"/>
        </w:rPr>
        <w:t xml:space="preserve">  战略委员会会议以记名投票方式表决。会议在保障委员充分表达意见的前提下，可以用传真、电话方式进行并以传真方式作出决议，并由参会委员签字。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战略委员会委员每人享有一票表决权。会议决议需经全体委员(包括未出席会议的委员)过半数同意方为有效。</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五</w:t>
      </w:r>
      <w:r>
        <w:rPr>
          <w:rFonts w:ascii="宋体" w:hAnsi="宋体"/>
          <w:b/>
          <w:kern w:val="0"/>
          <w:sz w:val="24"/>
          <w:szCs w:val="21"/>
        </w:rPr>
        <w:t>条</w:t>
      </w:r>
      <w:r>
        <w:rPr>
          <w:rFonts w:ascii="宋体" w:hAnsi="宋体"/>
          <w:kern w:val="0"/>
          <w:sz w:val="24"/>
          <w:szCs w:val="21"/>
        </w:rPr>
        <w:t xml:space="preserve">  出席会议的委员应本着认真负责的态度，对提案进行审议并充分表达个人意见；委员对其个人的投票表决承担责任。 </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六</w:t>
      </w:r>
      <w:r>
        <w:rPr>
          <w:rFonts w:ascii="宋体" w:hAnsi="宋体"/>
          <w:b/>
          <w:kern w:val="0"/>
          <w:sz w:val="24"/>
          <w:szCs w:val="21"/>
        </w:rPr>
        <w:t xml:space="preserve">条  </w:t>
      </w:r>
      <w:r>
        <w:rPr>
          <w:rFonts w:ascii="宋体" w:hAnsi="宋体"/>
          <w:kern w:val="0"/>
          <w:sz w:val="24"/>
          <w:szCs w:val="21"/>
        </w:rPr>
        <w:t xml:space="preserve">战略委员会会议通过的提案及表决结果，应以书面形式报公司董事会审议。 </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七</w:t>
      </w:r>
      <w:r>
        <w:rPr>
          <w:rFonts w:ascii="宋体" w:hAnsi="宋体"/>
          <w:b/>
          <w:kern w:val="0"/>
          <w:sz w:val="24"/>
          <w:szCs w:val="21"/>
        </w:rPr>
        <w:t>条</w:t>
      </w:r>
      <w:r>
        <w:rPr>
          <w:rFonts w:ascii="宋体" w:hAnsi="宋体"/>
          <w:kern w:val="0"/>
          <w:sz w:val="24"/>
          <w:szCs w:val="21"/>
        </w:rPr>
        <w:t xml:space="preserve">  公司董事会在年度工作报告中应披露战略委员会过去一年的工作内容，包括会议召开情况和决议情况等。 </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第二十</w:t>
      </w:r>
      <w:r>
        <w:rPr>
          <w:rFonts w:hint="eastAsia" w:ascii="宋体" w:hAnsi="宋体"/>
          <w:b/>
          <w:kern w:val="0"/>
          <w:sz w:val="24"/>
          <w:szCs w:val="21"/>
          <w:lang w:eastAsia="zh-CN"/>
        </w:rPr>
        <w:t>八</w:t>
      </w:r>
      <w:r>
        <w:rPr>
          <w:rFonts w:ascii="宋体" w:hAnsi="宋体"/>
          <w:b/>
          <w:kern w:val="0"/>
          <w:sz w:val="24"/>
          <w:szCs w:val="21"/>
        </w:rPr>
        <w:t>条</w:t>
      </w:r>
      <w:r>
        <w:rPr>
          <w:rFonts w:ascii="宋体" w:hAnsi="宋体"/>
          <w:kern w:val="0"/>
          <w:sz w:val="24"/>
          <w:szCs w:val="21"/>
        </w:rPr>
        <w:t xml:space="preserve">  战略委员会会议以现场方式召开的，应作书面会议记录，出席会议的委员和会议记录人应当在会议记录上签名。出席会议的委员有权要求在记录上对其在会议上的发言做出说明性记载。</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战略委员会会议记录作为公司档案由董事会秘书保存。在公司存续期间，保存期为十年。</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w:t>
      </w:r>
      <w:r>
        <w:rPr>
          <w:rFonts w:hint="eastAsia" w:ascii="宋体" w:hAnsi="宋体"/>
          <w:b/>
          <w:kern w:val="0"/>
          <w:sz w:val="24"/>
          <w:szCs w:val="21"/>
          <w:lang w:eastAsia="zh-CN"/>
        </w:rPr>
        <w:t>二十九</w:t>
      </w:r>
      <w:r>
        <w:rPr>
          <w:rFonts w:ascii="宋体" w:hAnsi="宋体"/>
          <w:b/>
          <w:kern w:val="0"/>
          <w:sz w:val="24"/>
          <w:szCs w:val="21"/>
        </w:rPr>
        <w:t>条</w:t>
      </w:r>
      <w:r>
        <w:rPr>
          <w:rFonts w:ascii="宋体" w:hAnsi="宋体"/>
          <w:kern w:val="0"/>
          <w:sz w:val="24"/>
          <w:szCs w:val="21"/>
        </w:rPr>
        <w:t xml:space="preserve">  战略委员会委员对于了解到的公司相关信息，在该等信息尚未公开之前，负有保密义务。</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center"/>
        <w:textAlignment w:val="auto"/>
        <w:rPr>
          <w:rFonts w:hint="eastAsia" w:ascii="Times New Roman" w:hAnsi="Times New Roman" w:eastAsia="宋体" w:cs="Times New Roman"/>
          <w:b/>
          <w:bCs/>
          <w:kern w:val="0"/>
          <w:sz w:val="24"/>
          <w:szCs w:val="22"/>
        </w:rPr>
      </w:pPr>
      <w:r>
        <w:rPr>
          <w:rFonts w:ascii="Times New Roman" w:hAnsi="Times New Roman" w:eastAsia="宋体" w:cs="Times New Roman"/>
          <w:b/>
          <w:bCs/>
          <w:kern w:val="0"/>
          <w:sz w:val="24"/>
          <w:szCs w:val="22"/>
        </w:rPr>
        <w:t>第</w:t>
      </w:r>
      <w:r>
        <w:rPr>
          <w:rFonts w:hint="eastAsia" w:ascii="Times New Roman" w:hAnsi="Times New Roman" w:eastAsia="宋体" w:cs="Times New Roman"/>
          <w:b/>
          <w:bCs/>
          <w:kern w:val="0"/>
          <w:sz w:val="24"/>
          <w:szCs w:val="22"/>
          <w:lang w:eastAsia="zh-CN"/>
        </w:rPr>
        <w:t>六</w:t>
      </w:r>
      <w:r>
        <w:rPr>
          <w:rFonts w:ascii="Times New Roman" w:hAnsi="Times New Roman" w:eastAsia="宋体" w:cs="Times New Roman"/>
          <w:b/>
          <w:bCs/>
          <w:kern w:val="0"/>
          <w:sz w:val="24"/>
          <w:szCs w:val="22"/>
        </w:rPr>
        <w:t>章   附   则</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第三十条</w:t>
      </w:r>
      <w:r>
        <w:rPr>
          <w:rFonts w:ascii="宋体" w:hAnsi="宋体"/>
          <w:kern w:val="0"/>
          <w:sz w:val="24"/>
          <w:szCs w:val="21"/>
        </w:rPr>
        <w:t xml:space="preserve">  本议事规则自公司董事会审议通过之日起执行。 </w:t>
      </w:r>
    </w:p>
    <w:p>
      <w:pPr>
        <w:keepNext w:val="0"/>
        <w:keepLines w:val="0"/>
        <w:pageBreakBefore w:val="0"/>
        <w:widowControl w:val="0"/>
        <w:kinsoku/>
        <w:wordWrap/>
        <w:overflowPunct/>
        <w:topLinePunct w:val="0"/>
        <w:autoSpaceDE/>
        <w:autoSpaceDN/>
        <w:bidi w:val="0"/>
        <w:snapToGrid/>
        <w:spacing w:line="460" w:lineRule="exact"/>
        <w:ind w:firstLine="482" w:firstLineChars="200"/>
        <w:rPr>
          <w:rFonts w:hint="eastAsia" w:ascii="宋体" w:hAnsi="宋体"/>
          <w:kern w:val="0"/>
          <w:sz w:val="24"/>
          <w:szCs w:val="21"/>
        </w:rPr>
      </w:pPr>
      <w:r>
        <w:rPr>
          <w:rFonts w:ascii="宋体" w:hAnsi="宋体"/>
          <w:b/>
          <w:kern w:val="0"/>
          <w:sz w:val="24"/>
          <w:szCs w:val="21"/>
        </w:rPr>
        <w:t>第三十</w:t>
      </w:r>
      <w:r>
        <w:rPr>
          <w:rFonts w:hint="eastAsia" w:ascii="宋体" w:hAnsi="宋体"/>
          <w:b/>
          <w:kern w:val="0"/>
          <w:sz w:val="24"/>
          <w:szCs w:val="21"/>
          <w:lang w:eastAsia="zh-CN"/>
        </w:rPr>
        <w:t>一</w:t>
      </w:r>
      <w:r>
        <w:rPr>
          <w:rFonts w:ascii="宋体" w:hAnsi="宋体"/>
          <w:b/>
          <w:kern w:val="0"/>
          <w:sz w:val="24"/>
          <w:szCs w:val="21"/>
        </w:rPr>
        <w:t>条</w:t>
      </w:r>
      <w:r>
        <w:rPr>
          <w:rFonts w:ascii="宋体" w:hAnsi="宋体"/>
          <w:kern w:val="0"/>
          <w:sz w:val="24"/>
          <w:szCs w:val="21"/>
        </w:rPr>
        <w:t xml:space="preserve">  本议事规则未尽事宜，按国家有关法律、行政法规、部门规章和</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ascii="宋体" w:hAnsi="宋体"/>
          <w:kern w:val="0"/>
          <w:sz w:val="24"/>
          <w:szCs w:val="21"/>
        </w:rPr>
        <w:t>的规定执行；本议事规则如与国家日后颁布的法律、行政法规、部门规章或经修改后的</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ascii="宋体" w:hAnsi="宋体"/>
          <w:kern w:val="0"/>
          <w:sz w:val="24"/>
          <w:szCs w:val="21"/>
        </w:rPr>
        <w:t>相抵触时，按国家有关法律、行政法规、部门规章和</w:t>
      </w:r>
      <w:r>
        <w:rPr>
          <w:rFonts w:hint="eastAsia" w:ascii="宋体" w:hAnsi="宋体"/>
          <w:kern w:val="0"/>
          <w:sz w:val="24"/>
          <w:szCs w:val="21"/>
          <w:lang w:eastAsia="zh-CN"/>
        </w:rPr>
        <w:t>《</w:t>
      </w:r>
      <w:r>
        <w:rPr>
          <w:rFonts w:ascii="宋体" w:hAnsi="宋体"/>
          <w:kern w:val="0"/>
          <w:sz w:val="24"/>
          <w:szCs w:val="21"/>
        </w:rPr>
        <w:t>公司章程</w:t>
      </w:r>
      <w:r>
        <w:rPr>
          <w:rFonts w:hint="eastAsia" w:ascii="宋体" w:hAnsi="宋体"/>
          <w:kern w:val="0"/>
          <w:sz w:val="24"/>
          <w:szCs w:val="21"/>
          <w:lang w:eastAsia="zh-CN"/>
        </w:rPr>
        <w:t>》</w:t>
      </w:r>
      <w:r>
        <w:rPr>
          <w:rFonts w:ascii="宋体" w:hAnsi="宋体"/>
          <w:kern w:val="0"/>
          <w:sz w:val="24"/>
          <w:szCs w:val="21"/>
        </w:rPr>
        <w:t xml:space="preserve">的规定执行，并及时修改本议事规则，报公司董事会审议通过。 </w:t>
      </w:r>
    </w:p>
    <w:p>
      <w:pPr>
        <w:keepNext w:val="0"/>
        <w:keepLines w:val="0"/>
        <w:pageBreakBefore w:val="0"/>
        <w:widowControl w:val="0"/>
        <w:kinsoku/>
        <w:overflowPunct/>
        <w:topLinePunct w:val="0"/>
        <w:autoSpaceDE/>
        <w:autoSpaceDN/>
        <w:bidi w:val="0"/>
        <w:adjustRightInd/>
        <w:snapToGrid/>
        <w:spacing w:line="460" w:lineRule="exact"/>
        <w:ind w:firstLine="482" w:firstLineChars="200"/>
        <w:textAlignment w:val="auto"/>
        <w:rPr>
          <w:rFonts w:hint="eastAsia"/>
        </w:rPr>
      </w:pPr>
      <w:r>
        <w:rPr>
          <w:rFonts w:ascii="宋体" w:hAnsi="宋体"/>
          <w:b/>
          <w:kern w:val="0"/>
          <w:sz w:val="24"/>
          <w:szCs w:val="21"/>
        </w:rPr>
        <w:t>第三十</w:t>
      </w:r>
      <w:r>
        <w:rPr>
          <w:rFonts w:hint="eastAsia" w:ascii="宋体" w:hAnsi="宋体"/>
          <w:b/>
          <w:kern w:val="0"/>
          <w:sz w:val="24"/>
          <w:szCs w:val="21"/>
          <w:lang w:eastAsia="zh-CN"/>
        </w:rPr>
        <w:t>二</w:t>
      </w:r>
      <w:r>
        <w:rPr>
          <w:rFonts w:ascii="宋体" w:hAnsi="宋体"/>
          <w:b/>
          <w:kern w:val="0"/>
          <w:sz w:val="24"/>
          <w:szCs w:val="21"/>
        </w:rPr>
        <w:t>条</w:t>
      </w:r>
      <w:r>
        <w:rPr>
          <w:rFonts w:ascii="宋体" w:hAnsi="宋体"/>
          <w:kern w:val="0"/>
          <w:sz w:val="24"/>
          <w:szCs w:val="21"/>
        </w:rPr>
        <w:t xml:space="preserve">  本议事规则解释权归公司董事会。</w:t>
      </w:r>
      <w:r>
        <w:rPr>
          <w:rFonts w:hint="eastAsia" w:ascii="宋体" w:hAnsi="宋体"/>
          <w:sz w:val="24"/>
          <w:lang w:eastAsia="zh-CN"/>
        </w:rPr>
        <w:t>原《</w:t>
      </w:r>
      <w:r>
        <w:rPr>
          <w:rFonts w:hint="eastAsia" w:ascii="宋体" w:hAnsi="宋体"/>
          <w:sz w:val="24"/>
        </w:rPr>
        <w:t>湖南博云新材料股份有限公司</w:t>
      </w:r>
      <w:r>
        <w:rPr>
          <w:rFonts w:hint="eastAsia" w:ascii="宋体" w:hAnsi="宋体"/>
          <w:sz w:val="24"/>
          <w:lang w:eastAsia="zh-CN"/>
        </w:rPr>
        <w:t>战略</w:t>
      </w:r>
      <w:r>
        <w:rPr>
          <w:rFonts w:hint="eastAsia" w:ascii="宋体" w:hAnsi="宋体"/>
          <w:sz w:val="24"/>
        </w:rPr>
        <w:t>委员会议事规则</w:t>
      </w:r>
      <w:r>
        <w:rPr>
          <w:rFonts w:hint="eastAsia" w:ascii="宋体" w:hAnsi="宋体"/>
          <w:sz w:val="24"/>
          <w:lang w:eastAsia="zh-CN"/>
        </w:rPr>
        <w:t>》废止。</w:t>
      </w:r>
    </w:p>
    <w:sectPr>
      <w:footerReference r:id="rId5" w:type="first"/>
      <w:footerReference r:id="rId3" w:type="default"/>
      <w:footerReference r:id="rId4" w:type="even"/>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Style w:val="27"/>
                            </w:rPr>
                          </w:pPr>
                          <w:r>
                            <w:rPr>
                              <w:rStyle w:val="27"/>
                            </w:rPr>
                            <w:fldChar w:fldCharType="begin"/>
                          </w:r>
                          <w:r>
                            <w:rPr>
                              <w:rStyle w:val="27"/>
                            </w:rPr>
                            <w:instrText xml:space="preserve">PAGE  </w:instrText>
                          </w:r>
                          <w:r>
                            <w:rPr>
                              <w:rStyle w:val="27"/>
                            </w:rPr>
                            <w:fldChar w:fldCharType="separate"/>
                          </w:r>
                          <w:r>
                            <w:rPr>
                              <w:rStyle w:val="27"/>
                            </w:rPr>
                            <w:t>6</w:t>
                          </w:r>
                          <w:r>
                            <w:rPr>
                              <w:rStyle w:val="27"/>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5"/>
                      <w:rPr>
                        <w:rStyle w:val="27"/>
                      </w:rPr>
                    </w:pPr>
                    <w:r>
                      <w:rPr>
                        <w:rStyle w:val="27"/>
                      </w:rPr>
                      <w:fldChar w:fldCharType="begin"/>
                    </w:r>
                    <w:r>
                      <w:rPr>
                        <w:rStyle w:val="27"/>
                      </w:rPr>
                      <w:instrText xml:space="preserve">PAGE  </w:instrText>
                    </w:r>
                    <w:r>
                      <w:rPr>
                        <w:rStyle w:val="27"/>
                      </w:rPr>
                      <w:fldChar w:fldCharType="separate"/>
                    </w:r>
                    <w:r>
                      <w:rPr>
                        <w:rStyle w:val="27"/>
                      </w:rPr>
                      <w:t>6</w:t>
                    </w:r>
                    <w:r>
                      <w:rPr>
                        <w:rStyle w:val="27"/>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rPr>
        <w:rStyle w:val="27"/>
      </w:rPr>
      <w:fldChar w:fldCharType="begin"/>
    </w:r>
    <w:r>
      <w:rPr>
        <w:rStyle w:val="27"/>
      </w:rPr>
      <w:instrText xml:space="preserve">PAGE  </w:instrText>
    </w:r>
    <w:r>
      <w:rPr>
        <w:rStyle w:val="27"/>
      </w:rP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hZDM3OWM2NmRhMzBiMDYxYjgzYzJiMWE5MTRlNzAifQ=="/>
    <w:docVar w:name="KSO_WPS_MARK_KEY" w:val="97e4a907-5424-41ee-b4a5-5735a27d91dd"/>
  </w:docVars>
  <w:rsids>
    <w:rsidRoot w:val="0086504A"/>
    <w:rsid w:val="000963EF"/>
    <w:rsid w:val="000A44B7"/>
    <w:rsid w:val="001B0FAF"/>
    <w:rsid w:val="00207659"/>
    <w:rsid w:val="00226258"/>
    <w:rsid w:val="0025169C"/>
    <w:rsid w:val="00252F03"/>
    <w:rsid w:val="00293521"/>
    <w:rsid w:val="003D1FC5"/>
    <w:rsid w:val="00426446"/>
    <w:rsid w:val="0044202C"/>
    <w:rsid w:val="00496712"/>
    <w:rsid w:val="004B451B"/>
    <w:rsid w:val="0050118F"/>
    <w:rsid w:val="0058415C"/>
    <w:rsid w:val="007002C8"/>
    <w:rsid w:val="0078392B"/>
    <w:rsid w:val="007B5303"/>
    <w:rsid w:val="00855D32"/>
    <w:rsid w:val="0086504A"/>
    <w:rsid w:val="008673D4"/>
    <w:rsid w:val="008F3846"/>
    <w:rsid w:val="00921506"/>
    <w:rsid w:val="00A71FA4"/>
    <w:rsid w:val="00AC5396"/>
    <w:rsid w:val="00AD1BA2"/>
    <w:rsid w:val="00B76EC2"/>
    <w:rsid w:val="00BF7846"/>
    <w:rsid w:val="00C442B3"/>
    <w:rsid w:val="00C82BAF"/>
    <w:rsid w:val="00C930B5"/>
    <w:rsid w:val="00C97670"/>
    <w:rsid w:val="00D17862"/>
    <w:rsid w:val="00D80A08"/>
    <w:rsid w:val="00DA7459"/>
    <w:rsid w:val="00DB76C2"/>
    <w:rsid w:val="00DE6CB0"/>
    <w:rsid w:val="00E37C0E"/>
    <w:rsid w:val="00E6129B"/>
    <w:rsid w:val="00EC1E65"/>
    <w:rsid w:val="00EC3817"/>
    <w:rsid w:val="00F14A50"/>
    <w:rsid w:val="00F45E54"/>
    <w:rsid w:val="00F50370"/>
    <w:rsid w:val="00F62512"/>
    <w:rsid w:val="00F834E4"/>
    <w:rsid w:val="00F85FA8"/>
    <w:rsid w:val="02123F76"/>
    <w:rsid w:val="05065932"/>
    <w:rsid w:val="10FC0E88"/>
    <w:rsid w:val="123E3FC5"/>
    <w:rsid w:val="16133262"/>
    <w:rsid w:val="17716EB9"/>
    <w:rsid w:val="19836A13"/>
    <w:rsid w:val="213634B3"/>
    <w:rsid w:val="261408AE"/>
    <w:rsid w:val="26383C1F"/>
    <w:rsid w:val="29180CD5"/>
    <w:rsid w:val="2CBA0563"/>
    <w:rsid w:val="2E6A05F0"/>
    <w:rsid w:val="2F5345AE"/>
    <w:rsid w:val="31EA3699"/>
    <w:rsid w:val="43374264"/>
    <w:rsid w:val="47207899"/>
    <w:rsid w:val="4F4D358F"/>
    <w:rsid w:val="56672D02"/>
    <w:rsid w:val="56842290"/>
    <w:rsid w:val="5AD308BE"/>
    <w:rsid w:val="5F4F5BCB"/>
    <w:rsid w:val="608C5797"/>
    <w:rsid w:val="61671D60"/>
    <w:rsid w:val="67A07D7A"/>
    <w:rsid w:val="6B4B62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jc w:val="center"/>
      <w:outlineLvl w:val="0"/>
    </w:pPr>
    <w:rPr>
      <w:rFonts w:ascii="宋体" w:hAnsi="宋体"/>
      <w:b/>
      <w:bCs/>
      <w:kern w:val="36"/>
      <w:sz w:val="24"/>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5">
    <w:name w:val="Default Paragraph Font"/>
    <w:link w:val="26"/>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4">
    <w:name w:val="toc 7"/>
    <w:basedOn w:val="1"/>
    <w:next w:val="1"/>
    <w:semiHidden/>
    <w:qFormat/>
    <w:uiPriority w:val="0"/>
    <w:pPr>
      <w:ind w:left="2520" w:leftChars="1200"/>
    </w:pPr>
  </w:style>
  <w:style w:type="paragraph" w:styleId="5">
    <w:name w:val="Document Map"/>
    <w:basedOn w:val="1"/>
    <w:semiHidden/>
    <w:qFormat/>
    <w:uiPriority w:val="0"/>
    <w:pPr>
      <w:shd w:val="clear" w:color="auto" w:fill="000080"/>
    </w:pPr>
  </w:style>
  <w:style w:type="paragraph" w:styleId="6">
    <w:name w:val="annotation text"/>
    <w:basedOn w:val="1"/>
    <w:semiHidden/>
    <w:qFormat/>
    <w:uiPriority w:val="0"/>
    <w:pPr>
      <w:jc w:val="left"/>
    </w:pPr>
  </w:style>
  <w:style w:type="paragraph" w:styleId="7">
    <w:name w:val="Body Text Indent"/>
    <w:basedOn w:val="1"/>
    <w:qFormat/>
    <w:uiPriority w:val="0"/>
    <w:pPr>
      <w:adjustRightInd w:val="0"/>
      <w:spacing w:line="360" w:lineRule="atLeast"/>
      <w:ind w:firstLine="600"/>
      <w:jc w:val="left"/>
      <w:textAlignment w:val="baseline"/>
    </w:pPr>
    <w:rPr>
      <w:i/>
      <w:kern w:val="0"/>
      <w:sz w:val="30"/>
      <w:szCs w:val="20"/>
    </w:rPr>
  </w:style>
  <w:style w:type="paragraph" w:styleId="8">
    <w:name w:val="toc 5"/>
    <w:basedOn w:val="1"/>
    <w:next w:val="1"/>
    <w:semiHidden/>
    <w:qFormat/>
    <w:uiPriority w:val="0"/>
    <w:pPr>
      <w:ind w:left="1680" w:leftChars="800"/>
    </w:pPr>
  </w:style>
  <w:style w:type="paragraph" w:styleId="9">
    <w:name w:val="toc 3"/>
    <w:basedOn w:val="1"/>
    <w:next w:val="1"/>
    <w:semiHidden/>
    <w:qFormat/>
    <w:uiPriority w:val="0"/>
    <w:pPr>
      <w:ind w:left="840" w:leftChars="400"/>
    </w:pPr>
  </w:style>
  <w:style w:type="paragraph" w:styleId="10">
    <w:name w:val="Plain Text"/>
    <w:basedOn w:val="1"/>
    <w:qFormat/>
    <w:uiPriority w:val="0"/>
    <w:pPr>
      <w:spacing w:line="460" w:lineRule="atLeast"/>
    </w:pPr>
    <w:rPr>
      <w:rFonts w:ascii="Courier New" w:hAnsi="Courier New"/>
      <w:szCs w:val="20"/>
    </w:rPr>
  </w:style>
  <w:style w:type="paragraph" w:styleId="11">
    <w:name w:val="toc 8"/>
    <w:basedOn w:val="1"/>
    <w:next w:val="1"/>
    <w:semiHidden/>
    <w:qFormat/>
    <w:uiPriority w:val="0"/>
    <w:pPr>
      <w:ind w:left="2940" w:leftChars="1400"/>
    </w:p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520" w:lineRule="exact"/>
      <w:ind w:firstLine="480"/>
    </w:pPr>
    <w:rPr>
      <w:color w:val="FF0000"/>
      <w:sz w:val="24"/>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qFormat/>
    <w:uiPriority w:val="0"/>
  </w:style>
  <w:style w:type="paragraph" w:styleId="18">
    <w:name w:val="toc 4"/>
    <w:basedOn w:val="1"/>
    <w:next w:val="1"/>
    <w:semiHidden/>
    <w:qFormat/>
    <w:uiPriority w:val="0"/>
    <w:pPr>
      <w:ind w:left="1260" w:leftChars="600"/>
    </w:pPr>
  </w:style>
  <w:style w:type="paragraph" w:styleId="19">
    <w:name w:val="toc 6"/>
    <w:basedOn w:val="1"/>
    <w:next w:val="1"/>
    <w:semiHidden/>
    <w:qFormat/>
    <w:uiPriority w:val="0"/>
    <w:pPr>
      <w:ind w:left="2100" w:leftChars="1000"/>
    </w:pPr>
  </w:style>
  <w:style w:type="paragraph" w:styleId="20">
    <w:name w:val="Body Text Indent 3"/>
    <w:basedOn w:val="1"/>
    <w:qFormat/>
    <w:uiPriority w:val="0"/>
    <w:pPr>
      <w:adjustRightInd w:val="0"/>
      <w:spacing w:line="360" w:lineRule="atLeast"/>
      <w:ind w:firstLine="600"/>
      <w:textAlignment w:val="baseline"/>
    </w:pPr>
    <w:rPr>
      <w:kern w:val="0"/>
      <w:sz w:val="30"/>
      <w:szCs w:val="20"/>
    </w:rPr>
  </w:style>
  <w:style w:type="paragraph" w:styleId="21">
    <w:name w:val="toc 2"/>
    <w:basedOn w:val="1"/>
    <w:next w:val="1"/>
    <w:semiHidden/>
    <w:qFormat/>
    <w:uiPriority w:val="0"/>
    <w:pPr>
      <w:ind w:left="420" w:leftChars="200"/>
    </w:pPr>
  </w:style>
  <w:style w:type="paragraph" w:styleId="22">
    <w:name w:val="toc 9"/>
    <w:basedOn w:val="1"/>
    <w:next w:val="1"/>
    <w:semiHidden/>
    <w:qFormat/>
    <w:uiPriority w:val="0"/>
    <w:pPr>
      <w:ind w:left="3360" w:leftChars="1600"/>
    </w:p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26">
    <w:name w:val=" Char Char1 Char Char Char Char Char Char Char Char Char Char Char Char Char Char"/>
    <w:basedOn w:val="1"/>
    <w:link w:val="25"/>
    <w:qFormat/>
    <w:uiPriority w:val="0"/>
    <w:pPr>
      <w:widowControl/>
      <w:spacing w:before="100" w:beforeLines="100" w:after="160" w:line="240" w:lineRule="exact"/>
      <w:jc w:val="left"/>
    </w:pPr>
    <w:rPr>
      <w:rFonts w:ascii="Verdana" w:hAnsi="Verdana"/>
      <w:kern w:val="0"/>
      <w:sz w:val="32"/>
      <w:szCs w:val="32"/>
      <w:lang w:eastAsia="en-US"/>
    </w:rPr>
  </w:style>
  <w:style w:type="character" w:styleId="27">
    <w:name w:val="page number"/>
    <w:basedOn w:val="25"/>
    <w:qFormat/>
    <w:uiPriority w:val="0"/>
  </w:style>
  <w:style w:type="character" w:styleId="28">
    <w:name w:val="FollowedHyperlink"/>
    <w:qFormat/>
    <w:uiPriority w:val="0"/>
    <w:rPr>
      <w:color w:val="800080"/>
      <w:u w:val="single"/>
    </w:rPr>
  </w:style>
  <w:style w:type="character" w:styleId="29">
    <w:name w:val="Hyperlink"/>
    <w:qFormat/>
    <w:uiPriority w:val="0"/>
    <w:rPr>
      <w:color w:val="0000FF"/>
      <w:u w:val="single"/>
    </w:rPr>
  </w:style>
  <w:style w:type="character" w:styleId="30">
    <w:name w:val="annotation reference"/>
    <w:semiHidden/>
    <w:qFormat/>
    <w:uiPriority w:val="0"/>
    <w:rPr>
      <w:sz w:val="21"/>
      <w:szCs w:val="21"/>
    </w:rPr>
  </w:style>
  <w:style w:type="character" w:customStyle="1" w:styleId="31">
    <w:name w:val="yqlink"/>
    <w:basedOn w:val="25"/>
    <w:qFormat/>
    <w:uiPriority w:val="0"/>
  </w:style>
  <w:style w:type="paragraph" w:customStyle="1" w:styleId="32">
    <w:name w:val="_Style 3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33">
    <w:name w:val="_Style 32"/>
    <w:basedOn w:val="1"/>
    <w:next w:val="1"/>
    <w:hidden/>
    <w:qFormat/>
    <w:uiPriority w:val="0"/>
    <w:pPr>
      <w:widowControl/>
      <w:pBdr>
        <w:top w:val="single" w:color="auto" w:sz="6" w:space="1"/>
      </w:pBdr>
      <w:jc w:val="center"/>
    </w:pPr>
    <w:rPr>
      <w:rFonts w:ascii="Arial" w:hAnsi="Arial" w:cs="Arial"/>
      <w:vanish/>
      <w:kern w:val="0"/>
      <w:sz w:val="16"/>
      <w:szCs w:val="16"/>
    </w:rPr>
  </w:style>
  <w:style w:type="character" w:customStyle="1" w:styleId="34">
    <w:name w:val="txt14_221"/>
    <w:qFormat/>
    <w:uiPriority w:val="0"/>
    <w:rPr>
      <w:rFonts w:hint="default" w:ascii="_x000B__x000C_" w:hAnsi="_x000B__x000C_"/>
      <w:sz w:val="21"/>
      <w:szCs w:val="21"/>
    </w:rPr>
  </w:style>
  <w:style w:type="paragraph" w:customStyle="1" w:styleId="35">
    <w:name w:val="Char Char1 Char Char Char Char Char Char Char Char Char Char Char Char Char Char"/>
    <w:basedOn w:val="1"/>
    <w:qFormat/>
    <w:uiPriority w:val="0"/>
    <w:pPr>
      <w:widowControl/>
      <w:spacing w:beforeLines="100" w:after="160" w:line="240" w:lineRule="exact"/>
      <w:jc w:val="left"/>
    </w:pPr>
    <w:rPr>
      <w:rFonts w:ascii="Verdana" w:hAnsi="Verdana"/>
      <w:kern w:val="0"/>
      <w:sz w:val="32"/>
      <w:szCs w:val="3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newwf</Company>
  <Pages>4</Pages>
  <Words>2795</Words>
  <Characters>2795</Characters>
  <Lines>22</Lines>
  <Paragraphs>6</Paragraphs>
  <TotalTime>0</TotalTime>
  <ScaleCrop>false</ScaleCrop>
  <LinksUpToDate>false</LinksUpToDate>
  <CharactersWithSpaces>2923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2006-03-23T05:30:00Z</dcterms:created>
  <dc:creator>SSE.</dc:creator>
  <cp:lastModifiedBy>张爱丽</cp:lastModifiedBy>
  <cp:lastPrinted>2019-06-04T03:22:00Z</cp:lastPrinted>
  <dcterms:modified xsi:type="dcterms:W3CDTF">2025-08-25T05:34:10Z</dcterms:modified>
  <dc:title>新上市公司章程指引发布：股东可起诉违规高管</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14655926F72445929679A0A73631DA37</vt:lpwstr>
  </property>
</Properties>
</file>