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湖南博云新材料股份有限公司</w:t>
      </w:r>
    </w:p>
    <w:p>
      <w:pPr>
        <w:jc w:val="center"/>
        <w:rPr>
          <w:rFonts w:hint="eastAsia" w:ascii="宋体" w:hAnsi="宋体"/>
          <w:b/>
          <w:sz w:val="32"/>
          <w:szCs w:val="32"/>
        </w:rPr>
      </w:pPr>
      <w:r>
        <w:rPr>
          <w:rFonts w:hint="eastAsia" w:ascii="宋体" w:hAnsi="宋体"/>
          <w:b/>
          <w:sz w:val="32"/>
          <w:szCs w:val="32"/>
        </w:rPr>
        <w:t>投资者关系管理制度</w:t>
      </w:r>
    </w:p>
    <w:p>
      <w:pPr>
        <w:keepNext w:val="0"/>
        <w:keepLines w:val="0"/>
        <w:pageBreakBefore w:val="0"/>
        <w:widowControl w:val="0"/>
        <w:kinsoku/>
        <w:wordWrap/>
        <w:overflowPunct/>
        <w:topLinePunct w:val="0"/>
        <w:autoSpaceDE w:val="0"/>
        <w:autoSpaceDN w:val="0"/>
        <w:bidi w:val="0"/>
        <w:adjustRightInd w:val="0"/>
        <w:snapToGrid/>
        <w:spacing w:before="313" w:beforeLines="100" w:after="157" w:afterLines="50" w:line="360" w:lineRule="auto"/>
        <w:jc w:val="center"/>
        <w:textAlignment w:val="auto"/>
        <w:rPr>
          <w:rFonts w:ascii="宋体" w:hAnsi="宋体" w:cs="宋体,Bold"/>
          <w:b/>
          <w:bCs/>
          <w:kern w:val="0"/>
          <w:sz w:val="24"/>
        </w:rPr>
      </w:pPr>
      <w:r>
        <w:rPr>
          <w:rFonts w:hint="eastAsia" w:ascii="宋体" w:hAnsi="宋体" w:cs="宋体,Bold"/>
          <w:b/>
          <w:bCs/>
          <w:kern w:val="0"/>
          <w:sz w:val="24"/>
        </w:rPr>
        <w:t>第一章</w:t>
      </w:r>
      <w:r>
        <w:rPr>
          <w:rFonts w:ascii="宋体" w:hAnsi="宋体" w:cs="宋体,Bold"/>
          <w:b/>
          <w:bCs/>
          <w:kern w:val="0"/>
          <w:sz w:val="24"/>
        </w:rPr>
        <w:t xml:space="preserve"> </w:t>
      </w:r>
      <w:r>
        <w:rPr>
          <w:rFonts w:hint="eastAsia" w:ascii="宋体" w:hAnsi="宋体" w:cs="宋体,Bold"/>
          <w:b/>
          <w:bCs/>
          <w:kern w:val="0"/>
          <w:sz w:val="24"/>
        </w:rPr>
        <w:t>总则</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第一条</w:t>
      </w:r>
      <w:r>
        <w:rPr>
          <w:rFonts w:hint="eastAsia" w:ascii="宋体" w:hAnsi="宋体" w:cs="宋体,Bold"/>
          <w:b/>
          <w:bCs/>
          <w:kern w:val="0"/>
          <w:sz w:val="24"/>
          <w:lang w:val="en-US" w:eastAsia="zh-CN"/>
        </w:rPr>
        <w:t xml:space="preserve"> </w:t>
      </w:r>
      <w:r>
        <w:rPr>
          <w:rFonts w:ascii="宋体" w:hAnsi="宋体" w:cs="宋体,Bold"/>
          <w:b/>
          <w:bCs/>
          <w:kern w:val="0"/>
          <w:sz w:val="24"/>
        </w:rPr>
        <w:t xml:space="preserve"> </w:t>
      </w:r>
      <w:r>
        <w:rPr>
          <w:rFonts w:hint="eastAsia" w:ascii="宋体" w:hAnsi="宋体" w:cs="宋体"/>
          <w:kern w:val="0"/>
          <w:sz w:val="24"/>
        </w:rPr>
        <w:t>为促进和完善湖南博云新材料股份有限公司（以下简称“公司”）治理结构，规范公司投资者关系管理工作，根据《</w:t>
      </w:r>
      <w:r>
        <w:rPr>
          <w:rFonts w:ascii="宋体" w:hAnsi="宋体" w:eastAsia="宋体" w:cs="宋体"/>
          <w:sz w:val="24"/>
          <w:szCs w:val="24"/>
        </w:rPr>
        <w:t>中华人民共和国</w:t>
      </w:r>
      <w:r>
        <w:rPr>
          <w:rFonts w:hint="eastAsia" w:ascii="宋体" w:hAnsi="宋体" w:cs="宋体"/>
          <w:kern w:val="0"/>
          <w:sz w:val="24"/>
        </w:rPr>
        <w:t>公司法》《</w:t>
      </w:r>
      <w:r>
        <w:rPr>
          <w:rFonts w:ascii="宋体" w:hAnsi="宋体" w:eastAsia="宋体" w:cs="宋体"/>
          <w:sz w:val="24"/>
          <w:szCs w:val="24"/>
        </w:rPr>
        <w:t>中华人民共和国</w:t>
      </w:r>
      <w:r>
        <w:rPr>
          <w:rFonts w:hint="eastAsia" w:ascii="宋体" w:hAnsi="宋体" w:cs="宋体"/>
          <w:kern w:val="0"/>
          <w:sz w:val="24"/>
        </w:rPr>
        <w:t>证券法》《深圳证券交易所股票上市规则》《上市公司投资者关系</w:t>
      </w:r>
      <w:bookmarkStart w:id="0" w:name="_GoBack"/>
      <w:bookmarkEnd w:id="0"/>
      <w:r>
        <w:rPr>
          <w:rFonts w:hint="eastAsia" w:ascii="宋体" w:hAnsi="宋体" w:cs="宋体"/>
          <w:kern w:val="0"/>
          <w:sz w:val="24"/>
        </w:rPr>
        <w:t>管理工作指引》及其他相关法律、法规和规定，并结合公司的实际情况，特制定本制度。</w:t>
      </w:r>
    </w:p>
    <w:p>
      <w:pPr>
        <w:autoSpaceDE w:val="0"/>
        <w:autoSpaceDN w:val="0"/>
        <w:adjustRightInd w:val="0"/>
        <w:spacing w:line="360" w:lineRule="auto"/>
        <w:ind w:firstLine="482" w:firstLineChars="200"/>
        <w:jc w:val="left"/>
        <w:rPr>
          <w:rFonts w:ascii="宋体" w:hAnsi="宋体" w:cs="宋体"/>
          <w:b w:val="0"/>
          <w:bCs w:val="0"/>
          <w:kern w:val="0"/>
          <w:sz w:val="24"/>
        </w:rPr>
      </w:pPr>
      <w:r>
        <w:rPr>
          <w:rFonts w:hint="eastAsia" w:ascii="宋体" w:hAnsi="宋体" w:cs="宋体,Bold"/>
          <w:b/>
          <w:bCs/>
          <w:kern w:val="0"/>
          <w:sz w:val="24"/>
        </w:rPr>
        <w:t>第二条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Bold"/>
          <w:b w:val="0"/>
          <w:bCs w:val="0"/>
          <w:kern w:val="0"/>
          <w:sz w:val="24"/>
        </w:rPr>
        <w:t>投资者关系管理是指公司通过便利股东权利行使、信息披露、互动交流和诉求处理等工作，加强与投资者及潜在投资者之间的沟通，增进投资者对公司的了解和认同，以提升公司治理水平和企业整体价值，实现尊重投资者、回报投资者、保护投资者目的的相关活动。</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ind w:left="0" w:leftChars="0" w:firstLine="0" w:firstLineChars="0"/>
        <w:jc w:val="center"/>
        <w:textAlignment w:val="auto"/>
        <w:rPr>
          <w:rFonts w:ascii="宋体" w:hAnsi="宋体" w:cs="宋体,Bold"/>
          <w:b/>
          <w:bCs/>
          <w:kern w:val="0"/>
          <w:sz w:val="24"/>
        </w:rPr>
      </w:pPr>
      <w:r>
        <w:rPr>
          <w:rFonts w:hint="eastAsia" w:ascii="宋体" w:hAnsi="宋体" w:cs="宋体,Bold"/>
          <w:b/>
          <w:bCs/>
          <w:kern w:val="0"/>
          <w:sz w:val="24"/>
        </w:rPr>
        <w:t>第二章</w:t>
      </w:r>
      <w:r>
        <w:rPr>
          <w:rFonts w:ascii="宋体" w:hAnsi="宋体" w:cs="宋体,Bold"/>
          <w:b/>
          <w:bCs/>
          <w:kern w:val="0"/>
          <w:sz w:val="24"/>
        </w:rPr>
        <w:t xml:space="preserve"> </w:t>
      </w:r>
      <w:r>
        <w:rPr>
          <w:rFonts w:hint="eastAsia" w:ascii="宋体" w:hAnsi="宋体" w:cs="宋体,Bold"/>
          <w:b/>
          <w:bCs/>
          <w:kern w:val="0"/>
          <w:sz w:val="24"/>
        </w:rPr>
        <w:t>投资者关系管理的基本原则与目的</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第三条</w:t>
      </w:r>
      <w:r>
        <w:rPr>
          <w:rFonts w:ascii="宋体" w:hAnsi="宋体" w:cs="宋体,Bold"/>
          <w:b/>
          <w:bCs/>
          <w:kern w:val="0"/>
          <w:sz w:val="24"/>
        </w:rPr>
        <w:t xml:space="preserve"> </w:t>
      </w:r>
      <w:r>
        <w:rPr>
          <w:rFonts w:hint="eastAsia" w:ascii="宋体" w:hAnsi="宋体" w:cs="宋体"/>
          <w:kern w:val="0"/>
          <w:sz w:val="24"/>
        </w:rPr>
        <w:t>投资者关系管理的基本原则：</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（一）合规性原则。公司投资者关系管理应当在依法履行信息披露义务的基础上开展，符合法律、法规、规章及规范性文件、行业规范和自律规则、公司内部规章制度，以及行业普遍遵守的道德规范和行为准则。</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（二）平等性原则。公司开展投资者关系管理活动，应当平等对待所有投资者，尤其为中小投资者参与活动创造机会、提供便利。</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（三）主动性原则。公司应当主动开展投资者关系管理活动，听取投资者意见建议，及时回应投资者诉求。</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（四）诚实守信原则。公司在投资者关系管理活动中应当注重诚信、坚守底线、规范运作、担当责任，营造健康良好的市场生态。</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第四条</w:t>
      </w:r>
      <w:r>
        <w:rPr>
          <w:rFonts w:ascii="宋体" w:hAnsi="宋体" w:cs="宋体,Bold"/>
          <w:b/>
          <w:bCs/>
          <w:kern w:val="0"/>
          <w:sz w:val="24"/>
        </w:rPr>
        <w:t xml:space="preserve"> </w:t>
      </w:r>
      <w:r>
        <w:rPr>
          <w:rFonts w:hint="eastAsia" w:ascii="宋体" w:hAnsi="宋体" w:cs="宋体"/>
          <w:kern w:val="0"/>
          <w:sz w:val="24"/>
        </w:rPr>
        <w:t>投资者关系管理的目的：</w:t>
      </w:r>
    </w:p>
    <w:p>
      <w:pPr>
        <w:autoSpaceDE w:val="0"/>
        <w:autoSpaceDN w:val="0"/>
        <w:adjustRightIn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eastAsia="zh-CN"/>
        </w:rPr>
        <w:t>（一）</w:t>
      </w:r>
      <w:r>
        <w:rPr>
          <w:rFonts w:hint="eastAsia" w:ascii="宋体" w:hAnsi="宋体" w:cs="宋体"/>
          <w:kern w:val="0"/>
          <w:sz w:val="24"/>
        </w:rPr>
        <w:t>通过充分的信息披露加强与投资者的沟通，促进投资者了解、认同、接受和支持公司的发展战略和经营理念，以实现公司价值最大化和股东利益最大化</w:t>
      </w:r>
      <w:r>
        <w:rPr>
          <w:rFonts w:hint="eastAsia" w:ascii="宋体" w:hAnsi="宋体" w:cs="宋体"/>
          <w:kern w:val="0"/>
          <w:sz w:val="24"/>
          <w:lang w:eastAsia="zh-CN"/>
        </w:rPr>
        <w:t>。</w:t>
      </w:r>
    </w:p>
    <w:p>
      <w:pPr>
        <w:autoSpaceDE w:val="0"/>
        <w:autoSpaceDN w:val="0"/>
        <w:adjustRightIn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eastAsia="zh-CN"/>
        </w:rPr>
        <w:t>（二）</w:t>
      </w:r>
      <w:r>
        <w:rPr>
          <w:rFonts w:hint="eastAsia" w:ascii="宋体" w:hAnsi="宋体" w:cs="宋体"/>
          <w:kern w:val="0"/>
          <w:sz w:val="24"/>
        </w:rPr>
        <w:t>建立一个稳定和优质的投资者关系管理平台，树立良好的市场形象，为公司创造良好的资本市场融资环境，获得长期的市场支持</w:t>
      </w:r>
      <w:r>
        <w:rPr>
          <w:rFonts w:hint="eastAsia" w:ascii="宋体" w:hAnsi="宋体" w:cs="宋体"/>
          <w:kern w:val="0"/>
          <w:sz w:val="24"/>
          <w:lang w:eastAsia="zh-CN"/>
        </w:rPr>
        <w:t>。</w:t>
      </w:r>
    </w:p>
    <w:p>
      <w:pPr>
        <w:autoSpaceDE w:val="0"/>
        <w:autoSpaceDN w:val="0"/>
        <w:adjustRightInd w:val="0"/>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（三）</w:t>
      </w:r>
      <w:r>
        <w:rPr>
          <w:rFonts w:hint="eastAsia" w:ascii="宋体" w:hAnsi="宋体" w:cs="宋体"/>
          <w:kern w:val="0"/>
          <w:sz w:val="24"/>
        </w:rPr>
        <w:t>促进公司诚信自律、规范运作，提高公司管理透明度，改善公司治理结构</w:t>
      </w:r>
      <w:r>
        <w:rPr>
          <w:rFonts w:hint="eastAsia" w:ascii="宋体" w:hAnsi="宋体" w:cs="宋体"/>
          <w:kern w:val="0"/>
          <w:sz w:val="24"/>
          <w:lang w:eastAsia="zh-CN"/>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形成尊重投资者的企业文化和公司价值观。</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ind w:left="0" w:leftChars="0" w:firstLine="0" w:firstLineChars="0"/>
        <w:jc w:val="center"/>
        <w:textAlignment w:val="auto"/>
        <w:rPr>
          <w:rFonts w:ascii="宋体" w:hAnsi="宋体" w:cs="宋体,Bold"/>
          <w:b/>
          <w:bCs/>
          <w:kern w:val="0"/>
          <w:sz w:val="24"/>
        </w:rPr>
      </w:pPr>
      <w:r>
        <w:rPr>
          <w:rFonts w:hint="eastAsia" w:ascii="宋体" w:hAnsi="宋体" w:cs="宋体,Bold"/>
          <w:b/>
          <w:bCs/>
          <w:kern w:val="0"/>
          <w:sz w:val="24"/>
        </w:rPr>
        <w:t>第三章</w:t>
      </w:r>
      <w:r>
        <w:rPr>
          <w:rFonts w:ascii="宋体" w:hAnsi="宋体" w:cs="宋体,Bold"/>
          <w:b/>
          <w:bCs/>
          <w:kern w:val="0"/>
          <w:sz w:val="24"/>
        </w:rPr>
        <w:t xml:space="preserve"> </w:t>
      </w:r>
      <w:r>
        <w:rPr>
          <w:rFonts w:hint="eastAsia" w:ascii="宋体" w:hAnsi="宋体" w:cs="宋体,Bold"/>
          <w:b/>
          <w:bCs/>
          <w:kern w:val="0"/>
          <w:sz w:val="24"/>
        </w:rPr>
        <w:t>投资者关系管理的工作对象和工作内容</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第五条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投资者关系管理的工作对象</w:t>
      </w:r>
      <w:r>
        <w:rPr>
          <w:rFonts w:hint="eastAsia" w:ascii="宋体" w:hAnsi="宋体" w:cs="宋体"/>
          <w:kern w:val="0"/>
          <w:sz w:val="24"/>
          <w:lang w:eastAsia="zh-CN"/>
        </w:rPr>
        <w:t>为</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投资者（包括在册投资者和潜在投资者）；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（二）</w:t>
      </w:r>
      <w:r>
        <w:rPr>
          <w:rFonts w:hint="eastAsia" w:ascii="宋体" w:hAnsi="宋体" w:cs="宋体"/>
          <w:kern w:val="0"/>
          <w:sz w:val="24"/>
        </w:rPr>
        <w:t>证券分析师、行业分析师、研究员及基金经理及其所在机构等；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财经媒体及行业媒体等传播媒介；</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其他相关个人和机构。</w:t>
      </w:r>
    </w:p>
    <w:p>
      <w:pPr>
        <w:autoSpaceDE w:val="0"/>
        <w:autoSpaceDN w:val="0"/>
        <w:adjustRightInd w:val="0"/>
        <w:spacing w:line="360" w:lineRule="auto"/>
        <w:ind w:firstLine="482" w:firstLineChars="200"/>
        <w:jc w:val="left"/>
        <w:rPr>
          <w:rFonts w:hint="eastAsia" w:ascii="宋体" w:hAnsi="宋体" w:cs="宋体"/>
          <w:kern w:val="0"/>
          <w:sz w:val="24"/>
          <w:lang w:eastAsia="zh-CN"/>
        </w:rPr>
      </w:pPr>
      <w:r>
        <w:rPr>
          <w:rFonts w:hint="eastAsia" w:ascii="宋体" w:hAnsi="宋体" w:cs="宋体,Bold"/>
          <w:b/>
          <w:bCs/>
          <w:kern w:val="0"/>
          <w:sz w:val="24"/>
        </w:rPr>
        <w:t>第六条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投资者关系管理</w:t>
      </w:r>
      <w:r>
        <w:rPr>
          <w:rFonts w:hint="eastAsia" w:ascii="宋体" w:hAnsi="宋体" w:cs="宋体"/>
          <w:kern w:val="0"/>
          <w:sz w:val="24"/>
          <w:lang w:eastAsia="zh-CN"/>
        </w:rPr>
        <w:t>中公司与投资者沟通的内容主要包括：</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（一）公司的发展战略；</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（二）法定信息披露内容；</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（三）公司的经营管理信息；</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（四）公司的环境、社会和治理信息；</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（五）公司的文化建设；</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（六）股东权利行使的方式、途径和程序等；</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（七）投资者诉求处理信息；</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（八）公司正在或者可能面临的风险和挑战；</w:t>
      </w:r>
    </w:p>
    <w:p>
      <w:pPr>
        <w:autoSpaceDE w:val="0"/>
        <w:autoSpaceDN w:val="0"/>
        <w:adjustRightInd w:val="0"/>
        <w:spacing w:line="360" w:lineRule="auto"/>
        <w:ind w:firstLine="480" w:firstLineChars="200"/>
        <w:jc w:val="left"/>
        <w:rPr>
          <w:rFonts w:hint="eastAsia" w:ascii="宋体" w:hAnsi="宋体" w:cs="宋体,Bold"/>
          <w:b w:val="0"/>
          <w:bCs w:val="0"/>
          <w:kern w:val="0"/>
          <w:sz w:val="24"/>
        </w:rPr>
      </w:pPr>
      <w:r>
        <w:rPr>
          <w:rFonts w:hint="eastAsia" w:ascii="宋体" w:hAnsi="宋体" w:cs="宋体,Bold"/>
          <w:b w:val="0"/>
          <w:bCs w:val="0"/>
          <w:kern w:val="0"/>
          <w:sz w:val="24"/>
        </w:rPr>
        <w:t>（九）公司的其他相关信息。</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第七条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投资者关系管理工作职责：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分析研究：对监管部门的政策、法规进行分析研究；学习、研究公司发展战略；密切跟踪行业最新发展情况、股价行情和资本市场动态，收集与本行业相关的信息，为公司</w:t>
      </w:r>
      <w:r>
        <w:rPr>
          <w:rFonts w:hint="eastAsia" w:ascii="宋体" w:hAnsi="宋体" w:cs="宋体"/>
          <w:kern w:val="0"/>
          <w:sz w:val="24"/>
          <w:lang w:eastAsia="zh-CN"/>
        </w:rPr>
        <w:t>管理</w:t>
      </w:r>
      <w:r>
        <w:rPr>
          <w:rFonts w:hint="eastAsia" w:ascii="宋体" w:hAnsi="宋体" w:cs="宋体"/>
          <w:kern w:val="0"/>
          <w:sz w:val="24"/>
        </w:rPr>
        <w:t>层决策提供参考；</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（二）</w:t>
      </w:r>
      <w:r>
        <w:rPr>
          <w:rFonts w:hint="eastAsia" w:ascii="宋体" w:hAnsi="宋体" w:cs="宋体"/>
          <w:kern w:val="0"/>
          <w:sz w:val="24"/>
        </w:rPr>
        <w:t>信息沟通：建立和完善公司内部信息沟通制度，汇集整合公司生产、经营、财务等相关的信息，根据法律、法规、上市规则的要求和公司的相关规定进行信息披露；回答投资者、分析师和媒体的咨询；广泛收集公司投资者的相关信息，将投资者对公司的评价和期望及时传递到公司决策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危机处理：在公司面临重大诉讼、发生大额的经营亏损、盈利大幅度波动、股票交易异动、由于自然灾害等不可抗力给公司经营造成重大损失等危机发生后迅速提出有效的处理方案并积极组织实施；</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公共关系：建立和维护与证券监管部门、证券交易所、行业协会等相关部门良好的公共关系；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（五）</w:t>
      </w:r>
      <w:r>
        <w:rPr>
          <w:rFonts w:hint="eastAsia" w:ascii="宋体" w:hAnsi="宋体" w:cs="宋体"/>
          <w:kern w:val="0"/>
          <w:sz w:val="24"/>
        </w:rPr>
        <w:t>来访接待：与中小投资者、机构投资者、证券分析师及新闻媒体保持经常联络，提高投资者对公司的关注度，并</w:t>
      </w:r>
      <w:r>
        <w:rPr>
          <w:rFonts w:hint="eastAsia" w:ascii="宋体" w:hAnsi="宋体" w:cs="宋体"/>
          <w:kern w:val="0"/>
          <w:sz w:val="24"/>
          <w:lang w:eastAsia="zh-CN"/>
        </w:rPr>
        <w:t>做</w:t>
      </w:r>
      <w:r>
        <w:rPr>
          <w:rFonts w:hint="eastAsia" w:ascii="宋体" w:hAnsi="宋体" w:cs="宋体"/>
          <w:kern w:val="0"/>
          <w:sz w:val="24"/>
        </w:rPr>
        <w:t>好接待工作。根据公司情况可定期或不定期举行分析师说明会、网络会议及网上路演。</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（六）</w:t>
      </w:r>
      <w:r>
        <w:rPr>
          <w:rFonts w:hint="eastAsia" w:ascii="宋体" w:hAnsi="宋体" w:cs="宋体"/>
          <w:kern w:val="0"/>
          <w:sz w:val="24"/>
        </w:rPr>
        <w:t>定期报告：办理公司年报、中报、季报的编制、设计、印刷、寄送工作。定期报告中按照有关规定披露公司开展投资者关系管理的具体情况；</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（七）</w:t>
      </w:r>
      <w:r>
        <w:rPr>
          <w:rFonts w:hint="eastAsia" w:ascii="宋体" w:hAnsi="宋体" w:cs="宋体"/>
          <w:kern w:val="0"/>
          <w:sz w:val="24"/>
        </w:rPr>
        <w:t>媒体合作：维护和加强与财经媒体的合作关系，做好媒体采访及报道工作；</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（八）</w:t>
      </w:r>
      <w:r>
        <w:rPr>
          <w:rFonts w:hint="eastAsia" w:ascii="宋体" w:hAnsi="宋体" w:cs="宋体"/>
          <w:kern w:val="0"/>
          <w:sz w:val="24"/>
        </w:rPr>
        <w:t>有利于改善投资者关系管理的其他工作。</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第八条</w:t>
      </w:r>
      <w:r>
        <w:rPr>
          <w:rFonts w:ascii="宋体" w:hAnsi="宋体" w:cs="宋体,Bold"/>
          <w:b/>
          <w:bCs/>
          <w:kern w:val="0"/>
          <w:sz w:val="24"/>
        </w:rPr>
        <w:t xml:space="preserve"> </w:t>
      </w:r>
      <w:r>
        <w:rPr>
          <w:rFonts w:hint="eastAsia" w:ascii="宋体" w:hAnsi="宋体" w:cs="宋体"/>
          <w:kern w:val="0"/>
          <w:sz w:val="24"/>
        </w:rPr>
        <w:t>公司与投资者沟通的方式包括但不限于：</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公告，包括定期报告和临时报告；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（二）</w:t>
      </w:r>
      <w:r>
        <w:rPr>
          <w:rFonts w:hint="eastAsia" w:ascii="宋体" w:hAnsi="宋体" w:cs="宋体"/>
          <w:kern w:val="0"/>
          <w:sz w:val="24"/>
        </w:rPr>
        <w:t>股东大会；</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公司网站；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分析师会议和说明会；</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（五）</w:t>
      </w:r>
      <w:r>
        <w:rPr>
          <w:rFonts w:hint="eastAsia" w:ascii="宋体" w:hAnsi="宋体" w:cs="宋体"/>
          <w:kern w:val="0"/>
          <w:sz w:val="24"/>
        </w:rPr>
        <w:t>一对一沟通；</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（六）</w:t>
      </w:r>
      <w:r>
        <w:rPr>
          <w:rFonts w:hint="eastAsia" w:ascii="宋体" w:hAnsi="宋体" w:cs="宋体"/>
          <w:kern w:val="0"/>
          <w:sz w:val="24"/>
        </w:rPr>
        <w:t>邮寄资料；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（七）</w:t>
      </w:r>
      <w:r>
        <w:rPr>
          <w:rFonts w:hint="eastAsia" w:ascii="宋体" w:hAnsi="宋体" w:cs="宋体"/>
          <w:kern w:val="0"/>
          <w:sz w:val="24"/>
        </w:rPr>
        <w:t>电话咨询；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（八）</w:t>
      </w:r>
      <w:r>
        <w:rPr>
          <w:rFonts w:hint="eastAsia" w:ascii="宋体" w:hAnsi="宋体" w:cs="宋体"/>
          <w:kern w:val="0"/>
          <w:sz w:val="24"/>
        </w:rPr>
        <w:t>广告、宣传单和其它宣传资料；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（九）</w:t>
      </w:r>
      <w:r>
        <w:rPr>
          <w:rFonts w:hint="eastAsia" w:ascii="宋体" w:hAnsi="宋体" w:cs="宋体"/>
          <w:kern w:val="0"/>
          <w:sz w:val="24"/>
        </w:rPr>
        <w:t>媒体采访和报道；</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（十）</w:t>
      </w:r>
      <w:r>
        <w:rPr>
          <w:rFonts w:hint="eastAsia" w:ascii="宋体" w:hAnsi="宋体" w:cs="宋体"/>
          <w:kern w:val="0"/>
          <w:sz w:val="24"/>
        </w:rPr>
        <w:t>现场参观；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（十一）</w:t>
      </w:r>
      <w:r>
        <w:rPr>
          <w:rFonts w:hint="eastAsia" w:ascii="宋体" w:hAnsi="宋体" w:cs="宋体"/>
          <w:kern w:val="0"/>
          <w:sz w:val="24"/>
        </w:rPr>
        <w:t>路演及其它。</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w:t>
      </w:r>
      <w:r>
        <w:rPr>
          <w:rFonts w:hint="eastAsia" w:ascii="宋体" w:hAnsi="宋体" w:cs="宋体,Bold"/>
          <w:b/>
          <w:bCs/>
          <w:kern w:val="0"/>
          <w:sz w:val="24"/>
          <w:lang w:eastAsia="zh-CN"/>
        </w:rPr>
        <w:t>九</w:t>
      </w:r>
      <w:r>
        <w:rPr>
          <w:rFonts w:hint="eastAsia" w:ascii="宋体" w:hAnsi="宋体" w:cs="宋体,Bold"/>
          <w:b/>
          <w:bCs/>
          <w:kern w:val="0"/>
          <w:sz w:val="24"/>
        </w:rPr>
        <w:t>条</w:t>
      </w:r>
      <w:r>
        <w:rPr>
          <w:rFonts w:hint="eastAsia" w:ascii="宋体" w:hAnsi="宋体" w:cs="宋体,Bold"/>
          <w:b/>
          <w:bCs/>
          <w:kern w:val="0"/>
          <w:sz w:val="24"/>
          <w:lang w:val="en-US" w:eastAsia="zh-CN"/>
        </w:rPr>
        <w:t xml:space="preserve">  </w:t>
      </w:r>
      <w:r>
        <w:rPr>
          <w:rFonts w:hint="eastAsia" w:ascii="宋体" w:hAnsi="宋体" w:cs="宋体"/>
          <w:kern w:val="0"/>
          <w:sz w:val="24"/>
        </w:rPr>
        <w:t>法律、法规和证券交易所规定进行披露的信息，必须第一时间在公司信息披露指定报纸和指定网站公布。</w:t>
      </w:r>
    </w:p>
    <w:p>
      <w:pPr>
        <w:autoSpaceDE w:val="0"/>
        <w:autoSpaceDN w:val="0"/>
        <w:adjustRightInd w:val="0"/>
        <w:spacing w:line="360" w:lineRule="auto"/>
        <w:ind w:firstLine="482" w:firstLineChars="200"/>
        <w:jc w:val="left"/>
        <w:rPr>
          <w:rFonts w:ascii="宋体" w:hAnsi="宋体" w:cs="宋体"/>
          <w:b w:val="0"/>
          <w:bCs w:val="0"/>
          <w:kern w:val="0"/>
          <w:sz w:val="24"/>
        </w:rPr>
      </w:pPr>
      <w:r>
        <w:rPr>
          <w:rFonts w:hint="eastAsia" w:ascii="宋体" w:hAnsi="宋体" w:cs="宋体,Bold"/>
          <w:b/>
          <w:bCs/>
          <w:kern w:val="0"/>
          <w:sz w:val="24"/>
        </w:rPr>
        <w:t>第</w:t>
      </w:r>
      <w:r>
        <w:rPr>
          <w:rFonts w:hint="eastAsia" w:ascii="宋体" w:hAnsi="宋体" w:cs="宋体,Bold"/>
          <w:b/>
          <w:bCs/>
          <w:kern w:val="0"/>
          <w:sz w:val="24"/>
          <w:lang w:eastAsia="zh-CN"/>
        </w:rPr>
        <w:t>十</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Bold"/>
          <w:b w:val="0"/>
          <w:bCs w:val="0"/>
          <w:kern w:val="0"/>
          <w:sz w:val="24"/>
          <w:lang w:val="en-US" w:eastAsia="zh-CN"/>
        </w:rPr>
        <w:t>公司应当多渠道、多平台、多方式开展投资者关系管理工作。通过公司官网、新媒体平台、电话、传真、电子邮箱、投资者教育基地等渠道，利用中国投资者网和证券交易所、证券登记结算机构等的网络基础设施平台，采取股东会、投资者说明会、路演、分析师会议、接待来访、座谈交流等方式，与投资者进行沟通交流。</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一</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公司积极创造条件，培养投资者关系管理工作的专门人才，通过培训等方式，加深相关人员特别是董事、高级管理人员、部门负责人、公司控股子公司负责人对投资者关系管理工作的了解和重视程度，熟悉证券市场及公司实际情况，提高上市公司信息披露和规范化运作水平。</w:t>
      </w:r>
    </w:p>
    <w:p>
      <w:pPr>
        <w:autoSpaceDE w:val="0"/>
        <w:autoSpaceDN w:val="0"/>
        <w:adjustRightInd w:val="0"/>
        <w:spacing w:line="360" w:lineRule="auto"/>
        <w:ind w:firstLine="482" w:firstLineChars="200"/>
        <w:jc w:val="left"/>
        <w:rPr>
          <w:rFonts w:hint="eastAsia"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二</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公司开展投资者关系活动，做好尚未公布信息及内部信息的保密工作，避免和防止由此引发泄密及导致相关的内幕交易。</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jc w:val="center"/>
        <w:textAlignment w:val="auto"/>
        <w:rPr>
          <w:rFonts w:ascii="宋体" w:hAnsi="宋体" w:cs="宋体,Bold"/>
          <w:b/>
          <w:bCs/>
          <w:kern w:val="0"/>
          <w:sz w:val="24"/>
        </w:rPr>
      </w:pPr>
      <w:r>
        <w:rPr>
          <w:rFonts w:hint="eastAsia" w:ascii="宋体" w:hAnsi="宋体" w:cs="宋体,Bold"/>
          <w:b/>
          <w:bCs/>
          <w:kern w:val="0"/>
          <w:sz w:val="24"/>
        </w:rPr>
        <w:t>第四章</w:t>
      </w:r>
      <w:r>
        <w:rPr>
          <w:rFonts w:ascii="宋体" w:hAnsi="宋体" w:cs="宋体,Bold"/>
          <w:b/>
          <w:bCs/>
          <w:kern w:val="0"/>
          <w:sz w:val="24"/>
        </w:rPr>
        <w:t xml:space="preserve"> </w:t>
      </w:r>
      <w:r>
        <w:rPr>
          <w:rFonts w:hint="eastAsia" w:ascii="宋体" w:hAnsi="宋体" w:cs="宋体,Bold"/>
          <w:b/>
          <w:bCs/>
          <w:kern w:val="0"/>
          <w:sz w:val="24"/>
        </w:rPr>
        <w:t>投资者关系管理部门的设置和人员配置</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三</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投资者关系管理事务的第一责任人为公司董事长，董事会秘书为投资者关系管理事务的主管负责人。董事会秘书全面负责公司投资者关系管理事务的组织、协调工作。</w:t>
      </w:r>
      <w:r>
        <w:rPr>
          <w:rFonts w:hint="eastAsia" w:ascii="宋体" w:hAnsi="宋体" w:cs="宋体"/>
          <w:kern w:val="0"/>
          <w:sz w:val="24"/>
          <w:lang w:eastAsia="zh-CN"/>
        </w:rPr>
        <w:t>证券事务部</w:t>
      </w:r>
      <w:r>
        <w:rPr>
          <w:rFonts w:hint="eastAsia" w:ascii="宋体" w:hAnsi="宋体" w:cs="宋体"/>
          <w:kern w:val="0"/>
          <w:sz w:val="24"/>
        </w:rPr>
        <w:t>为投资者关系管理部门，负责公司投资者关系管理日常事务。</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四</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投资者关系管理部门是公司面对投资者的窗口，从事投资者关系管理的员工必须具备以下素质和技能：</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忠诚于公司，并具有良好的品行，诚信自律；</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（二）</w:t>
      </w:r>
      <w:r>
        <w:rPr>
          <w:rFonts w:hint="eastAsia" w:ascii="宋体" w:hAnsi="宋体" w:cs="宋体"/>
          <w:kern w:val="0"/>
          <w:sz w:val="24"/>
        </w:rPr>
        <w:t>熟悉公司运营、财务、产品等状况，对公司有较全面的了解；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具有良好的知识结构，熟悉证券、法律、财务及相关法律、法规；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熟悉证券市场，了解各种金融产品和证券市场的运作机制；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（五）</w:t>
      </w:r>
      <w:r>
        <w:rPr>
          <w:rFonts w:hint="eastAsia" w:ascii="宋体" w:hAnsi="宋体" w:cs="宋体"/>
          <w:kern w:val="0"/>
          <w:sz w:val="24"/>
        </w:rPr>
        <w:t>具有良好的沟通技巧，有较强的协调能力和应变能力；</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（六）</w:t>
      </w:r>
      <w:r>
        <w:rPr>
          <w:rFonts w:hint="eastAsia" w:ascii="宋体" w:hAnsi="宋体" w:cs="宋体"/>
          <w:kern w:val="0"/>
          <w:sz w:val="24"/>
        </w:rPr>
        <w:t>有较为严谨的逻辑思维能力和较高的文字修养，能够比较规范地撰写各种信息披露稿件。</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五</w:t>
      </w:r>
      <w:r>
        <w:rPr>
          <w:rFonts w:hint="eastAsia" w:ascii="宋体" w:hAnsi="宋体" w:cs="宋体,Bold"/>
          <w:b/>
          <w:bCs/>
          <w:kern w:val="0"/>
          <w:sz w:val="24"/>
        </w:rPr>
        <w:t>条</w:t>
      </w:r>
      <w:r>
        <w:rPr>
          <w:rFonts w:hint="eastAsia" w:ascii="宋体" w:hAnsi="宋体" w:cs="宋体,Bold"/>
          <w:b/>
          <w:bCs/>
          <w:kern w:val="0"/>
          <w:sz w:val="24"/>
          <w:lang w:val="en-US" w:eastAsia="zh-CN"/>
        </w:rPr>
        <w:t xml:space="preserve"> </w:t>
      </w:r>
      <w:r>
        <w:rPr>
          <w:rFonts w:ascii="宋体" w:hAnsi="宋体" w:cs="宋体,Bold"/>
          <w:b/>
          <w:bCs/>
          <w:kern w:val="0"/>
          <w:sz w:val="24"/>
        </w:rPr>
        <w:t xml:space="preserve"> </w:t>
      </w:r>
      <w:r>
        <w:rPr>
          <w:rFonts w:hint="eastAsia" w:ascii="宋体" w:hAnsi="宋体" w:cs="宋体"/>
          <w:kern w:val="0"/>
          <w:sz w:val="24"/>
        </w:rPr>
        <w:t>在不影响生产经营和泄漏商业机密的前提下，公司其它职能部门及公司全体员工有义务协助投资者关系管理部门实施投资者关系管理工作。</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六</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公司可采取多种方式加强对投资者关系工作人员进行相关知识的培训，以提高其工作效率和服务水平。</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七</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公司所属各部门内部信息反馈责任人必须在第一时间报告规定披露事项，以便公司投资者关系管理负责人及时全面掌握公司动态。</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八</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除非得到明确授权并经过培训，公司董事、高级管理人员以及其他相关人员应避免在投资者关系活动中代表公司发言。</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jc w:val="center"/>
        <w:textAlignment w:val="auto"/>
        <w:rPr>
          <w:rFonts w:ascii="宋体" w:hAnsi="宋体" w:cs="宋体,Bold"/>
          <w:b/>
          <w:bCs/>
          <w:kern w:val="0"/>
          <w:sz w:val="24"/>
        </w:rPr>
      </w:pPr>
      <w:r>
        <w:rPr>
          <w:rFonts w:hint="eastAsia" w:ascii="宋体" w:hAnsi="宋体" w:cs="宋体,Bold"/>
          <w:b/>
          <w:bCs/>
          <w:kern w:val="0"/>
          <w:sz w:val="24"/>
        </w:rPr>
        <w:t>第五章</w:t>
      </w:r>
      <w:r>
        <w:rPr>
          <w:rFonts w:ascii="宋体" w:hAnsi="宋体" w:cs="宋体,Bold"/>
          <w:b/>
          <w:bCs/>
          <w:kern w:val="0"/>
          <w:sz w:val="24"/>
        </w:rPr>
        <w:t xml:space="preserve"> </w:t>
      </w:r>
      <w:r>
        <w:rPr>
          <w:rFonts w:hint="eastAsia" w:ascii="宋体" w:hAnsi="宋体" w:cs="宋体,Bold"/>
          <w:b/>
          <w:bCs/>
          <w:kern w:val="0"/>
          <w:sz w:val="24"/>
        </w:rPr>
        <w:t>附则</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第十</w:t>
      </w:r>
      <w:r>
        <w:rPr>
          <w:rFonts w:hint="eastAsia" w:ascii="宋体" w:hAnsi="宋体" w:cs="宋体,Bold"/>
          <w:b/>
          <w:bCs/>
          <w:kern w:val="0"/>
          <w:sz w:val="24"/>
          <w:lang w:eastAsia="zh-CN"/>
        </w:rPr>
        <w:t>八</w:t>
      </w:r>
      <w:r>
        <w:rPr>
          <w:rFonts w:hint="eastAsia" w:ascii="宋体" w:hAnsi="宋体" w:cs="宋体,Bold"/>
          <w:b/>
          <w:bCs/>
          <w:kern w:val="0"/>
          <w:sz w:val="24"/>
        </w:rPr>
        <w:t>条</w:t>
      </w:r>
      <w:r>
        <w:rPr>
          <w:rFonts w:ascii="宋体" w:hAnsi="宋体" w:cs="宋体,Bold"/>
          <w:b/>
          <w:bCs/>
          <w:kern w:val="0"/>
          <w:sz w:val="24"/>
        </w:rPr>
        <w:t xml:space="preserve"> </w:t>
      </w:r>
      <w:r>
        <w:rPr>
          <w:rFonts w:hint="eastAsia" w:ascii="宋体" w:hAnsi="宋体" w:cs="宋体,Bold"/>
          <w:b/>
          <w:bCs/>
          <w:kern w:val="0"/>
          <w:sz w:val="24"/>
          <w:lang w:val="en-US" w:eastAsia="zh-CN"/>
        </w:rPr>
        <w:t xml:space="preserve"> </w:t>
      </w:r>
      <w:r>
        <w:rPr>
          <w:rFonts w:hint="eastAsia" w:ascii="宋体" w:hAnsi="宋体" w:cs="宋体"/>
          <w:kern w:val="0"/>
          <w:sz w:val="24"/>
        </w:rPr>
        <w:t>本制度自公司</w:t>
      </w:r>
      <w:r>
        <w:rPr>
          <w:rFonts w:hint="eastAsia" w:ascii="宋体" w:hAnsi="宋体" w:cs="宋体"/>
          <w:kern w:val="0"/>
          <w:sz w:val="24"/>
          <w:lang w:eastAsia="zh-CN"/>
        </w:rPr>
        <w:t>董事会</w:t>
      </w:r>
      <w:r>
        <w:rPr>
          <w:rFonts w:hint="eastAsia" w:ascii="宋体" w:hAnsi="宋体" w:cs="宋体"/>
          <w:kern w:val="0"/>
          <w:sz w:val="24"/>
        </w:rPr>
        <w:t>审议通过之日起实施</w:t>
      </w:r>
      <w:r>
        <w:rPr>
          <w:rFonts w:hint="eastAsia" w:ascii="宋体" w:hAnsi="宋体" w:cs="宋体"/>
          <w:kern w:val="0"/>
          <w:sz w:val="24"/>
          <w:lang w:eastAsia="zh-CN"/>
        </w:rPr>
        <w:t>，</w:t>
      </w:r>
      <w:r>
        <w:rPr>
          <w:rFonts w:hint="eastAsia"/>
          <w:color w:val="000000"/>
          <w:sz w:val="24"/>
        </w:rPr>
        <w:t>原《湖南博云新材料股份有限公司投资者关系管理制度》同时失效。</w:t>
      </w:r>
      <w:r>
        <w:rPr>
          <w:color w:val="000000"/>
          <w:sz w:val="24"/>
        </w:rPr>
        <w:t>　</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w:t>
      </w:r>
      <w:r>
        <w:rPr>
          <w:rFonts w:hint="eastAsia" w:ascii="宋体" w:hAnsi="宋体" w:cs="宋体,Bold"/>
          <w:b/>
          <w:bCs/>
          <w:kern w:val="0"/>
          <w:sz w:val="24"/>
          <w:lang w:eastAsia="zh-CN"/>
        </w:rPr>
        <w:t>十九</w:t>
      </w:r>
      <w:r>
        <w:rPr>
          <w:rFonts w:hint="eastAsia" w:ascii="宋体" w:hAnsi="宋体" w:cs="宋体,Bold"/>
          <w:b/>
          <w:bCs/>
          <w:kern w:val="0"/>
          <w:sz w:val="24"/>
        </w:rPr>
        <w:t>条</w:t>
      </w:r>
      <w:r>
        <w:rPr>
          <w:rFonts w:hint="eastAsia" w:ascii="宋体" w:hAnsi="宋体" w:cs="宋体,Bold"/>
          <w:b/>
          <w:bCs/>
          <w:kern w:val="0"/>
          <w:sz w:val="24"/>
          <w:lang w:val="en-US" w:eastAsia="zh-CN"/>
        </w:rPr>
        <w:t xml:space="preserve"> </w:t>
      </w:r>
      <w:r>
        <w:rPr>
          <w:rFonts w:ascii="宋体" w:hAnsi="宋体" w:cs="宋体,Bold"/>
          <w:b/>
          <w:bCs/>
          <w:kern w:val="0"/>
          <w:sz w:val="24"/>
        </w:rPr>
        <w:t xml:space="preserve"> </w:t>
      </w:r>
      <w:r>
        <w:rPr>
          <w:rFonts w:hint="eastAsia" w:ascii="宋体" w:hAnsi="宋体" w:cs="宋体"/>
          <w:kern w:val="0"/>
          <w:sz w:val="24"/>
        </w:rPr>
        <w:t>本制度未尽事宜，按国家有关法律、法规和《公司章程》的规定执行；本制度如与国家日后颁布的法律、法规或经合法程序修改后的《公司章程》相抵触时，按国家有关法律、法规和《公司章程》的规定执行，并及时修订。</w:t>
      </w:r>
    </w:p>
    <w:p>
      <w:pPr>
        <w:autoSpaceDE w:val="0"/>
        <w:autoSpaceDN w:val="0"/>
        <w:adjustRightInd w:val="0"/>
        <w:spacing w:line="360" w:lineRule="auto"/>
        <w:ind w:firstLine="482" w:firstLineChars="200"/>
        <w:jc w:val="left"/>
        <w:rPr>
          <w:rFonts w:ascii="宋体" w:hAnsi="宋体" w:cs="宋体"/>
          <w:kern w:val="0"/>
          <w:sz w:val="24"/>
        </w:rPr>
      </w:pPr>
      <w:r>
        <w:rPr>
          <w:rFonts w:hint="eastAsia" w:ascii="宋体" w:hAnsi="宋体" w:cs="宋体,Bold"/>
          <w:b/>
          <w:bCs/>
          <w:kern w:val="0"/>
          <w:sz w:val="24"/>
        </w:rPr>
        <w:t>第二十条</w:t>
      </w:r>
      <w:r>
        <w:rPr>
          <w:rFonts w:hint="eastAsia" w:ascii="宋体" w:hAnsi="宋体" w:cs="宋体,Bold"/>
          <w:b/>
          <w:bCs/>
          <w:kern w:val="0"/>
          <w:sz w:val="24"/>
          <w:lang w:val="en-US" w:eastAsia="zh-CN"/>
        </w:rPr>
        <w:t xml:space="preserve"> </w:t>
      </w:r>
      <w:r>
        <w:rPr>
          <w:rFonts w:ascii="宋体" w:hAnsi="宋体" w:cs="宋体,Bold"/>
          <w:b/>
          <w:bCs/>
          <w:kern w:val="0"/>
          <w:sz w:val="24"/>
        </w:rPr>
        <w:t xml:space="preserve"> </w:t>
      </w:r>
      <w:r>
        <w:rPr>
          <w:rFonts w:hint="eastAsia" w:ascii="宋体" w:hAnsi="宋体" w:cs="宋体"/>
          <w:kern w:val="0"/>
          <w:sz w:val="24"/>
        </w:rPr>
        <w:t>本制度由董事会负责解释。</w:t>
      </w:r>
    </w:p>
    <w:p>
      <w:pPr>
        <w:spacing w:line="360" w:lineRule="auto"/>
        <w:ind w:firstLine="480" w:firstLineChars="200"/>
        <w:jc w:val="left"/>
        <w:rPr>
          <w:rFonts w:ascii="宋体" w:hAnsi="宋体"/>
          <w:sz w:val="24"/>
        </w:rPr>
      </w:pPr>
    </w:p>
    <w:p>
      <w:pPr>
        <w:spacing w:line="360" w:lineRule="auto"/>
        <w:ind w:firstLine="420" w:firstLineChars="200"/>
        <w:jc w:val="center"/>
        <w:rPr>
          <w:rFonts w:hint="eastAsia"/>
        </w:rPr>
      </w:pPr>
    </w:p>
    <w:sectPr>
      <w:headerReference r:id="rId3" w:type="first"/>
      <w:footerReference r:id="rId6" w:type="first"/>
      <w:footerReference r:id="rId4" w:type="default"/>
      <w:footerReference r:id="rId5" w:type="even"/>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宋体,Bold">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5</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5</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e563529c-7da0-489b-a4e4-c4ed9301595c"/>
  </w:docVars>
  <w:rsids>
    <w:rsidRoot w:val="0086504A"/>
    <w:rsid w:val="001B0FAF"/>
    <w:rsid w:val="0025169C"/>
    <w:rsid w:val="00252F03"/>
    <w:rsid w:val="003C47C3"/>
    <w:rsid w:val="0044202C"/>
    <w:rsid w:val="0050118F"/>
    <w:rsid w:val="0058415C"/>
    <w:rsid w:val="00635B7F"/>
    <w:rsid w:val="00775DAB"/>
    <w:rsid w:val="007B0DC4"/>
    <w:rsid w:val="00834E68"/>
    <w:rsid w:val="00855D32"/>
    <w:rsid w:val="0086504A"/>
    <w:rsid w:val="008D1B21"/>
    <w:rsid w:val="008F3846"/>
    <w:rsid w:val="00921506"/>
    <w:rsid w:val="00932CA4"/>
    <w:rsid w:val="009E304A"/>
    <w:rsid w:val="00A71FA4"/>
    <w:rsid w:val="00AB66A7"/>
    <w:rsid w:val="00AC5396"/>
    <w:rsid w:val="00B76EC2"/>
    <w:rsid w:val="00BF7846"/>
    <w:rsid w:val="00C442B3"/>
    <w:rsid w:val="00C82BAF"/>
    <w:rsid w:val="00C930B5"/>
    <w:rsid w:val="00D80A08"/>
    <w:rsid w:val="00DA7459"/>
    <w:rsid w:val="00DB76C2"/>
    <w:rsid w:val="00DE6CB0"/>
    <w:rsid w:val="00E37C0E"/>
    <w:rsid w:val="00E6129B"/>
    <w:rsid w:val="00EA67A6"/>
    <w:rsid w:val="00EC1E65"/>
    <w:rsid w:val="00EC3817"/>
    <w:rsid w:val="00F45E54"/>
    <w:rsid w:val="00F50370"/>
    <w:rsid w:val="00F834E4"/>
    <w:rsid w:val="00F85FA8"/>
    <w:rsid w:val="01161381"/>
    <w:rsid w:val="023A2E4D"/>
    <w:rsid w:val="0D9E6FB6"/>
    <w:rsid w:val="0E9E654C"/>
    <w:rsid w:val="157776CE"/>
    <w:rsid w:val="1C400018"/>
    <w:rsid w:val="1E8E65A3"/>
    <w:rsid w:val="221D14D7"/>
    <w:rsid w:val="247876AF"/>
    <w:rsid w:val="26CE712B"/>
    <w:rsid w:val="28E146B7"/>
    <w:rsid w:val="38876F68"/>
    <w:rsid w:val="3B44078E"/>
    <w:rsid w:val="4B6F33D6"/>
    <w:rsid w:val="4CDA2830"/>
    <w:rsid w:val="4E5B6207"/>
    <w:rsid w:val="509900BC"/>
    <w:rsid w:val="51BB3490"/>
    <w:rsid w:val="52E2243E"/>
    <w:rsid w:val="587549BB"/>
    <w:rsid w:val="5BC14CBF"/>
    <w:rsid w:val="60786190"/>
    <w:rsid w:val="60C52C05"/>
    <w:rsid w:val="61760E0E"/>
    <w:rsid w:val="711A34A8"/>
    <w:rsid w:val="7755205B"/>
    <w:rsid w:val="7DBF0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center"/>
      <w:outlineLvl w:val="0"/>
    </w:pPr>
    <w:rPr>
      <w:rFonts w:ascii="宋体" w:hAnsi="宋体"/>
      <w:b/>
      <w:bCs/>
      <w:kern w:val="36"/>
      <w:sz w:val="24"/>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qFormat/>
    <w:uiPriority w:val="0"/>
    <w:pPr>
      <w:adjustRightInd w:val="0"/>
      <w:spacing w:line="360" w:lineRule="atLeast"/>
      <w:ind w:firstLine="600"/>
      <w:jc w:val="left"/>
      <w:textAlignment w:val="baseline"/>
    </w:pPr>
    <w:rPr>
      <w:i/>
      <w:kern w:val="0"/>
      <w:sz w:val="30"/>
      <w:szCs w:val="2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Plain Text"/>
    <w:basedOn w:val="1"/>
    <w:qFormat/>
    <w:uiPriority w:val="0"/>
    <w:pPr>
      <w:spacing w:line="460" w:lineRule="atLeast"/>
    </w:pPr>
    <w:rPr>
      <w:rFonts w:ascii="Courier New" w:hAnsi="Courier New"/>
      <w:szCs w:val="20"/>
    </w:rPr>
  </w:style>
  <w:style w:type="paragraph" w:styleId="11">
    <w:name w:val="toc 8"/>
    <w:basedOn w:val="1"/>
    <w:next w:val="1"/>
    <w:semiHidden/>
    <w:qFormat/>
    <w:uiPriority w:val="0"/>
    <w:pPr>
      <w:ind w:left="2940" w:leftChars="1400"/>
    </w:pPr>
  </w:style>
  <w:style w:type="paragraph" w:styleId="12">
    <w:name w:val="Body Text Indent 2"/>
    <w:basedOn w:val="1"/>
    <w:qFormat/>
    <w:uiPriority w:val="0"/>
    <w:pPr>
      <w:spacing w:line="520" w:lineRule="exact"/>
      <w:ind w:firstLine="480"/>
    </w:pPr>
    <w:rPr>
      <w:color w:val="FF0000"/>
      <w:sz w:val="24"/>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4"/>
    <w:basedOn w:val="1"/>
    <w:next w:val="1"/>
    <w:semiHidden/>
    <w:qFormat/>
    <w:uiPriority w:val="0"/>
    <w:pPr>
      <w:ind w:left="1260" w:leftChars="600"/>
    </w:pPr>
  </w:style>
  <w:style w:type="paragraph" w:styleId="18">
    <w:name w:val="toc 6"/>
    <w:basedOn w:val="1"/>
    <w:next w:val="1"/>
    <w:semiHidden/>
    <w:qFormat/>
    <w:uiPriority w:val="0"/>
    <w:pPr>
      <w:ind w:left="2100" w:leftChars="1000"/>
    </w:pPr>
  </w:style>
  <w:style w:type="paragraph" w:styleId="19">
    <w:name w:val="Body Text Indent 3"/>
    <w:basedOn w:val="1"/>
    <w:qFormat/>
    <w:uiPriority w:val="0"/>
    <w:pPr>
      <w:adjustRightInd w:val="0"/>
      <w:spacing w:line="360" w:lineRule="atLeast"/>
      <w:ind w:firstLine="600"/>
      <w:textAlignment w:val="baseline"/>
    </w:pPr>
    <w:rPr>
      <w:kern w:val="0"/>
      <w:sz w:val="30"/>
      <w:szCs w:val="20"/>
    </w:rPr>
  </w:style>
  <w:style w:type="paragraph" w:styleId="20">
    <w:name w:val="toc 2"/>
    <w:basedOn w:val="1"/>
    <w:next w:val="1"/>
    <w:semiHidden/>
    <w:qFormat/>
    <w:uiPriority w:val="0"/>
    <w:pPr>
      <w:ind w:left="420" w:leftChars="200"/>
    </w:pPr>
  </w:style>
  <w:style w:type="paragraph" w:styleId="21">
    <w:name w:val="toc 9"/>
    <w:basedOn w:val="1"/>
    <w:next w:val="1"/>
    <w:semiHidden/>
    <w:qFormat/>
    <w:uiPriority w:val="0"/>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character" w:styleId="25">
    <w:name w:val="page number"/>
    <w:basedOn w:val="24"/>
    <w:qFormat/>
    <w:uiPriority w:val="0"/>
  </w:style>
  <w:style w:type="character" w:styleId="26">
    <w:name w:val="FollowedHyperlink"/>
    <w:basedOn w:val="24"/>
    <w:qFormat/>
    <w:uiPriority w:val="0"/>
    <w:rPr>
      <w:color w:val="800080"/>
      <w:u w:val="single"/>
    </w:rPr>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character" w:customStyle="1" w:styleId="29">
    <w:name w:val="yqlink"/>
    <w:basedOn w:val="24"/>
    <w:qFormat/>
    <w:uiPriority w:val="0"/>
  </w:style>
  <w:style w:type="paragraph" w:customStyle="1" w:styleId="30">
    <w:name w:val="_Style 29"/>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31">
    <w:name w:val="_Style 30"/>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32">
    <w:name w:val=" Char Char1 Char Char Char Char Char Char Char Char Char Char Char Char Char Char"/>
    <w:basedOn w:val="1"/>
    <w:qFormat/>
    <w:uiPriority w:val="0"/>
    <w:pPr>
      <w:widowControl/>
      <w:spacing w:before="100" w:beforeLines="100" w:after="160" w:line="240" w:lineRule="exact"/>
      <w:jc w:val="left"/>
    </w:pPr>
    <w:rPr>
      <w:rFonts w:ascii="Verdana" w:hAnsi="Verdana"/>
      <w:kern w:val="0"/>
      <w:sz w:val="32"/>
      <w:szCs w:val="32"/>
      <w:lang w:eastAsia="en-US"/>
    </w:rPr>
  </w:style>
  <w:style w:type="character" w:customStyle="1" w:styleId="33">
    <w:name w:val="txt14_221"/>
    <w:basedOn w:val="24"/>
    <w:qFormat/>
    <w:uiPriority w:val="0"/>
    <w:rPr>
      <w:rFonts w:hint="default" w:ascii="_x000B__x000C_" w:hAnsi="_x000B__x000C_"/>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newwf</Company>
  <Pages>5</Pages>
  <Words>2920</Words>
  <Characters>2920</Characters>
  <Lines>70</Lines>
  <Paragraphs>80</Paragraphs>
  <TotalTime>0</TotalTime>
  <ScaleCrop>false</ScaleCrop>
  <LinksUpToDate>false</LinksUpToDate>
  <CharactersWithSpaces>2965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2006-03-23T05:30:00Z</dcterms:created>
  <dc:creator>SSE.</dc:creator>
  <cp:lastModifiedBy>张爱丽</cp:lastModifiedBy>
  <cp:lastPrinted>2006-03-21T07:11:00Z</cp:lastPrinted>
  <dcterms:modified xsi:type="dcterms:W3CDTF">2025-08-20T06:07:49Z</dcterms:modified>
  <dc:title>新上市公司章程指引发布：股东可起诉违规高管</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F7223AF094064D2CB49004F1ECC23847</vt:lpwstr>
  </property>
</Properties>
</file>